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D9A5" w14:textId="77777777" w:rsidR="00941FA3" w:rsidRPr="00D11F9C" w:rsidRDefault="00000000" w:rsidP="00B741FD">
      <w:pPr>
        <w:spacing w:before="210" w:after="0" w:line="360" w:lineRule="auto"/>
        <w:rPr>
          <w:rFonts w:asciiTheme="majorHAnsi" w:hAnsiTheme="majorHAnsi"/>
        </w:rPr>
      </w:pPr>
      <w:bookmarkStart w:id="0" w:name="幾乎被清空的腸道還能恢復_次世代益生菌藥品_lbp_如何找回你的微生態平衡"/>
      <w:r w:rsidRPr="00D11F9C">
        <w:rPr>
          <w:rFonts w:ascii="新細明體" w:eastAsia="新細明體" w:hAnsi="新細明體" w:cs="新細明體" w:hint="eastAsia"/>
          <w:b/>
          <w:color w:val="000000"/>
          <w:sz w:val="39"/>
        </w:rPr>
        <w:t>幾乎被清空的腸道還能恢復？次世代益生菌</w:t>
      </w:r>
      <w:r w:rsidR="00B741FD" w:rsidRPr="00D11F9C">
        <w:rPr>
          <w:rFonts w:asciiTheme="majorHAnsi" w:eastAsia="inter" w:hAnsiTheme="majorHAnsi" w:cs="inter"/>
          <w:b/>
          <w:color w:val="000000"/>
          <w:sz w:val="39"/>
        </w:rPr>
        <w:t>LBP</w:t>
      </w:r>
      <w:r w:rsidRPr="00D11F9C">
        <w:rPr>
          <w:rFonts w:ascii="新細明體" w:eastAsia="新細明體" w:hAnsi="新細明體" w:cs="新細明體" w:hint="eastAsia"/>
          <w:b/>
          <w:color w:val="000000"/>
          <w:sz w:val="39"/>
        </w:rPr>
        <w:t>藥品如何找回你的微生態平衡</w:t>
      </w:r>
      <w:bookmarkEnd w:id="0"/>
    </w:p>
    <w:p w14:paraId="55B43B13" w14:textId="77777777" w:rsidR="00941FA3" w:rsidRPr="00D11F9C" w:rsidRDefault="00000000">
      <w:pPr>
        <w:spacing w:before="315" w:after="105" w:line="360" w:lineRule="auto"/>
        <w:ind w:left="-30"/>
        <w:rPr>
          <w:rFonts w:asciiTheme="majorHAnsi" w:hAnsiTheme="majorHAnsi"/>
        </w:rPr>
      </w:pPr>
      <w:bookmarkStart w:id="1" w:name="一_為什麼腸道會被_清空_化療與抗生素的雙重衝擊"/>
      <w:r w:rsidRPr="00D11F9C">
        <w:rPr>
          <w:rFonts w:ascii="新細明體" w:eastAsia="新細明體" w:hAnsi="新細明體" w:cs="新細明體" w:hint="eastAsia"/>
          <w:b/>
          <w:color w:val="000000"/>
          <w:sz w:val="24"/>
        </w:rPr>
        <w:t>一、為什麼腸道會被「清空」？化療與抗生素的雙重衝擊</w:t>
      </w:r>
      <w:bookmarkEnd w:id="1"/>
    </w:p>
    <w:p w14:paraId="7E4B2137"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在臨床第一線，我們經常遇到這樣的病人：正在接受癌症化療、使用強效抗生素治療感染、或剛完成造血幹細胞移植。這些治療手段雖然救命，卻也對腸道菌群造成毀滅性打擊。</w:t>
      </w:r>
      <w:r w:rsidRPr="00D11F9C">
        <w:rPr>
          <w:rFonts w:asciiTheme="majorHAnsi" w:hAnsiTheme="majorHAnsi"/>
        </w:rPr>
        <w:t>[8,6]</w:t>
      </w:r>
    </w:p>
    <w:p w14:paraId="2346289A"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化療藥物不分好壞細胞，在殺死癌細胞的同時，也破壞腸道黏膜與其上的共生菌群。抗生素更是進行「無差別攻擊」，廣效性抗生素能在數天內將腸道內數百種細菌大幅清除，使菌相多樣性驟降百分之七十以上。更嚴峻的是，當病人同時接受免疫檢查點抑制劑治療癌症，又因併發症需使用抗生素或質子幫浦抑制劑時，腸道環境往往形成「三重打擊」，菌相幾近崩潰。</w:t>
      </w:r>
      <w:r w:rsidRPr="00D11F9C">
        <w:rPr>
          <w:rFonts w:asciiTheme="majorHAnsi" w:hAnsiTheme="majorHAnsi"/>
        </w:rPr>
        <w:t>[8,10,4]</w:t>
      </w:r>
    </w:p>
    <w:p w14:paraId="55906BE5"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這種狀態下，問題絕不僅止於腹瀉或便秘。腸道屏障功能瓦解後，營養吸收出現障礙、全身性發炎反應失控，甚至直接影響癌症治療的效果與存活率。臨床數據清楚顯示，使用抗生素的癌症病人對免疫治療的反應率下降四成至五成，整體存活期也縮短數個月。這樣的現實，讓我們不得不重新思考：在拯救生命的同時，我們是否也需要保護那個維持生命平衡的微生態系統？</w:t>
      </w:r>
      <w:r w:rsidRPr="00D11F9C">
        <w:rPr>
          <w:rFonts w:asciiTheme="majorHAnsi" w:hAnsiTheme="majorHAnsi"/>
        </w:rPr>
        <w:t>[10]</w:t>
      </w:r>
    </w:p>
    <w:p w14:paraId="208802C4" w14:textId="77777777" w:rsidR="00941FA3" w:rsidRPr="00D11F9C" w:rsidRDefault="00000000">
      <w:pPr>
        <w:spacing w:before="315" w:after="105" w:line="360" w:lineRule="auto"/>
        <w:ind w:left="-30"/>
        <w:rPr>
          <w:rFonts w:asciiTheme="majorHAnsi" w:hAnsiTheme="majorHAnsi"/>
        </w:rPr>
      </w:pPr>
      <w:bookmarkStart w:id="2" w:name="二_益生菌到底是什麼_傳統保健品與次世代藥品的本質差異"/>
      <w:r w:rsidRPr="00D11F9C">
        <w:rPr>
          <w:rFonts w:ascii="新細明體" w:eastAsia="新細明體" w:hAnsi="新細明體" w:cs="新細明體" w:hint="eastAsia"/>
          <w:b/>
          <w:color w:val="000000"/>
          <w:sz w:val="24"/>
        </w:rPr>
        <w:t>二、益生菌到底是什麼？傳統保健品與次世代藥品的本質差異</w:t>
      </w:r>
      <w:bookmarkEnd w:id="2"/>
    </w:p>
    <w:p w14:paraId="1CDED320" w14:textId="77777777" w:rsidR="00941FA3" w:rsidRPr="00D11F9C" w:rsidRDefault="00000000" w:rsidP="00D11F9C">
      <w:pPr>
        <w:spacing w:after="210" w:line="240" w:lineRule="auto"/>
        <w:rPr>
          <w:rFonts w:asciiTheme="majorHAnsi" w:hAnsiTheme="majorHAnsi"/>
        </w:rPr>
      </w:pPr>
      <w:r w:rsidRPr="00D11F9C">
        <w:rPr>
          <w:rFonts w:ascii="新細明體" w:eastAsia="新細明體" w:hAnsi="新細明體" w:cs="新細明體" w:hint="eastAsia"/>
          <w:color w:val="000000"/>
        </w:rPr>
        <w:t>許多病人會問</w:t>
      </w:r>
      <w:r w:rsidR="00B741FD" w:rsidRPr="00D11F9C">
        <w:rPr>
          <w:rFonts w:asciiTheme="majorHAnsi" w:eastAsia="新細明體" w:hAnsiTheme="majorHAnsi" w:cs="新細明體"/>
          <w:color w:val="000000"/>
        </w:rPr>
        <w:t>醫師</w:t>
      </w:r>
      <w:r w:rsidRPr="00D11F9C">
        <w:rPr>
          <w:rFonts w:ascii="新細明體" w:eastAsia="新細明體" w:hAnsi="新細明體" w:cs="新細明體" w:hint="eastAsia"/>
          <w:color w:val="000000"/>
        </w:rPr>
        <w:t>：「我吃益生菌有用嗎？」這個問題的答案，完全取決於「什麼樣的益生菌」。</w:t>
      </w:r>
    </w:p>
    <w:p w14:paraId="2B5635C3"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傳統益生菌多屬保健食品範疇，以改善腸胃不適、調整體質為訴求。這些產品通常含多種菌株、菌數與品質在批次間差異較大，且無需經過嚴格臨床試驗即可上市。然而更關鍵的問題在於，大部分傳統益生菌屬於不耐酸、不耐抗生素的營養型細菌，在化療或抗生素的嚴酷環境下根本無法存活，更遑論定植腸道並發揮作用。</w:t>
      </w:r>
      <w:r w:rsidRPr="00D11F9C">
        <w:rPr>
          <w:rFonts w:asciiTheme="majorHAnsi" w:hAnsiTheme="majorHAnsi"/>
        </w:rPr>
        <w:t>[8]</w:t>
      </w:r>
    </w:p>
    <w:p w14:paraId="25594A17"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相較之下，次世代益生菌藥品則是截然不同的存在。它們的正式名稱為「活體生物治療產品」（</w:t>
      </w:r>
      <w:r w:rsidRPr="00D11F9C">
        <w:rPr>
          <w:rFonts w:asciiTheme="majorHAnsi" w:hAnsiTheme="majorHAnsi"/>
        </w:rPr>
        <w:t>Live Biotherapeutic Product</w:t>
      </w:r>
      <w:r w:rsidRPr="00D11F9C">
        <w:rPr>
          <w:rFonts w:ascii="微軟正黑體" w:eastAsia="微軟正黑體" w:hAnsi="微軟正黑體" w:cs="微軟正黑體" w:hint="eastAsia"/>
        </w:rPr>
        <w:t>，簡稱</w:t>
      </w:r>
      <w:r w:rsidRPr="00D11F9C">
        <w:rPr>
          <w:rFonts w:asciiTheme="majorHAnsi" w:hAnsiTheme="majorHAnsi"/>
        </w:rPr>
        <w:t>LBP</w:t>
      </w:r>
      <w:r w:rsidRPr="00D11F9C">
        <w:rPr>
          <w:rFonts w:ascii="微軟正黑體" w:eastAsia="微軟正黑體" w:hAnsi="微軟正黑體" w:cs="微軟正黑體" w:hint="eastAsia"/>
        </w:rPr>
        <w:t>），代表著從保健走向治療的典範轉移。美國</w:t>
      </w:r>
      <w:r w:rsidRPr="00D11F9C">
        <w:rPr>
          <w:rFonts w:asciiTheme="majorHAnsi" w:hAnsiTheme="majorHAnsi"/>
        </w:rPr>
        <w:t>FDA</w:t>
      </w:r>
      <w:r w:rsidRPr="00D11F9C">
        <w:rPr>
          <w:rFonts w:ascii="微軟正黑體" w:eastAsia="微軟正黑體" w:hAnsi="微軟正黑體" w:cs="微軟正黑體" w:hint="eastAsia"/>
        </w:rPr>
        <w:t>在二</w:t>
      </w:r>
      <w:r w:rsidRPr="00D11F9C">
        <w:rPr>
          <w:rFonts w:asciiTheme="majorHAnsi" w:hAnsiTheme="majorHAnsi"/>
        </w:rPr>
        <w:t>○</w:t>
      </w:r>
      <w:r w:rsidRPr="00D11F9C">
        <w:rPr>
          <w:rFonts w:ascii="微軟正黑體" w:eastAsia="微軟正黑體" w:hAnsi="微軟正黑體" w:cs="微軟正黑體" w:hint="eastAsia"/>
        </w:rPr>
        <w:t>一六年明確將</w:t>
      </w:r>
      <w:r w:rsidRPr="00D11F9C">
        <w:rPr>
          <w:rFonts w:asciiTheme="majorHAnsi" w:hAnsiTheme="majorHAnsi"/>
        </w:rPr>
        <w:t>LBP</w:t>
      </w:r>
      <w:r w:rsidRPr="00D11F9C">
        <w:rPr>
          <w:rFonts w:ascii="微軟正黑體" w:eastAsia="微軟正黑體" w:hAnsi="微軟正黑體" w:cs="微軟正黑體" w:hint="eastAsia"/>
        </w:rPr>
        <w:t>定義為「含有活微生物，目的在於預防、治療或治癒人類疾病的生物製劑」，必須依循藥品法規進行開發。這意味著從菌株基因鑑定、毒素基因檢測、精確的菌數標示、</w:t>
      </w:r>
      <w:r w:rsidRPr="00D11F9C">
        <w:rPr>
          <w:rFonts w:asciiTheme="majorHAnsi" w:hAnsiTheme="majorHAnsi"/>
        </w:rPr>
        <w:t>GMP</w:t>
      </w:r>
      <w:r w:rsidRPr="00D11F9C">
        <w:rPr>
          <w:rFonts w:ascii="微軟正黑體" w:eastAsia="微軟正黑體" w:hAnsi="微軟正黑體" w:cs="微軟正黑體" w:hint="eastAsia"/>
        </w:rPr>
        <w:t>製程控管、穩定性試驗到完整臨床試驗，每一個環節都必須符合藥品級標準。</w:t>
      </w:r>
      <w:r w:rsidRPr="00D11F9C">
        <w:rPr>
          <w:rFonts w:asciiTheme="majorHAnsi" w:hAnsiTheme="majorHAnsi"/>
        </w:rPr>
        <w:t>[1,9]</w:t>
      </w:r>
    </w:p>
    <w:p w14:paraId="6D7C1C6F"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目前</w:t>
      </w:r>
      <w:r w:rsidRPr="00D11F9C">
        <w:rPr>
          <w:rFonts w:asciiTheme="majorHAnsi" w:hAnsiTheme="majorHAnsi"/>
        </w:rPr>
        <w:t>FDA</w:t>
      </w:r>
      <w:r w:rsidRPr="00D11F9C">
        <w:rPr>
          <w:rFonts w:ascii="微軟正黑體" w:eastAsia="微軟正黑體" w:hAnsi="微軟正黑體" w:cs="微軟正黑體" w:hint="eastAsia"/>
        </w:rPr>
        <w:t>僅核准兩項</w:t>
      </w:r>
      <w:r w:rsidRPr="00D11F9C">
        <w:rPr>
          <w:rFonts w:asciiTheme="majorHAnsi" w:hAnsiTheme="majorHAnsi"/>
        </w:rPr>
        <w:t>LBP</w:t>
      </w:r>
      <w:r w:rsidRPr="00D11F9C">
        <w:rPr>
          <w:rFonts w:ascii="微軟正黑體" w:eastAsia="微軟正黑體" w:hAnsi="微軟正黑體" w:cs="微軟正黑體" w:hint="eastAsia"/>
        </w:rPr>
        <w:t>產品：</w:t>
      </w:r>
      <w:r w:rsidRPr="00D11F9C">
        <w:rPr>
          <w:rFonts w:asciiTheme="majorHAnsi" w:hAnsiTheme="majorHAnsi"/>
        </w:rPr>
        <w:t>Rebyota</w:t>
      </w:r>
      <w:r w:rsidRPr="00D11F9C">
        <w:rPr>
          <w:rFonts w:ascii="微軟正黑體" w:eastAsia="微軟正黑體" w:hAnsi="微軟正黑體" w:cs="微軟正黑體" w:hint="eastAsia"/>
        </w:rPr>
        <w:t>與</w:t>
      </w:r>
      <w:r w:rsidRPr="00D11F9C">
        <w:rPr>
          <w:rFonts w:asciiTheme="majorHAnsi" w:hAnsiTheme="majorHAnsi"/>
        </w:rPr>
        <w:t>Vowst</w:t>
      </w:r>
      <w:r w:rsidRPr="00D11F9C">
        <w:rPr>
          <w:rFonts w:ascii="微軟正黑體" w:eastAsia="微軟正黑體" w:hAnsi="微軟正黑體" w:cs="微軟正黑體" w:hint="eastAsia"/>
        </w:rPr>
        <w:t>，兩者皆專門用於治療反覆發作的困難梭狀芽孢桿菌感染。這個審慎的核准紀錄，清楚說明</w:t>
      </w:r>
      <w:r w:rsidRPr="00D11F9C">
        <w:rPr>
          <w:rFonts w:asciiTheme="majorHAnsi" w:hAnsiTheme="majorHAnsi"/>
        </w:rPr>
        <w:t>LBP</w:t>
      </w:r>
      <w:r w:rsidRPr="00D11F9C">
        <w:rPr>
          <w:rFonts w:ascii="微軟正黑體" w:eastAsia="微軟正黑體" w:hAnsi="微軟正黑體" w:cs="微軟正黑體" w:hint="eastAsia"/>
        </w:rPr>
        <w:t>屬於高門檻的「藥品級」產品，而非一般保健食品。而本文的主角</w:t>
      </w:r>
      <w:r w:rsidRPr="00D11F9C">
        <w:rPr>
          <w:rFonts w:asciiTheme="majorHAnsi" w:hAnsiTheme="majorHAnsi"/>
        </w:rPr>
        <w:t>CBM588</w:t>
      </w:r>
      <w:r w:rsidRPr="00D11F9C">
        <w:rPr>
          <w:rFonts w:ascii="微軟正黑體" w:eastAsia="微軟正黑體" w:hAnsi="微軟正黑體" w:cs="微軟正黑體" w:hint="eastAsia"/>
        </w:rPr>
        <w:t>（</w:t>
      </w:r>
      <w:r w:rsidRPr="00D11F9C">
        <w:rPr>
          <w:rFonts w:asciiTheme="majorHAnsi" w:hAnsiTheme="majorHAnsi"/>
        </w:rPr>
        <w:t>Clostridium butyricum MIYAIRI 588</w:t>
      </w:r>
      <w:r w:rsidRPr="00D11F9C">
        <w:rPr>
          <w:rFonts w:ascii="微軟正黑體" w:eastAsia="微軟正黑體" w:hAnsi="微軟正黑體" w:cs="微軟正黑體" w:hint="eastAsia"/>
        </w:rPr>
        <w:t>），正是嚴格遵循</w:t>
      </w:r>
      <w:r w:rsidRPr="00D11F9C">
        <w:rPr>
          <w:rFonts w:asciiTheme="majorHAnsi" w:hAnsiTheme="majorHAnsi"/>
        </w:rPr>
        <w:t>LBP</w:t>
      </w:r>
      <w:r w:rsidRPr="00D11F9C">
        <w:rPr>
          <w:rFonts w:ascii="微軟正黑體" w:eastAsia="微軟正黑體" w:hAnsi="微軟正黑體" w:cs="微軟正黑體" w:hint="eastAsia"/>
        </w:rPr>
        <w:t>規範開發的「治療用活菌藥</w:t>
      </w:r>
      <w:r w:rsidRPr="00D11F9C">
        <w:rPr>
          <w:rFonts w:ascii="微軟正黑體" w:eastAsia="微軟正黑體" w:hAnsi="微軟正黑體" w:cs="微軟正黑體" w:hint="eastAsia"/>
        </w:rPr>
        <w:lastRenderedPageBreak/>
        <w:t>品」。它在日本已作為處方藥使用數十年，商品名為</w:t>
      </w:r>
      <w:r w:rsidRPr="00D11F9C">
        <w:rPr>
          <w:rFonts w:asciiTheme="majorHAnsi" w:hAnsiTheme="majorHAnsi"/>
        </w:rPr>
        <w:t>MIYA-BM</w:t>
      </w:r>
      <w:r w:rsidRPr="00D11F9C">
        <w:rPr>
          <w:rFonts w:ascii="微軟正黑體" w:eastAsia="微軟正黑體" w:hAnsi="微軟正黑體" w:cs="微軟正黑體" w:hint="eastAsia"/>
        </w:rPr>
        <w:t>，累積了大量安全性數據；目前正在美國進行多項以癌症治療輔助為目標的臨床試驗。</w:t>
      </w:r>
      <w:r w:rsidRPr="00D11F9C">
        <w:rPr>
          <w:rFonts w:asciiTheme="majorHAnsi" w:hAnsiTheme="majorHAnsi"/>
        </w:rPr>
        <w:t>[1,9]</w:t>
      </w:r>
    </w:p>
    <w:p w14:paraId="4D5BC47C" w14:textId="77777777" w:rsidR="00941FA3" w:rsidRPr="00D11F9C" w:rsidRDefault="00000000">
      <w:pPr>
        <w:spacing w:before="315" w:after="105" w:line="360" w:lineRule="auto"/>
        <w:ind w:left="-30"/>
        <w:rPr>
          <w:rFonts w:asciiTheme="majorHAnsi" w:hAnsiTheme="majorHAnsi"/>
        </w:rPr>
      </w:pPr>
      <w:bookmarkStart w:id="3" w:name="三_腸道菌相崩解意味著什麼_認識_菌相多樣性_與失衡的真實影響"/>
      <w:r w:rsidRPr="00D11F9C">
        <w:rPr>
          <w:rFonts w:ascii="新細明體" w:eastAsia="新細明體" w:hAnsi="新細明體" w:cs="新細明體" w:hint="eastAsia"/>
          <w:b/>
          <w:color w:val="000000"/>
          <w:sz w:val="24"/>
        </w:rPr>
        <w:t>三、腸道菌相崩解意味著什麼？認識「菌相多樣性」與失衡的真實影響</w:t>
      </w:r>
      <w:bookmarkEnd w:id="3"/>
    </w:p>
    <w:p w14:paraId="548DB41E"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要理解</w:t>
      </w:r>
      <w:r w:rsidRPr="00D11F9C">
        <w:rPr>
          <w:rFonts w:asciiTheme="majorHAnsi" w:hAnsiTheme="majorHAnsi"/>
        </w:rPr>
        <w:t>CBM588</w:t>
      </w:r>
      <w:r w:rsidRPr="00D11F9C">
        <w:rPr>
          <w:rFonts w:ascii="微軟正黑體" w:eastAsia="微軟正黑體" w:hAnsi="微軟正黑體" w:cs="微軟正黑體" w:hint="eastAsia"/>
        </w:rPr>
        <w:t>的價值，我們必須先認識什麼是健康的腸道菌相。健康的人體腸道中住著超過一千種細菌，總數達數兆個，這些微生物形成高度複雜的生態網絡。所謂「菌相多樣性」，指的是菌種的豐富程度與分布均衡度，就像一座穩定的森林生態系統，各種生物各司其職、相互制衡。</w:t>
      </w:r>
      <w:r w:rsidRPr="00D11F9C">
        <w:rPr>
          <w:rFonts w:asciiTheme="majorHAnsi" w:hAnsiTheme="majorHAnsi"/>
        </w:rPr>
        <w:t>[8]</w:t>
      </w:r>
    </w:p>
    <w:p w14:paraId="5B43D264"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當多樣性急遽下降、有害菌過度增生、有益菌大量減少時，腸道就進入所謂的「菌相失衡」（</w:t>
      </w:r>
      <w:r w:rsidRPr="00D11F9C">
        <w:rPr>
          <w:rFonts w:asciiTheme="majorHAnsi" w:hAnsiTheme="majorHAnsi"/>
        </w:rPr>
        <w:t>dysbiosis</w:t>
      </w:r>
      <w:r w:rsidRPr="00D11F9C">
        <w:rPr>
          <w:rFonts w:ascii="微軟正黑體" w:eastAsia="微軟正黑體" w:hAnsi="微軟正黑體" w:cs="微軟正黑體" w:hint="eastAsia"/>
        </w:rPr>
        <w:t>）狀態。這不僅僅是菌種組成的改變，而是一連串生理功能的連鎖崩潰。</w:t>
      </w:r>
      <w:r w:rsidRPr="00D11F9C">
        <w:rPr>
          <w:rFonts w:asciiTheme="majorHAnsi" w:hAnsiTheme="majorHAnsi"/>
        </w:rPr>
        <w:t>[8]</w:t>
      </w:r>
    </w:p>
    <w:p w14:paraId="53EB2AF5"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首先是代謝功能的瓦解。短鏈脂肪酸如丁酸的產量大幅減少，而丁酸正是腸道上皮細胞的主要能量來源。失去這個關鍵燃料後，黏膜修復能力隨之下降。接著，免疫調節機制也跟著失常。腸道是人體最大的免疫器官，菌相失衡會導致發炎反應失控、免疫耐受性消失。與此同時，腸道屏障功能開始破壞，緊密連接蛋白減少、腸道通透性增加，使得細菌與毒素得以進入血液循環，造成全身性發炎。</w:t>
      </w:r>
      <w:r w:rsidRPr="00D11F9C">
        <w:rPr>
          <w:rFonts w:asciiTheme="majorHAnsi" w:hAnsiTheme="majorHAnsi"/>
        </w:rPr>
        <w:t>[8]</w:t>
      </w:r>
    </w:p>
    <w:p w14:paraId="7FDBD0AB"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更令人憂心的是，這種失衡會直接影響治療效果。在癌症治療領域，研究已經證實菌相失衡的病人對免疫檢查點抑制劑的反應率顯著降低。以造血幹細胞移植病人為例，菌相多樣性在移植後二十一天內可降至正常人的兩成至三成，且與嚴重併發症如移植物抗宿主病高度相關。這些發現讓我們明白，維護腸道菌相已不再只是「養生」議題，而是攸關治療成敗的關鍵因素。</w:t>
      </w:r>
      <w:r w:rsidRPr="00D11F9C">
        <w:rPr>
          <w:rFonts w:asciiTheme="majorHAnsi" w:hAnsiTheme="majorHAnsi"/>
        </w:rPr>
        <w:t>[2,4,6]</w:t>
      </w:r>
    </w:p>
    <w:p w14:paraId="2EE11DE4" w14:textId="77777777" w:rsidR="00941FA3" w:rsidRPr="00D11F9C" w:rsidRDefault="00000000">
      <w:pPr>
        <w:spacing w:before="315" w:after="105" w:line="360" w:lineRule="auto"/>
        <w:ind w:left="-30"/>
        <w:rPr>
          <w:rFonts w:asciiTheme="majorHAnsi" w:hAnsiTheme="majorHAnsi"/>
        </w:rPr>
      </w:pPr>
      <w:bookmarkStart w:id="4" w:name="四_活菌藥品在破壞的腸道怎麼起作用_三大機制解密"/>
      <w:r w:rsidRPr="00D11F9C">
        <w:rPr>
          <w:rFonts w:ascii="新細明體" w:eastAsia="新細明體" w:hAnsi="新細明體" w:cs="新細明體" w:hint="eastAsia"/>
          <w:b/>
          <w:color w:val="000000"/>
          <w:sz w:val="24"/>
        </w:rPr>
        <w:t>四、活菌藥品在破壞的腸道怎麼起作用？三大機制解密</w:t>
      </w:r>
      <w:bookmarkEnd w:id="4"/>
    </w:p>
    <w:p w14:paraId="0D4491B7" w14:textId="77777777" w:rsidR="00941FA3" w:rsidRPr="00D11F9C" w:rsidRDefault="00000000" w:rsidP="00D11F9C">
      <w:pPr>
        <w:spacing w:after="210" w:line="240" w:lineRule="auto"/>
        <w:rPr>
          <w:rFonts w:asciiTheme="majorHAnsi" w:hAnsiTheme="majorHAnsi"/>
        </w:rPr>
      </w:pPr>
      <w:r w:rsidRPr="00D11F9C">
        <w:rPr>
          <w:rFonts w:asciiTheme="majorHAnsi" w:hAnsiTheme="majorHAnsi"/>
        </w:rPr>
        <w:t>CBM588</w:t>
      </w:r>
      <w:r w:rsidRPr="00D11F9C">
        <w:rPr>
          <w:rFonts w:ascii="微軟正黑體" w:eastAsia="微軟正黑體" w:hAnsi="微軟正黑體" w:cs="微軟正黑體" w:hint="eastAsia"/>
        </w:rPr>
        <w:t>之所以能在極端醫療環境下發揮作用，源自於它獨特的三大生物學特性。這些特性不僅讓它能在惡劣環境中生存，更能主動修復受損的腸道生態系統。</w:t>
      </w:r>
      <w:r w:rsidRPr="00D11F9C">
        <w:rPr>
          <w:rFonts w:asciiTheme="majorHAnsi" w:hAnsiTheme="majorHAnsi"/>
        </w:rPr>
        <w:t>[8]</w:t>
      </w:r>
    </w:p>
    <w:p w14:paraId="1A96E3D0" w14:textId="77777777" w:rsidR="00941FA3" w:rsidRPr="00D11F9C" w:rsidRDefault="00000000" w:rsidP="00D11F9C">
      <w:pPr>
        <w:spacing w:after="210" w:line="240" w:lineRule="auto"/>
        <w:rPr>
          <w:rFonts w:asciiTheme="majorHAnsi" w:hAnsiTheme="majorHAnsi"/>
        </w:rPr>
      </w:pPr>
      <w:r w:rsidRPr="00D11F9C">
        <w:rPr>
          <w:rFonts w:asciiTheme="majorHAnsi" w:hAnsiTheme="majorHAnsi"/>
        </w:rPr>
        <w:t>**</w:t>
      </w:r>
      <w:r w:rsidRPr="00D11F9C">
        <w:rPr>
          <w:rFonts w:ascii="微軟正黑體" w:eastAsia="微軟正黑體" w:hAnsi="微軟正黑體" w:cs="微軟正黑體" w:hint="eastAsia"/>
        </w:rPr>
        <w:t>第一個關鍵是芽孢結構，這是</w:t>
      </w:r>
      <w:r w:rsidRPr="00D11F9C">
        <w:rPr>
          <w:rFonts w:asciiTheme="majorHAnsi" w:hAnsiTheme="majorHAnsi"/>
        </w:rPr>
        <w:t>CBM588</w:t>
      </w:r>
      <w:r w:rsidRPr="00D11F9C">
        <w:rPr>
          <w:rFonts w:ascii="微軟正黑體" w:eastAsia="微軟正黑體" w:hAnsi="微軟正黑體" w:cs="微軟正黑體" w:hint="eastAsia"/>
        </w:rPr>
        <w:t>在廢墟中存活的秘密武器。</w:t>
      </w:r>
      <w:r w:rsidRPr="00D11F9C">
        <w:rPr>
          <w:rFonts w:asciiTheme="majorHAnsi" w:hAnsiTheme="majorHAnsi"/>
        </w:rPr>
        <w:t>**CBM588</w:t>
      </w:r>
      <w:r w:rsidRPr="00D11F9C">
        <w:rPr>
          <w:rFonts w:ascii="微軟正黑體" w:eastAsia="微軟正黑體" w:hAnsi="微軟正黑體" w:cs="微軟正黑體" w:hint="eastAsia"/>
        </w:rPr>
        <w:t>屬於丁酸梭菌，能形成芽孢，也就是一種休眠狀態的「裝甲細胞」。這層天然防護讓它能耐受強酸（</w:t>
      </w:r>
      <w:r w:rsidRPr="00D11F9C">
        <w:rPr>
          <w:rFonts w:asciiTheme="majorHAnsi" w:hAnsiTheme="majorHAnsi"/>
        </w:rPr>
        <w:t>pH</w:t>
      </w:r>
      <w:r w:rsidRPr="00D11F9C">
        <w:rPr>
          <w:rFonts w:ascii="微軟正黑體" w:eastAsia="微軟正黑體" w:hAnsi="微軟正黑體" w:cs="微軟正黑體" w:hint="eastAsia"/>
        </w:rPr>
        <w:t>值二至三）的胃液、具腐蝕性的膽鹽、以及多種抗生素的攻擊，甚至在室溫下長期保存而不失活。當芽孢隨著食物抵達腸道後，會在適宜環境中「甦醒」，轉變為具有代謝活性的營養型細菌，開始定植並發揮作用。相較之下，傳統益生菌如乳酸桿菌、雙歧桿菌多為營養型細菌，在胃酸環境下存活率常不足一成，遇到抗生素更幾乎全軍覆沒。這正是為什麼</w:t>
      </w:r>
      <w:r w:rsidRPr="00D11F9C">
        <w:rPr>
          <w:rFonts w:asciiTheme="majorHAnsi" w:hAnsiTheme="majorHAnsi"/>
        </w:rPr>
        <w:t>CBM588</w:t>
      </w:r>
      <w:r w:rsidRPr="00D11F9C">
        <w:rPr>
          <w:rFonts w:ascii="微軟正黑體" w:eastAsia="微軟正黑體" w:hAnsi="微軟正黑體" w:cs="微軟正黑體" w:hint="eastAsia"/>
        </w:rPr>
        <w:t>能在化療與免疫治療期間，仍穩定維持腸道定植的根本原因。</w:t>
      </w:r>
      <w:r w:rsidRPr="00D11F9C">
        <w:rPr>
          <w:rFonts w:asciiTheme="majorHAnsi" w:hAnsiTheme="majorHAnsi"/>
        </w:rPr>
        <w:t>[8]</w:t>
      </w:r>
    </w:p>
    <w:p w14:paraId="29AE5D3C" w14:textId="77777777" w:rsidR="00941FA3" w:rsidRPr="00D11F9C" w:rsidRDefault="00000000" w:rsidP="00D11F9C">
      <w:pPr>
        <w:spacing w:after="210" w:line="240" w:lineRule="auto"/>
        <w:rPr>
          <w:rFonts w:asciiTheme="majorHAnsi" w:hAnsiTheme="majorHAnsi"/>
        </w:rPr>
      </w:pPr>
      <w:r w:rsidRPr="00D11F9C">
        <w:rPr>
          <w:rFonts w:asciiTheme="majorHAnsi" w:hAnsiTheme="majorHAnsi"/>
        </w:rPr>
        <w:t>**</w:t>
      </w:r>
      <w:r w:rsidRPr="00D11F9C">
        <w:rPr>
          <w:rFonts w:ascii="微軟正黑體" w:eastAsia="微軟正黑體" w:hAnsi="微軟正黑體" w:cs="微軟正黑體" w:hint="eastAsia"/>
        </w:rPr>
        <w:t>第二個機制是丁酸生產，為受損腸道提供修復的燃料。</w:t>
      </w:r>
      <w:r w:rsidRPr="00D11F9C">
        <w:rPr>
          <w:rFonts w:asciiTheme="majorHAnsi" w:hAnsiTheme="majorHAnsi"/>
        </w:rPr>
        <w:t>**CBM588</w:t>
      </w:r>
      <w:r w:rsidRPr="00D11F9C">
        <w:rPr>
          <w:rFonts w:ascii="微軟正黑體" w:eastAsia="微軟正黑體" w:hAnsi="微軟正黑體" w:cs="微軟正黑體" w:hint="eastAsia"/>
        </w:rPr>
        <w:t>是高效率的丁酸產生菌，而丁酸不僅是結腸上皮細胞的主要能量來源，更是強大的抗發炎分子。它能促進腸道黏膜細胞增殖與修復、增強腸道屏障的緊密連接蛋白表達、刺激保護性黏液分泌，並活化多條免疫調節路徑以降低慢性發炎反應。當抗生素或化療藥物破壞腸道黏膜時，充足的丁酸供應就是啟動組織修復的關鍵開關。</w:t>
      </w:r>
      <w:r w:rsidRPr="00D11F9C">
        <w:rPr>
          <w:rFonts w:asciiTheme="majorHAnsi" w:hAnsiTheme="majorHAnsi"/>
        </w:rPr>
        <w:t>[8,5]</w:t>
      </w:r>
    </w:p>
    <w:p w14:paraId="213B82E4" w14:textId="77777777" w:rsidR="00941FA3" w:rsidRPr="00D11F9C" w:rsidRDefault="00000000" w:rsidP="00D11F9C">
      <w:pPr>
        <w:spacing w:after="210" w:line="240" w:lineRule="auto"/>
        <w:rPr>
          <w:rFonts w:asciiTheme="majorHAnsi" w:hAnsiTheme="majorHAnsi"/>
        </w:rPr>
      </w:pPr>
      <w:r w:rsidRPr="00D11F9C">
        <w:rPr>
          <w:rFonts w:asciiTheme="majorHAnsi" w:hAnsiTheme="majorHAnsi"/>
        </w:rPr>
        <w:lastRenderedPageBreak/>
        <w:t>**</w:t>
      </w:r>
      <w:r w:rsidRPr="00D11F9C">
        <w:rPr>
          <w:rFonts w:ascii="微軟正黑體" w:eastAsia="微軟正黑體" w:hAnsi="微軟正黑體" w:cs="微軟正黑體" w:hint="eastAsia"/>
        </w:rPr>
        <w:t>第三個層次是精密的免疫調控，展現了雙向平衡的生物智慧。</w:t>
      </w:r>
      <w:r w:rsidRPr="00D11F9C">
        <w:rPr>
          <w:rFonts w:asciiTheme="majorHAnsi" w:hAnsiTheme="majorHAnsi"/>
        </w:rPr>
        <w:t>**</w:t>
      </w:r>
      <w:r w:rsidRPr="00D11F9C">
        <w:rPr>
          <w:rFonts w:ascii="微軟正黑體" w:eastAsia="微軟正黑體" w:hAnsi="微軟正黑體" w:cs="微軟正黑體" w:hint="eastAsia"/>
        </w:rPr>
        <w:t>最新研究揭示了</w:t>
      </w:r>
      <w:r w:rsidRPr="00D11F9C">
        <w:rPr>
          <w:rFonts w:asciiTheme="majorHAnsi" w:hAnsiTheme="majorHAnsi"/>
        </w:rPr>
        <w:t>CBM588</w:t>
      </w:r>
      <w:r w:rsidRPr="00D11F9C">
        <w:rPr>
          <w:rFonts w:ascii="微軟正黑體" w:eastAsia="微軟正黑體" w:hAnsi="微軟正黑體" w:cs="微軟正黑體" w:hint="eastAsia"/>
        </w:rPr>
        <w:t>調節免疫系統的巧妙機制。它能誘導腸道免疫細胞大量產生</w:t>
      </w:r>
      <w:r w:rsidRPr="00D11F9C">
        <w:rPr>
          <w:rFonts w:asciiTheme="majorHAnsi" w:hAnsiTheme="majorHAnsi"/>
        </w:rPr>
        <w:t>IL-10</w:t>
      </w:r>
      <w:r w:rsidRPr="00D11F9C">
        <w:rPr>
          <w:rFonts w:ascii="微軟正黑體" w:eastAsia="微軟正黑體" w:hAnsi="微軟正黑體" w:cs="微軟正黑體" w:hint="eastAsia"/>
        </w:rPr>
        <w:t>這種抗發炎因子，並上調</w:t>
      </w:r>
      <w:r w:rsidRPr="00D11F9C">
        <w:rPr>
          <w:rFonts w:asciiTheme="majorHAnsi" w:hAnsiTheme="majorHAnsi"/>
        </w:rPr>
        <w:t>IDO-1</w:t>
      </w:r>
      <w:r w:rsidRPr="00D11F9C">
        <w:rPr>
          <w:rFonts w:ascii="微軟正黑體" w:eastAsia="微軟正黑體" w:hAnsi="微軟正黑體" w:cs="微軟正黑體" w:hint="eastAsia"/>
        </w:rPr>
        <w:t>酵素的表達，將色氨酸代謝導向犬尿醇路徑。這些代謝物透過</w:t>
      </w:r>
      <w:r w:rsidRPr="00D11F9C">
        <w:rPr>
          <w:rFonts w:asciiTheme="majorHAnsi" w:hAnsiTheme="majorHAnsi"/>
        </w:rPr>
        <w:t>AhR</w:t>
      </w:r>
      <w:r w:rsidRPr="00D11F9C">
        <w:rPr>
          <w:rFonts w:ascii="微軟正黑體" w:eastAsia="微軟正黑體" w:hAnsi="微軟正黑體" w:cs="微軟正黑體" w:hint="eastAsia"/>
        </w:rPr>
        <w:t>受體促進調節型</w:t>
      </w:r>
      <w:r w:rsidRPr="00D11F9C">
        <w:rPr>
          <w:rFonts w:asciiTheme="majorHAnsi" w:hAnsiTheme="majorHAnsi"/>
        </w:rPr>
        <w:t>T</w:t>
      </w:r>
      <w:r w:rsidRPr="00D11F9C">
        <w:rPr>
          <w:rFonts w:ascii="微軟正黑體" w:eastAsia="微軟正黑體" w:hAnsi="微軟正黑體" w:cs="微軟正黑體" w:hint="eastAsia"/>
        </w:rPr>
        <w:t>細胞在腸道內增殖並「滯留」，有效維持腸道的免疫耐受狀態，避免過度發炎反應。</w:t>
      </w:r>
      <w:r w:rsidRPr="00D11F9C">
        <w:rPr>
          <w:rFonts w:asciiTheme="majorHAnsi" w:hAnsiTheme="majorHAnsi"/>
        </w:rPr>
        <w:t>[7]</w:t>
      </w:r>
    </w:p>
    <w:p w14:paraId="0319323C"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然而真正令人驚嘆的是這套機制的系統性效應。當調節型</w:t>
      </w:r>
      <w:r w:rsidRPr="00D11F9C">
        <w:rPr>
          <w:rFonts w:asciiTheme="majorHAnsi" w:hAnsiTheme="majorHAnsi"/>
        </w:rPr>
        <w:t>T</w:t>
      </w:r>
      <w:r w:rsidRPr="00D11F9C">
        <w:rPr>
          <w:rFonts w:ascii="微軟正黑體" w:eastAsia="微軟正黑體" w:hAnsi="微軟正黑體" w:cs="微軟正黑體" w:hint="eastAsia"/>
        </w:rPr>
        <w:t>細胞被「留在腸道」執行維穩任務時，反而減少了它們往腫瘤部位遷移的機會，進而解除了腫瘤微環境中的免疫抑制壓力。這使得免疫檢查點抑制劑能更有效地啟動抗癌免疫反應。換句話說，</w:t>
      </w:r>
      <w:r w:rsidRPr="00D11F9C">
        <w:rPr>
          <w:rFonts w:asciiTheme="majorHAnsi" w:hAnsiTheme="majorHAnsi"/>
        </w:rPr>
        <w:t>CBM588</w:t>
      </w:r>
      <w:r w:rsidRPr="00D11F9C">
        <w:rPr>
          <w:rFonts w:ascii="微軟正黑體" w:eastAsia="微軟正黑體" w:hAnsi="微軟正黑體" w:cs="微軟正黑體" w:hint="eastAsia"/>
        </w:rPr>
        <w:t>創造了一個局部抑制、系統增強的獨特免疫格局，這也解釋了為何它能在臨床上增強癌症免疫治療的效果。</w:t>
      </w:r>
      <w:r w:rsidRPr="00D11F9C">
        <w:rPr>
          <w:rFonts w:asciiTheme="majorHAnsi" w:hAnsiTheme="majorHAnsi"/>
        </w:rPr>
        <w:t>[7]</w:t>
      </w:r>
    </w:p>
    <w:p w14:paraId="78A8CD42" w14:textId="77777777" w:rsidR="00941FA3" w:rsidRPr="00D11F9C" w:rsidRDefault="00000000">
      <w:pPr>
        <w:spacing w:before="315" w:after="105" w:line="360" w:lineRule="auto"/>
        <w:ind w:left="-30"/>
        <w:rPr>
          <w:rFonts w:asciiTheme="majorHAnsi" w:hAnsiTheme="majorHAnsi"/>
        </w:rPr>
      </w:pPr>
      <w:bookmarkStart w:id="5" w:name="五_cbm588的真實科學與臨床研究_從數據看見希望"/>
      <w:r w:rsidRPr="00D11F9C">
        <w:rPr>
          <w:rFonts w:ascii="新細明體" w:eastAsia="新細明體" w:hAnsi="新細明體" w:cs="新細明體" w:hint="eastAsia"/>
          <w:b/>
          <w:color w:val="000000"/>
          <w:sz w:val="24"/>
        </w:rPr>
        <w:t>五、</w:t>
      </w:r>
      <w:r w:rsidRPr="00D11F9C">
        <w:rPr>
          <w:rFonts w:asciiTheme="majorHAnsi" w:eastAsia="inter" w:hAnsiTheme="majorHAnsi" w:cs="inter"/>
          <w:b/>
          <w:color w:val="000000"/>
          <w:sz w:val="24"/>
        </w:rPr>
        <w:t>CBM588</w:t>
      </w:r>
      <w:r w:rsidRPr="00D11F9C">
        <w:rPr>
          <w:rFonts w:ascii="新細明體" w:eastAsia="新細明體" w:hAnsi="新細明體" w:cs="新細明體" w:hint="eastAsia"/>
          <w:b/>
          <w:color w:val="000000"/>
          <w:sz w:val="24"/>
        </w:rPr>
        <w:t>的真實科學與臨床研究：從數據看見希望</w:t>
      </w:r>
      <w:bookmarkEnd w:id="5"/>
    </w:p>
    <w:p w14:paraId="7ED75649" w14:textId="24CC4625" w:rsidR="00941FA3" w:rsidRPr="00D11F9C" w:rsidRDefault="00941FA3">
      <w:pPr>
        <w:spacing w:after="210" w:line="360" w:lineRule="auto"/>
        <w:rPr>
          <w:rFonts w:asciiTheme="majorHAnsi" w:hAnsiTheme="majorHAnsi"/>
        </w:rPr>
      </w:pPr>
    </w:p>
    <w:p w14:paraId="26162249" w14:textId="77777777" w:rsidR="00941FA3" w:rsidRPr="00D11F9C" w:rsidRDefault="00000000" w:rsidP="00D11F9C">
      <w:pPr>
        <w:spacing w:after="210" w:line="240" w:lineRule="auto"/>
        <w:rPr>
          <w:rFonts w:asciiTheme="majorHAnsi" w:hAnsiTheme="majorHAnsi"/>
        </w:rPr>
      </w:pPr>
      <w:r w:rsidRPr="00D11F9C">
        <w:rPr>
          <w:rFonts w:asciiTheme="majorHAnsi" w:hAnsiTheme="majorHAnsi"/>
        </w:rPr>
        <w:t>**</w:t>
      </w:r>
      <w:r w:rsidRPr="00D11F9C">
        <w:rPr>
          <w:rFonts w:ascii="微軟正黑體" w:eastAsia="微軟正黑體" w:hAnsi="微軟正黑體" w:cs="微軟正黑體" w:hint="eastAsia"/>
        </w:rPr>
        <w:t>在轉移性腎細胞癌的治療中，</w:t>
      </w:r>
      <w:r w:rsidRPr="00D11F9C">
        <w:rPr>
          <w:rFonts w:asciiTheme="majorHAnsi" w:hAnsiTheme="majorHAnsi"/>
        </w:rPr>
        <w:t>CBM588</w:t>
      </w:r>
      <w:r w:rsidRPr="00D11F9C">
        <w:rPr>
          <w:rFonts w:ascii="微軟正黑體" w:eastAsia="微軟正黑體" w:hAnsi="微軟正黑體" w:cs="微軟正黑體" w:hint="eastAsia"/>
        </w:rPr>
        <w:t>展現了令人矚目的療效。</w:t>
      </w:r>
      <w:r w:rsidRPr="00D11F9C">
        <w:rPr>
          <w:rFonts w:asciiTheme="majorHAnsi" w:hAnsiTheme="majorHAnsi"/>
        </w:rPr>
        <w:t>**Dizman</w:t>
      </w:r>
      <w:r w:rsidRPr="00D11F9C">
        <w:rPr>
          <w:rFonts w:ascii="微軟正黑體" w:eastAsia="微軟正黑體" w:hAnsi="微軟正黑體" w:cs="微軟正黑體" w:hint="eastAsia"/>
        </w:rPr>
        <w:t>等人在頂尖期刊《</w:t>
      </w:r>
      <w:r w:rsidRPr="00D11F9C">
        <w:rPr>
          <w:rFonts w:asciiTheme="majorHAnsi" w:hAnsiTheme="majorHAnsi"/>
        </w:rPr>
        <w:t>Nature Medicine</w:t>
      </w:r>
      <w:r w:rsidRPr="00D11F9C">
        <w:rPr>
          <w:rFonts w:ascii="微軟正黑體" w:eastAsia="微軟正黑體" w:hAnsi="微軟正黑體" w:cs="微軟正黑體" w:hint="eastAsia"/>
        </w:rPr>
        <w:t>》發表的隨機對照試驗中，三十位轉移性腎癌病人接受標準免疫治療（</w:t>
      </w:r>
      <w:r w:rsidRPr="00D11F9C">
        <w:rPr>
          <w:rFonts w:asciiTheme="majorHAnsi" w:hAnsiTheme="majorHAnsi"/>
        </w:rPr>
        <w:t>nivolumab</w:t>
      </w:r>
      <w:r w:rsidRPr="00D11F9C">
        <w:rPr>
          <w:rFonts w:ascii="微軟正黑體" w:eastAsia="微軟正黑體" w:hAnsi="微軟正黑體" w:cs="微軟正黑體" w:hint="eastAsia"/>
        </w:rPr>
        <w:t>加上</w:t>
      </w:r>
      <w:r w:rsidRPr="00D11F9C">
        <w:rPr>
          <w:rFonts w:asciiTheme="majorHAnsi" w:hAnsiTheme="majorHAnsi"/>
        </w:rPr>
        <w:t>ipilimumab</w:t>
      </w:r>
      <w:r w:rsidRPr="00D11F9C">
        <w:rPr>
          <w:rFonts w:ascii="微軟正黑體" w:eastAsia="微軟正黑體" w:hAnsi="微軟正黑體" w:cs="微軟正黑體" w:hint="eastAsia"/>
        </w:rPr>
        <w:t>），其中二十位合併使用</w:t>
      </w:r>
      <w:r w:rsidRPr="00D11F9C">
        <w:rPr>
          <w:rFonts w:asciiTheme="majorHAnsi" w:hAnsiTheme="majorHAnsi"/>
        </w:rPr>
        <w:t>CBM588</w:t>
      </w:r>
      <w:r w:rsidRPr="00D11F9C">
        <w:rPr>
          <w:rFonts w:ascii="微軟正黑體" w:eastAsia="微軟正黑體" w:hAnsi="微軟正黑體" w:cs="微軟正黑體" w:hint="eastAsia"/>
        </w:rPr>
        <w:t>。結果令人振奮：合併</w:t>
      </w:r>
      <w:r w:rsidRPr="00D11F9C">
        <w:rPr>
          <w:rFonts w:asciiTheme="majorHAnsi" w:hAnsiTheme="majorHAnsi"/>
        </w:rPr>
        <w:t>CBM588</w:t>
      </w:r>
      <w:r w:rsidRPr="00D11F9C">
        <w:rPr>
          <w:rFonts w:ascii="微軟正黑體" w:eastAsia="微軟正黑體" w:hAnsi="微軟正黑體" w:cs="微軟正黑體" w:hint="eastAsia"/>
        </w:rPr>
        <w:t>組的無惡化存活期達到十二點七個月，而對照組僅有二點五個月，疾病進展風險下降了百分之八十五。腸道菌相分析更進一步揭示了機制：使用</w:t>
      </w:r>
      <w:r w:rsidRPr="00D11F9C">
        <w:rPr>
          <w:rFonts w:asciiTheme="majorHAnsi" w:hAnsiTheme="majorHAnsi"/>
        </w:rPr>
        <w:t>CBM588</w:t>
      </w:r>
      <w:r w:rsidRPr="00D11F9C">
        <w:rPr>
          <w:rFonts w:ascii="微軟正黑體" w:eastAsia="微軟正黑體" w:hAnsi="微軟正黑體" w:cs="微軟正黑體" w:hint="eastAsia"/>
        </w:rPr>
        <w:t>的應答者，其糞便中的雙歧桿菌顯著增加，而與免疫治療抗性相關的硫酸鹽還原菌則明顯下降。</w:t>
      </w:r>
      <w:r w:rsidRPr="00D11F9C">
        <w:rPr>
          <w:rFonts w:asciiTheme="majorHAnsi" w:hAnsiTheme="majorHAnsi"/>
        </w:rPr>
        <w:t>[2]</w:t>
      </w:r>
    </w:p>
    <w:p w14:paraId="3A2E166C"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另一項評估</w:t>
      </w:r>
      <w:r w:rsidRPr="00D11F9C">
        <w:rPr>
          <w:rFonts w:asciiTheme="majorHAnsi" w:hAnsiTheme="majorHAnsi"/>
        </w:rPr>
        <w:t>cabozantinib</w:t>
      </w:r>
      <w:r w:rsidRPr="00D11F9C">
        <w:rPr>
          <w:rFonts w:ascii="微軟正黑體" w:eastAsia="微軟正黑體" w:hAnsi="微軟正黑體" w:cs="微軟正黑體" w:hint="eastAsia"/>
        </w:rPr>
        <w:t>加上</w:t>
      </w:r>
      <w:r w:rsidRPr="00D11F9C">
        <w:rPr>
          <w:rFonts w:asciiTheme="majorHAnsi" w:hAnsiTheme="majorHAnsi"/>
        </w:rPr>
        <w:t>nivolumab</w:t>
      </w:r>
      <w:r w:rsidRPr="00D11F9C">
        <w:rPr>
          <w:rFonts w:ascii="微軟正黑體" w:eastAsia="微軟正黑體" w:hAnsi="微軟正黑體" w:cs="微軟正黑體" w:hint="eastAsia"/>
        </w:rPr>
        <w:t>組合的試驗中，合併</w:t>
      </w:r>
      <w:r w:rsidRPr="00D11F9C">
        <w:rPr>
          <w:rFonts w:asciiTheme="majorHAnsi" w:hAnsiTheme="majorHAnsi"/>
        </w:rPr>
        <w:t>CBM588</w:t>
      </w:r>
      <w:r w:rsidRPr="00D11F9C">
        <w:rPr>
          <w:rFonts w:ascii="微軟正黑體" w:eastAsia="微軟正黑體" w:hAnsi="微軟正黑體" w:cs="微軟正黑體" w:hint="eastAsia"/>
        </w:rPr>
        <w:t>組的腫瘤緩解率從百分之二十大幅提升至百分之七十四，差異具有統計學意義。值得注意的是，這樣的療效提升並未伴隨嚴重副作用的增加。</w:t>
      </w:r>
      <w:r w:rsidRPr="00D11F9C">
        <w:rPr>
          <w:rFonts w:asciiTheme="majorHAnsi" w:hAnsiTheme="majorHAnsi"/>
        </w:rPr>
        <w:t>[3]</w:t>
      </w:r>
    </w:p>
    <w:p w14:paraId="151F0727" w14:textId="77777777" w:rsidR="00941FA3" w:rsidRPr="00D11F9C" w:rsidRDefault="00000000" w:rsidP="00D11F9C">
      <w:pPr>
        <w:spacing w:after="210" w:line="240" w:lineRule="auto"/>
        <w:rPr>
          <w:rFonts w:asciiTheme="majorHAnsi" w:hAnsiTheme="majorHAnsi"/>
        </w:rPr>
      </w:pPr>
      <w:r w:rsidRPr="00D11F9C">
        <w:rPr>
          <w:rFonts w:asciiTheme="majorHAnsi" w:hAnsiTheme="majorHAnsi"/>
        </w:rPr>
        <w:t>**</w:t>
      </w:r>
      <w:r w:rsidRPr="00D11F9C">
        <w:rPr>
          <w:rFonts w:ascii="微軟正黑體" w:eastAsia="微軟正黑體" w:hAnsi="微軟正黑體" w:cs="微軟正黑體" w:hint="eastAsia"/>
        </w:rPr>
        <w:t>非小細胞肺癌領域的研究則帶來了更深刻的啟示。</w:t>
      </w:r>
      <w:r w:rsidRPr="00D11F9C">
        <w:rPr>
          <w:rFonts w:asciiTheme="majorHAnsi" w:hAnsiTheme="majorHAnsi"/>
        </w:rPr>
        <w:t>**Tomita</w:t>
      </w:r>
      <w:r w:rsidRPr="00D11F9C">
        <w:rPr>
          <w:rFonts w:ascii="微軟正黑體" w:eastAsia="微軟正黑體" w:hAnsi="微軟正黑體" w:cs="微軟正黑體" w:hint="eastAsia"/>
        </w:rPr>
        <w:t>等人分析了一百零六位晚期肺癌病人接受化學免疫治療的情況，其中約百分之四十五同時使用</w:t>
      </w:r>
      <w:r w:rsidRPr="00D11F9C">
        <w:rPr>
          <w:rFonts w:asciiTheme="majorHAnsi" w:hAnsiTheme="majorHAnsi"/>
        </w:rPr>
        <w:t>CBM588</w:t>
      </w:r>
      <w:r w:rsidRPr="00D11F9C">
        <w:rPr>
          <w:rFonts w:ascii="微軟正黑體" w:eastAsia="微軟正黑體" w:hAnsi="微軟正黑體" w:cs="微軟正黑體" w:hint="eastAsia"/>
        </w:rPr>
        <w:t>。在調整其他混淆因素後，數據顯示使用</w:t>
      </w:r>
      <w:r w:rsidRPr="00D11F9C">
        <w:rPr>
          <w:rFonts w:asciiTheme="majorHAnsi" w:hAnsiTheme="majorHAnsi"/>
        </w:rPr>
        <w:t>CBM588</w:t>
      </w:r>
      <w:r w:rsidRPr="00D11F9C">
        <w:rPr>
          <w:rFonts w:ascii="微軟正黑體" w:eastAsia="微軟正黑體" w:hAnsi="微軟正黑體" w:cs="微軟正黑體" w:hint="eastAsia"/>
        </w:rPr>
        <w:t>的病人整體存活風險降低了百分之五十九，無惡化存活風險降低了百分之四十五。</w:t>
      </w:r>
      <w:r w:rsidRPr="00D11F9C">
        <w:rPr>
          <w:rFonts w:asciiTheme="majorHAnsi" w:hAnsiTheme="majorHAnsi"/>
        </w:rPr>
        <w:t>[4]</w:t>
      </w:r>
    </w:p>
    <w:p w14:paraId="62621571"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更重要的發現來自於次族群分析。在</w:t>
      </w:r>
      <w:r w:rsidRPr="00D11F9C">
        <w:rPr>
          <w:rFonts w:asciiTheme="majorHAnsi" w:hAnsiTheme="majorHAnsi"/>
        </w:rPr>
        <w:t>PD-L1</w:t>
      </w:r>
      <w:r w:rsidRPr="00D11F9C">
        <w:rPr>
          <w:rFonts w:ascii="微軟正黑體" w:eastAsia="微軟正黑體" w:hAnsi="微軟正黑體" w:cs="微軟正黑體" w:hint="eastAsia"/>
        </w:rPr>
        <w:t>表現低於百分之一，也就是對免疫治療反應最差的病人群中，</w:t>
      </w:r>
      <w:r w:rsidRPr="00D11F9C">
        <w:rPr>
          <w:rFonts w:asciiTheme="majorHAnsi" w:hAnsiTheme="majorHAnsi"/>
        </w:rPr>
        <w:t>CBM588</w:t>
      </w:r>
      <w:r w:rsidRPr="00D11F9C">
        <w:rPr>
          <w:rFonts w:ascii="微軟正黑體" w:eastAsia="微軟正黑體" w:hAnsi="微軟正黑體" w:cs="微軟正黑體" w:hint="eastAsia"/>
        </w:rPr>
        <w:t>使死亡風險下降了百分之八十。這意味著</w:t>
      </w:r>
      <w:r w:rsidRPr="00D11F9C">
        <w:rPr>
          <w:rFonts w:asciiTheme="majorHAnsi" w:hAnsiTheme="majorHAnsi"/>
        </w:rPr>
        <w:t>CBM588</w:t>
      </w:r>
      <w:r w:rsidRPr="00D11F9C">
        <w:rPr>
          <w:rFonts w:ascii="微軟正黑體" w:eastAsia="微軟正黑體" w:hAnsi="微軟正黑體" w:cs="微軟正黑體" w:hint="eastAsia"/>
        </w:rPr>
        <w:t>能夠逆轉原本被視為「難治」族群的不良預後。此外，在同時使用質子幫浦抑制劑或抗生素的高風險病人中，</w:t>
      </w:r>
      <w:r w:rsidRPr="00D11F9C">
        <w:rPr>
          <w:rFonts w:asciiTheme="majorHAnsi" w:hAnsiTheme="majorHAnsi"/>
        </w:rPr>
        <w:t>CBM588</w:t>
      </w:r>
      <w:r w:rsidRPr="00D11F9C">
        <w:rPr>
          <w:rFonts w:ascii="微軟正黑體" w:eastAsia="微軟正黑體" w:hAnsi="微軟正黑體" w:cs="微軟正黑體" w:hint="eastAsia"/>
        </w:rPr>
        <w:t>幾乎完全抵銷了這些藥物對免疫治療的負面影響。</w:t>
      </w:r>
      <w:r w:rsidRPr="00D11F9C">
        <w:rPr>
          <w:rFonts w:asciiTheme="majorHAnsi" w:hAnsiTheme="majorHAnsi"/>
        </w:rPr>
        <w:t>[4]</w:t>
      </w:r>
    </w:p>
    <w:p w14:paraId="67DD8BAE" w14:textId="77777777" w:rsidR="00941FA3" w:rsidRPr="00D11F9C" w:rsidRDefault="00000000" w:rsidP="00D11F9C">
      <w:pPr>
        <w:spacing w:after="210" w:line="240" w:lineRule="auto"/>
        <w:rPr>
          <w:rFonts w:asciiTheme="majorHAnsi" w:hAnsiTheme="majorHAnsi"/>
        </w:rPr>
      </w:pPr>
      <w:r w:rsidRPr="00D11F9C">
        <w:rPr>
          <w:rFonts w:asciiTheme="majorHAnsi" w:hAnsiTheme="majorHAnsi"/>
        </w:rPr>
        <w:t>**</w:t>
      </w:r>
      <w:r w:rsidRPr="00D11F9C">
        <w:rPr>
          <w:rFonts w:ascii="微軟正黑體" w:eastAsia="微軟正黑體" w:hAnsi="微軟正黑體" w:cs="微軟正黑體" w:hint="eastAsia"/>
        </w:rPr>
        <w:t>在困難梭菌感染與移植醫學等極端環境中，</w:t>
      </w:r>
      <w:r w:rsidRPr="00D11F9C">
        <w:rPr>
          <w:rFonts w:asciiTheme="majorHAnsi" w:hAnsiTheme="majorHAnsi"/>
        </w:rPr>
        <w:t>CBM588</w:t>
      </w:r>
      <w:r w:rsidRPr="00D11F9C">
        <w:rPr>
          <w:rFonts w:ascii="微軟正黑體" w:eastAsia="微軟正黑體" w:hAnsi="微軟正黑體" w:cs="微軟正黑體" w:hint="eastAsia"/>
        </w:rPr>
        <w:t>同樣展現了守護菌相的能力。</w:t>
      </w:r>
      <w:r w:rsidRPr="00D11F9C">
        <w:rPr>
          <w:rFonts w:asciiTheme="majorHAnsi" w:hAnsiTheme="majorHAnsi"/>
        </w:rPr>
        <w:t>**</w:t>
      </w:r>
      <w:r w:rsidRPr="00D11F9C">
        <w:rPr>
          <w:rFonts w:ascii="微軟正黑體" w:eastAsia="微軟正黑體" w:hAnsi="微軟正黑體" w:cs="微軟正黑體" w:hint="eastAsia"/>
        </w:rPr>
        <w:t>動物研究顯示，治療困難梭菌感染時單獨使用抗生素</w:t>
      </w:r>
      <w:r w:rsidRPr="00D11F9C">
        <w:rPr>
          <w:rFonts w:asciiTheme="majorHAnsi" w:hAnsiTheme="majorHAnsi"/>
        </w:rPr>
        <w:t>fidaxomicin</w:t>
      </w:r>
      <w:r w:rsidRPr="00D11F9C">
        <w:rPr>
          <w:rFonts w:ascii="微軟正黑體" w:eastAsia="微軟正黑體" w:hAnsi="微軟正黑體" w:cs="微軟正黑體" w:hint="eastAsia"/>
        </w:rPr>
        <w:t>會導致腸道琥珀酸濃度升高、乳酸桿菌大量減少、菌相多樣性崩潰。然而加入</w:t>
      </w:r>
      <w:r w:rsidRPr="00D11F9C">
        <w:rPr>
          <w:rFonts w:asciiTheme="majorHAnsi" w:hAnsiTheme="majorHAnsi"/>
        </w:rPr>
        <w:t>CBM588</w:t>
      </w:r>
      <w:r w:rsidRPr="00D11F9C">
        <w:rPr>
          <w:rFonts w:ascii="微軟正黑體" w:eastAsia="微軟正黑體" w:hAnsi="微軟正黑體" w:cs="微軟正黑體" w:hint="eastAsia"/>
        </w:rPr>
        <w:t>後，這些負面效應得到顯著改善：琥珀酸濃度恢復正常、乳酸桿菌回升、腸道的抗發炎因子</w:t>
      </w:r>
      <w:r w:rsidRPr="00D11F9C">
        <w:rPr>
          <w:rFonts w:asciiTheme="majorHAnsi" w:hAnsiTheme="majorHAnsi"/>
        </w:rPr>
        <w:t>IL-10</w:t>
      </w:r>
      <w:r w:rsidRPr="00D11F9C">
        <w:rPr>
          <w:rFonts w:ascii="微軟正黑體" w:eastAsia="微軟正黑體" w:hAnsi="微軟正黑體" w:cs="微軟正黑體" w:hint="eastAsia"/>
        </w:rPr>
        <w:t>上升而促發炎因子</w:t>
      </w:r>
      <w:r w:rsidRPr="00D11F9C">
        <w:rPr>
          <w:rFonts w:asciiTheme="majorHAnsi" w:hAnsiTheme="majorHAnsi"/>
        </w:rPr>
        <w:t>TNF-α</w:t>
      </w:r>
      <w:r w:rsidRPr="00D11F9C">
        <w:rPr>
          <w:rFonts w:ascii="微軟正黑體" w:eastAsia="微軟正黑體" w:hAnsi="微軟正黑體" w:cs="微軟正黑體" w:hint="eastAsia"/>
        </w:rPr>
        <w:t>下降，同時腸道屏障蛋白與黏液蛋白的表現也獲得提升。</w:t>
      </w:r>
      <w:r w:rsidRPr="00D11F9C">
        <w:rPr>
          <w:rFonts w:asciiTheme="majorHAnsi" w:hAnsiTheme="majorHAnsi"/>
        </w:rPr>
        <w:t>[5]</w:t>
      </w:r>
    </w:p>
    <w:p w14:paraId="3944872D"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lastRenderedPageBreak/>
        <w:t>在造血幹細胞移植這個風險極高的臨床情境中，使用</w:t>
      </w:r>
      <w:r w:rsidRPr="00D11F9C">
        <w:rPr>
          <w:rFonts w:asciiTheme="majorHAnsi" w:hAnsiTheme="majorHAnsi"/>
        </w:rPr>
        <w:t>CBM588</w:t>
      </w:r>
      <w:r w:rsidRPr="00D11F9C">
        <w:rPr>
          <w:rFonts w:ascii="微軟正黑體" w:eastAsia="微軟正黑體" w:hAnsi="微軟正黑體" w:cs="微軟正黑體" w:hint="eastAsia"/>
        </w:rPr>
        <w:t>的病人其腸道菌相多樣性在移植後二十一天內維持相對穩定，而未使用者則出現快速且持續的下降。同時，與移植物抗宿主病相關的腸球菌與擬桿菌在</w:t>
      </w:r>
      <w:r w:rsidRPr="00D11F9C">
        <w:rPr>
          <w:rFonts w:asciiTheme="majorHAnsi" w:hAnsiTheme="majorHAnsi"/>
        </w:rPr>
        <w:t>CBM588</w:t>
      </w:r>
      <w:r w:rsidRPr="00D11F9C">
        <w:rPr>
          <w:rFonts w:ascii="微軟正黑體" w:eastAsia="微軟正黑體" w:hAnsi="微軟正黑體" w:cs="微軟正黑體" w:hint="eastAsia"/>
        </w:rPr>
        <w:t>組的相對豐度也較低。</w:t>
      </w:r>
      <w:r w:rsidRPr="00D11F9C">
        <w:rPr>
          <w:rFonts w:asciiTheme="majorHAnsi" w:hAnsiTheme="majorHAnsi"/>
        </w:rPr>
        <w:t>[6]</w:t>
      </w:r>
    </w:p>
    <w:p w14:paraId="15029195" w14:textId="77777777" w:rsidR="00941FA3" w:rsidRPr="00D11F9C" w:rsidRDefault="00000000" w:rsidP="00D11F9C">
      <w:pPr>
        <w:spacing w:after="210" w:line="240" w:lineRule="auto"/>
        <w:rPr>
          <w:rFonts w:asciiTheme="majorHAnsi" w:hAnsiTheme="majorHAnsi"/>
        </w:rPr>
      </w:pPr>
      <w:r w:rsidRPr="00D11F9C">
        <w:rPr>
          <w:rFonts w:ascii="微軟正黑體" w:eastAsia="微軟正黑體" w:hAnsi="微軟正黑體" w:cs="微軟正黑體" w:hint="eastAsia"/>
        </w:rPr>
        <w:t>貫穿所有這些試驗的一個共同發現是：</w:t>
      </w:r>
      <w:r w:rsidRPr="00D11F9C">
        <w:rPr>
          <w:rFonts w:asciiTheme="majorHAnsi" w:hAnsiTheme="majorHAnsi"/>
        </w:rPr>
        <w:t>CBM588</w:t>
      </w:r>
      <w:r w:rsidRPr="00D11F9C">
        <w:rPr>
          <w:rFonts w:ascii="微軟正黑體" w:eastAsia="微軟正黑體" w:hAnsi="微軟正黑體" w:cs="微軟正黑體" w:hint="eastAsia"/>
        </w:rPr>
        <w:t>並未增加嚴重不良事件的發生率，充分展現了其在高風險病人群中的安全性。</w:t>
      </w:r>
      <w:r w:rsidRPr="00D11F9C">
        <w:rPr>
          <w:rFonts w:asciiTheme="majorHAnsi" w:hAnsiTheme="majorHAnsi"/>
        </w:rPr>
        <w:t>[2,3,4,6]</w:t>
      </w:r>
    </w:p>
    <w:p w14:paraId="1E97B881" w14:textId="071D600A" w:rsidR="00941FA3" w:rsidRPr="00D11F9C" w:rsidRDefault="00000000">
      <w:pPr>
        <w:spacing w:before="315" w:after="105" w:line="360" w:lineRule="auto"/>
        <w:ind w:left="-30"/>
        <w:rPr>
          <w:rFonts w:asciiTheme="majorHAnsi" w:hAnsiTheme="majorHAnsi"/>
        </w:rPr>
      </w:pPr>
      <w:bookmarkStart w:id="6" w:name="六_我該如何理解這種產品_認識cbm588的醫療定位"/>
      <w:r w:rsidRPr="00D11F9C">
        <w:rPr>
          <w:rFonts w:ascii="新細明體" w:eastAsia="新細明體" w:hAnsi="新細明體" w:cs="新細明體" w:hint="eastAsia"/>
          <w:b/>
          <w:color w:val="000000"/>
          <w:sz w:val="24"/>
        </w:rPr>
        <w:t>六、該如何理解這種產品？認識</w:t>
      </w:r>
      <w:r w:rsidRPr="00D11F9C">
        <w:rPr>
          <w:rFonts w:asciiTheme="majorHAnsi" w:eastAsia="inter" w:hAnsiTheme="majorHAnsi" w:cs="inter"/>
          <w:b/>
          <w:color w:val="000000"/>
          <w:sz w:val="24"/>
        </w:rPr>
        <w:t>CBM588</w:t>
      </w:r>
      <w:r w:rsidRPr="00D11F9C">
        <w:rPr>
          <w:rFonts w:ascii="新細明體" w:eastAsia="新細明體" w:hAnsi="新細明體" w:cs="新細明體" w:hint="eastAsia"/>
          <w:b/>
          <w:color w:val="000000"/>
          <w:sz w:val="24"/>
        </w:rPr>
        <w:t>的醫療定位</w:t>
      </w:r>
      <w:bookmarkEnd w:id="6"/>
    </w:p>
    <w:p w14:paraId="3F7E252C" w14:textId="77777777" w:rsidR="00941FA3" w:rsidRPr="00D11F9C" w:rsidRDefault="00000000">
      <w:pPr>
        <w:spacing w:after="210" w:line="360" w:lineRule="auto"/>
        <w:rPr>
          <w:rFonts w:asciiTheme="majorHAnsi" w:hAnsiTheme="majorHAnsi"/>
        </w:rPr>
      </w:pPr>
      <w:r w:rsidRPr="00D11F9C">
        <w:rPr>
          <w:rFonts w:ascii="微軟正黑體" w:eastAsia="微軟正黑體" w:hAnsi="微軟正黑體" w:cs="微軟正黑體" w:hint="eastAsia"/>
        </w:rPr>
        <w:t>目前</w:t>
      </w:r>
      <w:r w:rsidRPr="00D11F9C">
        <w:rPr>
          <w:rFonts w:asciiTheme="majorHAnsi" w:hAnsiTheme="majorHAnsi"/>
        </w:rPr>
        <w:t>CBM588</w:t>
      </w:r>
      <w:r w:rsidRPr="00D11F9C">
        <w:rPr>
          <w:rFonts w:ascii="微軟正黑體" w:eastAsia="微軟正黑體" w:hAnsi="微軟正黑體" w:cs="微軟正黑體" w:hint="eastAsia"/>
        </w:rPr>
        <w:t>的適用族群主要包括：接受免疫檢查點抑制劑治療的癌症病人，特別是肺癌與腎癌患者；化療期間需使用抗生素或質子幫浦抑制劑的病人；造血幹細胞移植的受贈者；接受重大腸道手術的患者；以及反覆困難梭菌感染的病人。這些情境的共同特徵，都是腸道菌相面臨嚴重破壞的高風險狀態。</w:t>
      </w:r>
      <w:r w:rsidRPr="00D11F9C">
        <w:rPr>
          <w:rFonts w:asciiTheme="majorHAnsi" w:hAnsiTheme="majorHAnsi"/>
        </w:rPr>
        <w:t>[2,4,5,6]</w:t>
      </w:r>
    </w:p>
    <w:p w14:paraId="698F93A2" w14:textId="6E41D73E" w:rsidR="00941FA3" w:rsidRPr="00D11F9C" w:rsidRDefault="00000000">
      <w:pPr>
        <w:spacing w:after="210" w:line="360" w:lineRule="auto"/>
        <w:rPr>
          <w:rFonts w:asciiTheme="majorHAnsi" w:hAnsiTheme="majorHAnsi"/>
        </w:rPr>
      </w:pPr>
      <w:r w:rsidRPr="00D11F9C">
        <w:rPr>
          <w:rFonts w:ascii="微軟正黑體" w:eastAsia="微軟正黑體" w:hAnsi="微軟正黑體" w:cs="微軟正黑體" w:hint="eastAsia"/>
        </w:rPr>
        <w:t>雖然</w:t>
      </w:r>
      <w:r w:rsidRPr="00D11F9C">
        <w:rPr>
          <w:rFonts w:asciiTheme="majorHAnsi" w:hAnsiTheme="majorHAnsi"/>
        </w:rPr>
        <w:t>CBM588</w:t>
      </w:r>
      <w:r w:rsidRPr="00D11F9C">
        <w:rPr>
          <w:rFonts w:ascii="微軟正黑體" w:eastAsia="微軟正黑體" w:hAnsi="微軟正黑體" w:cs="微軟正黑體" w:hint="eastAsia"/>
        </w:rPr>
        <w:t>在日本已使用數十年且安全性記錄良好，使用前仍</w:t>
      </w:r>
      <w:r w:rsidR="00D11F9C" w:rsidRPr="00D11F9C">
        <w:rPr>
          <w:rFonts w:asciiTheme="majorHAnsi" w:eastAsia="微軟正黑體" w:hAnsiTheme="majorHAnsi" w:cs="微軟正黑體"/>
        </w:rPr>
        <w:t>建議</w:t>
      </w:r>
      <w:r w:rsidR="00D11F9C">
        <w:rPr>
          <w:rFonts w:asciiTheme="majorHAnsi" w:eastAsia="微軟正黑體" w:hAnsiTheme="majorHAnsi" w:cs="微軟正黑體" w:hint="eastAsia"/>
        </w:rPr>
        <w:t>諮詢</w:t>
      </w:r>
      <w:r w:rsidRPr="00D11F9C">
        <w:rPr>
          <w:rFonts w:ascii="微軟正黑體" w:eastAsia="微軟正黑體" w:hAnsi="微軟正黑體" w:cs="微軟正黑體" w:hint="eastAsia"/>
        </w:rPr>
        <w:t>醫師。更重要的概念是，</w:t>
      </w:r>
      <w:r w:rsidRPr="00D11F9C">
        <w:rPr>
          <w:rFonts w:asciiTheme="majorHAnsi" w:hAnsiTheme="majorHAnsi"/>
        </w:rPr>
        <w:t>CBM588</w:t>
      </w:r>
      <w:r w:rsidRPr="00D11F9C">
        <w:rPr>
          <w:rFonts w:ascii="微軟正黑體" w:eastAsia="微軟正黑體" w:hAnsi="微軟正黑體" w:cs="微軟正黑體" w:hint="eastAsia"/>
        </w:rPr>
        <w:t>不能也不應該取代標準治療。它的核心價值在於透過保護腸道菌相來維持免疫功能，進而提升主要治療的療效與耐受性。這是一種輔助與增效的角色定位，而非獨立療法。</w:t>
      </w:r>
      <w:r w:rsidRPr="00D11F9C">
        <w:rPr>
          <w:rFonts w:asciiTheme="majorHAnsi" w:hAnsiTheme="majorHAnsi"/>
        </w:rPr>
        <w:t>[2,3,4]</w:t>
      </w:r>
    </w:p>
    <w:p w14:paraId="441FA36A" w14:textId="77777777" w:rsidR="00941FA3" w:rsidRPr="00D11F9C" w:rsidRDefault="00000000">
      <w:pPr>
        <w:spacing w:before="315" w:after="105" w:line="360" w:lineRule="auto"/>
        <w:ind w:left="-30"/>
        <w:rPr>
          <w:rFonts w:asciiTheme="majorHAnsi" w:hAnsiTheme="majorHAnsi"/>
        </w:rPr>
      </w:pPr>
      <w:bookmarkStart w:id="7" w:name="七_小結_腸道與健康的未來趨勢_lbp對醫療的深遠啟示"/>
      <w:r w:rsidRPr="00D11F9C">
        <w:rPr>
          <w:rFonts w:ascii="新細明體" w:eastAsia="新細明體" w:hAnsi="新細明體" w:cs="新細明體" w:hint="eastAsia"/>
          <w:b/>
          <w:color w:val="000000"/>
          <w:sz w:val="24"/>
        </w:rPr>
        <w:t>七、小結：腸道與健康的未來趨勢，</w:t>
      </w:r>
      <w:r w:rsidRPr="00D11F9C">
        <w:rPr>
          <w:rFonts w:asciiTheme="majorHAnsi" w:eastAsia="inter" w:hAnsiTheme="majorHAnsi" w:cs="inter"/>
          <w:b/>
          <w:color w:val="000000"/>
          <w:sz w:val="24"/>
        </w:rPr>
        <w:t>LBP</w:t>
      </w:r>
      <w:r w:rsidRPr="00D11F9C">
        <w:rPr>
          <w:rFonts w:ascii="新細明體" w:eastAsia="新細明體" w:hAnsi="新細明體" w:cs="新細明體" w:hint="eastAsia"/>
          <w:b/>
          <w:color w:val="000000"/>
          <w:sz w:val="24"/>
        </w:rPr>
        <w:t>對醫療的深遠啟示</w:t>
      </w:r>
      <w:bookmarkEnd w:id="7"/>
    </w:p>
    <w:p w14:paraId="0CCCF320" w14:textId="77777777" w:rsidR="00941FA3" w:rsidRPr="00D11F9C" w:rsidRDefault="00000000" w:rsidP="00D11F9C">
      <w:pPr>
        <w:spacing w:after="210" w:line="240" w:lineRule="auto"/>
        <w:rPr>
          <w:rFonts w:asciiTheme="majorHAnsi" w:eastAsia="微軟正黑體" w:hAnsiTheme="majorHAnsi"/>
        </w:rPr>
      </w:pPr>
      <w:r w:rsidRPr="00D11F9C">
        <w:rPr>
          <w:rFonts w:asciiTheme="majorHAnsi" w:eastAsia="微軟正黑體" w:hAnsiTheme="majorHAnsi" w:cs="微軟正黑體"/>
        </w:rPr>
        <w:t>腸道菌相研究的興起，徹底改變了我們對疾病本質的理解。從癌症到代謝疾病、從自體免疫疾病到神經退化性疾病，幾乎所有重大疾病都已被證實與腸道菌相失衡存在關聯。然而諷刺的是，化療、抗生素、免疫抑制劑等現代醫療的主力武器，在拯救生命的同時也摧毀了這個精密的微生態系統，形成了治療上的兩難困境。</w:t>
      </w:r>
      <w:r w:rsidRPr="00D11F9C">
        <w:rPr>
          <w:rFonts w:asciiTheme="majorHAnsi" w:eastAsia="微軟正黑體" w:hAnsiTheme="majorHAnsi"/>
        </w:rPr>
        <w:t>[8]</w:t>
      </w:r>
    </w:p>
    <w:p w14:paraId="2D97CF65" w14:textId="77777777" w:rsidR="00941FA3" w:rsidRPr="00D11F9C" w:rsidRDefault="00000000" w:rsidP="00D11F9C">
      <w:pPr>
        <w:spacing w:after="210" w:line="240" w:lineRule="auto"/>
        <w:rPr>
          <w:rFonts w:asciiTheme="majorHAnsi" w:eastAsia="微軟正黑體" w:hAnsiTheme="majorHAnsi"/>
        </w:rPr>
      </w:pPr>
      <w:r w:rsidRPr="00D11F9C">
        <w:rPr>
          <w:rFonts w:asciiTheme="majorHAnsi" w:eastAsia="微軟正黑體" w:hAnsiTheme="majorHAnsi" w:cs="微軟正黑體"/>
        </w:rPr>
        <w:t>次世代益生菌藥品的出現，為我們提供了第三條路徑。我們不必在治療效果與副作用之間痛苦妥協，而是可以透過重建微生態平衡來增強治療效果、同時減少併發症。</w:t>
      </w:r>
      <w:r w:rsidRPr="00D11F9C">
        <w:rPr>
          <w:rFonts w:asciiTheme="majorHAnsi" w:eastAsia="微軟正黑體" w:hAnsiTheme="majorHAnsi"/>
        </w:rPr>
        <w:t>CBM588</w:t>
      </w:r>
      <w:r w:rsidRPr="00D11F9C">
        <w:rPr>
          <w:rFonts w:asciiTheme="majorHAnsi" w:eastAsia="微軟正黑體" w:hAnsiTheme="majorHAnsi" w:cs="微軟正黑體"/>
        </w:rPr>
        <w:t>在多項臨床試驗中展現的證據告訴我們，這不是紙上談兵的理論，而是可測量、可重複、具有統計意義的實質生存獲益。</w:t>
      </w:r>
      <w:r w:rsidRPr="00D11F9C">
        <w:rPr>
          <w:rFonts w:asciiTheme="majorHAnsi" w:eastAsia="微軟正黑體" w:hAnsiTheme="majorHAnsi"/>
        </w:rPr>
        <w:t>[2,3,4]</w:t>
      </w:r>
    </w:p>
    <w:p w14:paraId="33FC1515" w14:textId="77777777" w:rsidR="00941FA3" w:rsidRPr="00D11F9C" w:rsidRDefault="00000000" w:rsidP="00D11F9C">
      <w:pPr>
        <w:spacing w:after="210" w:line="240" w:lineRule="auto"/>
        <w:rPr>
          <w:rFonts w:asciiTheme="majorHAnsi" w:eastAsia="微軟正黑體" w:hAnsiTheme="majorHAnsi"/>
        </w:rPr>
      </w:pPr>
      <w:r w:rsidRPr="00D11F9C">
        <w:rPr>
          <w:rFonts w:asciiTheme="majorHAnsi" w:eastAsia="微軟正黑體" w:hAnsiTheme="majorHAnsi" w:cs="新細明體"/>
          <w:color w:val="000000"/>
        </w:rPr>
        <w:t>展望未來，我們很可能見證精準微生物治療時代的來臨。屆時，醫師將根據病人的基線菌相特徵，選擇最適合的活菌藥品；腸道菌相監測會如同監測血糖與肝功能一樣，成為常規健康追蹤項目；而</w:t>
      </w:r>
      <w:r w:rsidRPr="00D11F9C">
        <w:rPr>
          <w:rFonts w:asciiTheme="majorHAnsi" w:eastAsia="微軟正黑體" w:hAnsiTheme="majorHAnsi" w:cs="inter"/>
          <w:color w:val="000000"/>
        </w:rPr>
        <w:t>LBP</w:t>
      </w:r>
      <w:r w:rsidRPr="00D11F9C">
        <w:rPr>
          <w:rFonts w:asciiTheme="majorHAnsi" w:eastAsia="微軟正黑體" w:hAnsiTheme="majorHAnsi" w:cs="新細明體"/>
          <w:color w:val="000000"/>
        </w:rPr>
        <w:t>與主流療法的標準組合，也會如同化療加上支持療法一樣，成為理所當然的治療常態。</w:t>
      </w:r>
    </w:p>
    <w:p w14:paraId="68C193BA" w14:textId="77777777" w:rsidR="00941FA3" w:rsidRPr="00D11F9C" w:rsidRDefault="00000000" w:rsidP="00D11F9C">
      <w:pPr>
        <w:spacing w:after="210" w:line="240" w:lineRule="auto"/>
        <w:rPr>
          <w:rFonts w:asciiTheme="majorHAnsi" w:eastAsia="微軟正黑體" w:hAnsiTheme="majorHAnsi"/>
        </w:rPr>
      </w:pPr>
      <w:r w:rsidRPr="00D11F9C">
        <w:rPr>
          <w:rFonts w:asciiTheme="majorHAnsi" w:eastAsia="微軟正黑體" w:hAnsiTheme="majorHAnsi" w:cs="微軟正黑體"/>
        </w:rPr>
        <w:t>然而我也必須誠實提醒，</w:t>
      </w:r>
      <w:r w:rsidRPr="00D11F9C">
        <w:rPr>
          <w:rFonts w:asciiTheme="majorHAnsi" w:eastAsia="微軟正黑體" w:hAnsiTheme="majorHAnsi"/>
        </w:rPr>
        <w:t>LBP</w:t>
      </w:r>
      <w:r w:rsidRPr="00D11F9C">
        <w:rPr>
          <w:rFonts w:asciiTheme="majorHAnsi" w:eastAsia="微軟正黑體" w:hAnsiTheme="majorHAnsi" w:cs="微軟正黑體"/>
        </w:rPr>
        <w:t>仍屬新興領域，目前多數產品仍處於臨床試驗階段，樣本數有限、長期追蹤數據尚缺。我們不應過度誇大療效，病人更不應自行購買來路不明的「活菌產品」。正確的做法是在專業醫療團隊的評估與監督下，於適當時機納入治療計畫。</w:t>
      </w:r>
      <w:r w:rsidRPr="00D11F9C">
        <w:rPr>
          <w:rFonts w:asciiTheme="majorHAnsi" w:eastAsia="微軟正黑體" w:hAnsiTheme="majorHAnsi"/>
        </w:rPr>
        <w:t>[1,9]</w:t>
      </w:r>
      <w:r w:rsidRPr="00D11F9C">
        <w:rPr>
          <w:rFonts w:asciiTheme="majorHAnsi" w:eastAsia="微軟正黑體" w:hAnsiTheme="majorHAnsi" w:cs="微軟正黑體"/>
        </w:rPr>
        <w:t>。</w:t>
      </w:r>
    </w:p>
    <w:p w14:paraId="654D4340" w14:textId="087BD13D" w:rsidR="004A60E9" w:rsidRPr="00D11F9C" w:rsidRDefault="004A60E9">
      <w:pPr>
        <w:rPr>
          <w:rFonts w:asciiTheme="majorHAnsi" w:hAnsiTheme="majorHAnsi" w:hint="eastAsia"/>
          <w:lang w:eastAsia="zh-TW"/>
        </w:rPr>
      </w:pPr>
    </w:p>
    <w:p w14:paraId="6019D1AE" w14:textId="77777777" w:rsidR="004A60E9" w:rsidRPr="00D11F9C" w:rsidRDefault="00000000">
      <w:pPr>
        <w:rPr>
          <w:rFonts w:asciiTheme="majorHAnsi" w:hAnsiTheme="majorHAnsi"/>
        </w:rPr>
      </w:pPr>
      <w:r w:rsidRPr="00D11F9C">
        <w:rPr>
          <w:rFonts w:ascii="微軟正黑體" w:eastAsia="微軟正黑體" w:hAnsi="微軟正黑體" w:cs="微軟正黑體" w:hint="eastAsia"/>
        </w:rPr>
        <w:t>參考文獻（</w:t>
      </w:r>
      <w:r w:rsidRPr="00D11F9C">
        <w:rPr>
          <w:rFonts w:asciiTheme="majorHAnsi" w:hAnsiTheme="majorHAnsi"/>
        </w:rPr>
        <w:t xml:space="preserve">APA </w:t>
      </w:r>
      <w:r w:rsidRPr="00D11F9C">
        <w:rPr>
          <w:rFonts w:ascii="微軟正黑體" w:eastAsia="微軟正黑體" w:hAnsi="微軟正黑體" w:cs="微軟正黑體" w:hint="eastAsia"/>
        </w:rPr>
        <w:t>格式）</w:t>
      </w:r>
    </w:p>
    <w:p w14:paraId="598DDB79" w14:textId="77777777" w:rsidR="004A60E9" w:rsidRPr="00D11F9C" w:rsidRDefault="00000000">
      <w:pPr>
        <w:rPr>
          <w:rFonts w:asciiTheme="majorHAnsi" w:hAnsiTheme="majorHAnsi"/>
        </w:rPr>
      </w:pPr>
      <w:r w:rsidRPr="00D11F9C">
        <w:rPr>
          <w:rFonts w:asciiTheme="majorHAnsi" w:hAnsiTheme="majorHAnsi"/>
        </w:rPr>
        <w:t>[1] U.S. Food and Drug Administration. (2018). Early clinical trials with live biotherapeutic products: Chemistry, manufacturing, and control information (Guidance for Industry, FDA-2010-D-0500).</w:t>
      </w:r>
    </w:p>
    <w:p w14:paraId="322993F0" w14:textId="77777777" w:rsidR="004A60E9" w:rsidRPr="00D11F9C" w:rsidRDefault="00000000">
      <w:pPr>
        <w:rPr>
          <w:rFonts w:asciiTheme="majorHAnsi" w:hAnsiTheme="majorHAnsi"/>
        </w:rPr>
      </w:pPr>
      <w:r w:rsidRPr="00D11F9C">
        <w:rPr>
          <w:rFonts w:asciiTheme="majorHAnsi" w:hAnsiTheme="majorHAnsi"/>
        </w:rPr>
        <w:t>[2] Dizman, N., Meza, L., Bergerot, P., et al. (2022). Nivolumab plus ipilimumab with or without live bacterial product CBM588 in patients with metastatic renal cell carcinoma. Nature Medicine, 28(4), 704–712.</w:t>
      </w:r>
    </w:p>
    <w:p w14:paraId="001D3602" w14:textId="77777777" w:rsidR="004A60E9" w:rsidRPr="00D11F9C" w:rsidRDefault="00000000">
      <w:pPr>
        <w:rPr>
          <w:rFonts w:asciiTheme="majorHAnsi" w:hAnsiTheme="majorHAnsi"/>
        </w:rPr>
      </w:pPr>
      <w:r w:rsidRPr="00D11F9C">
        <w:rPr>
          <w:rFonts w:asciiTheme="majorHAnsi" w:hAnsiTheme="majorHAnsi"/>
        </w:rPr>
        <w:t>[3] Ebrahimi, H., Agarwal, N., Dizman, N., et al. (2024). Cabozantinib and nivolumab with or without live bacterial product CBM588 in metastatic renal cell carcinoma. Nature Medicine, 30(9), 1876–1882.</w:t>
      </w:r>
    </w:p>
    <w:p w14:paraId="7BAD99B4" w14:textId="77777777" w:rsidR="004A60E9" w:rsidRPr="00D11F9C" w:rsidRDefault="00000000">
      <w:pPr>
        <w:rPr>
          <w:rFonts w:asciiTheme="majorHAnsi" w:hAnsiTheme="majorHAnsi"/>
        </w:rPr>
      </w:pPr>
      <w:r w:rsidRPr="00D11F9C">
        <w:rPr>
          <w:rFonts w:asciiTheme="majorHAnsi" w:hAnsiTheme="majorHAnsi"/>
        </w:rPr>
        <w:t>[4] Tomita, Y., Sakata, S., Imamura, K., et al. (2023). Association of Clostridium butyricum therapy using the live bacterial product CBM588 with the survival of patients with lung cancer receiving chemoimmunotherapy combinations. Cancers, 16(1), 47.</w:t>
      </w:r>
    </w:p>
    <w:p w14:paraId="4DEE8A53" w14:textId="77777777" w:rsidR="004A60E9" w:rsidRPr="00D11F9C" w:rsidRDefault="00000000">
      <w:pPr>
        <w:rPr>
          <w:rFonts w:asciiTheme="majorHAnsi" w:hAnsiTheme="majorHAnsi"/>
        </w:rPr>
      </w:pPr>
      <w:r w:rsidRPr="00D11F9C">
        <w:rPr>
          <w:rFonts w:asciiTheme="majorHAnsi" w:hAnsiTheme="majorHAnsi"/>
        </w:rPr>
        <w:t>[5] Hagihara, M., Ariyoshi, T., Kuroki, Y., et al. (2021). Clostridium butyricum enhances colonization resistance against Clostridioides difficile by metabolic and immune modulation. Scientific Reports, 11, 15007.</w:t>
      </w:r>
    </w:p>
    <w:p w14:paraId="533D64A6" w14:textId="77777777" w:rsidR="004A60E9" w:rsidRPr="00D11F9C" w:rsidRDefault="00000000">
      <w:pPr>
        <w:rPr>
          <w:rFonts w:asciiTheme="majorHAnsi" w:hAnsiTheme="majorHAnsi"/>
        </w:rPr>
      </w:pPr>
      <w:r w:rsidRPr="00D11F9C">
        <w:rPr>
          <w:rFonts w:asciiTheme="majorHAnsi" w:hAnsiTheme="majorHAnsi"/>
        </w:rPr>
        <w:t>[6] Fukushima, K., Fukushima, N., Tomita, Y., et al. (2024). Clostridium butyricum MIYAIRI 588 contributes to the maintenance of intestinal microbiota diversity early after haematopoietic cell transplantation. Bone Marrow Transplantation, 59, 823–834.</w:t>
      </w:r>
    </w:p>
    <w:p w14:paraId="754B0D9E" w14:textId="77777777" w:rsidR="004A60E9" w:rsidRPr="00D11F9C" w:rsidRDefault="00000000">
      <w:pPr>
        <w:rPr>
          <w:rFonts w:asciiTheme="majorHAnsi" w:hAnsiTheme="majorHAnsi"/>
        </w:rPr>
      </w:pPr>
      <w:r w:rsidRPr="00D11F9C">
        <w:rPr>
          <w:rFonts w:asciiTheme="majorHAnsi" w:hAnsiTheme="majorHAnsi"/>
        </w:rPr>
        <w:t>[7] Del Socorro, T. P., Oka, K., Boulard, O., et al. (2024). The biotherapeutic Clostridium butyricum MIYAIRI 588 strain potentiates enterotropism of Rorγt+ Treg and PD-1 blockade efficacy. Gut Microbes, 16(1), 2315631.</w:t>
      </w:r>
    </w:p>
    <w:p w14:paraId="5B565404" w14:textId="77777777" w:rsidR="004A60E9" w:rsidRPr="00D11F9C" w:rsidRDefault="00000000">
      <w:pPr>
        <w:rPr>
          <w:rFonts w:asciiTheme="majorHAnsi" w:hAnsiTheme="majorHAnsi"/>
        </w:rPr>
      </w:pPr>
      <w:r w:rsidRPr="00D11F9C">
        <w:rPr>
          <w:rFonts w:asciiTheme="majorHAnsi" w:hAnsiTheme="majorHAnsi"/>
        </w:rPr>
        <w:t>[8] Chang, C. J., Lin, T. L., Tsai, Y. L., et al. (2019). Next generation probiotics in disease amelioration. Journal of Food and Drug Analysis, 27(4), 615–622.</w:t>
      </w:r>
    </w:p>
    <w:p w14:paraId="19E213C4" w14:textId="77777777" w:rsidR="004A60E9" w:rsidRPr="00D11F9C" w:rsidRDefault="00000000">
      <w:pPr>
        <w:rPr>
          <w:rFonts w:asciiTheme="majorHAnsi" w:hAnsiTheme="majorHAnsi"/>
        </w:rPr>
      </w:pPr>
      <w:r w:rsidRPr="00D11F9C">
        <w:rPr>
          <w:rFonts w:asciiTheme="majorHAnsi" w:hAnsiTheme="majorHAnsi"/>
        </w:rPr>
        <w:t>[9] Pan, S., Hsu, J.-C., Hung, K.-T., &amp; Ho, C.-J. (2025). Regulatory framework and challenges for live biotherapeutic products in Taiwan. Journal of Food and Drug Analysis, 33(2), 115–129.</w:t>
      </w:r>
    </w:p>
    <w:p w14:paraId="111D18C7" w14:textId="77777777" w:rsidR="004A60E9" w:rsidRPr="00D11F9C" w:rsidRDefault="00000000">
      <w:pPr>
        <w:rPr>
          <w:rFonts w:asciiTheme="majorHAnsi" w:hAnsiTheme="majorHAnsi"/>
        </w:rPr>
      </w:pPr>
      <w:r w:rsidRPr="00D11F9C">
        <w:rPr>
          <w:rFonts w:asciiTheme="majorHAnsi" w:hAnsiTheme="majorHAnsi"/>
        </w:rPr>
        <w:t>[10] Lurienne, L., Cervesi, J., Duhalde, L., de Gunzburg, J., Andremont, A., Zalcman, G., Buffet, R., &amp; Bandinelli, P.-A. (2020). NSCLC immunotherapy efficacy and antibiotic use: A systematic review and meta-analysis. Journal of Thoracic Oncology, 15(7), 1147–1159. https://doi.org/10.1016/j.jtho.2020.03.002</w:t>
      </w:r>
    </w:p>
    <w:sectPr w:rsidR="004A60E9" w:rsidRPr="00D11F9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inter">
    <w:altName w:val="Cambria"/>
    <w:panose1 w:val="020B0604020202020204"/>
    <w:charset w:val="00"/>
    <w:family w:val="roman"/>
    <w:notTrueType/>
    <w:pitch w:val="default"/>
  </w:font>
  <w:font w:name="微軟正黑體">
    <w:altName w:val="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A57A2"/>
    <w:multiLevelType w:val="hybridMultilevel"/>
    <w:tmpl w:val="41D4C0BC"/>
    <w:lvl w:ilvl="0" w:tplc="7892E6BA">
      <w:numFmt w:val="decimal"/>
      <w:lvlText w:val=""/>
      <w:lvlJc w:val="left"/>
    </w:lvl>
    <w:lvl w:ilvl="1" w:tplc="2A9E41EC">
      <w:numFmt w:val="decimal"/>
      <w:lvlText w:val=""/>
      <w:lvlJc w:val="left"/>
    </w:lvl>
    <w:lvl w:ilvl="2" w:tplc="68F04FCC">
      <w:numFmt w:val="decimal"/>
      <w:lvlText w:val=""/>
      <w:lvlJc w:val="left"/>
    </w:lvl>
    <w:lvl w:ilvl="3" w:tplc="BAD63BB8">
      <w:numFmt w:val="decimal"/>
      <w:lvlText w:val=""/>
      <w:lvlJc w:val="left"/>
    </w:lvl>
    <w:lvl w:ilvl="4" w:tplc="4D72601E">
      <w:numFmt w:val="decimal"/>
      <w:lvlText w:val=""/>
      <w:lvlJc w:val="left"/>
    </w:lvl>
    <w:lvl w:ilvl="5" w:tplc="EF58C9FC">
      <w:numFmt w:val="decimal"/>
      <w:lvlText w:val=""/>
      <w:lvlJc w:val="left"/>
    </w:lvl>
    <w:lvl w:ilvl="6" w:tplc="3D682BAC">
      <w:numFmt w:val="decimal"/>
      <w:lvlText w:val=""/>
      <w:lvlJc w:val="left"/>
    </w:lvl>
    <w:lvl w:ilvl="7" w:tplc="E5384C0A">
      <w:numFmt w:val="decimal"/>
      <w:lvlText w:val=""/>
      <w:lvlJc w:val="left"/>
    </w:lvl>
    <w:lvl w:ilvl="8" w:tplc="755824BC">
      <w:numFmt w:val="decimal"/>
      <w:lvlText w:val=""/>
      <w:lvlJc w:val="left"/>
    </w:lvl>
  </w:abstractNum>
  <w:abstractNum w:abstractNumId="1" w15:restartNumberingAfterBreak="0">
    <w:nsid w:val="74CE4200"/>
    <w:multiLevelType w:val="hybridMultilevel"/>
    <w:tmpl w:val="5ADC1E7E"/>
    <w:lvl w:ilvl="0" w:tplc="25D494D0">
      <w:start w:val="1"/>
      <w:numFmt w:val="decimal"/>
      <w:lvlText w:val="%1."/>
      <w:lvlJc w:val="left"/>
      <w:pPr>
        <w:tabs>
          <w:tab w:val="num" w:pos="900"/>
        </w:tabs>
        <w:ind w:left="540" w:hanging="360"/>
      </w:pPr>
    </w:lvl>
    <w:lvl w:ilvl="1" w:tplc="6F1AB1C2">
      <w:numFmt w:val="decimal"/>
      <w:lvlText w:val=""/>
      <w:lvlJc w:val="left"/>
    </w:lvl>
    <w:lvl w:ilvl="2" w:tplc="08423580">
      <w:numFmt w:val="decimal"/>
      <w:lvlText w:val=""/>
      <w:lvlJc w:val="left"/>
    </w:lvl>
    <w:lvl w:ilvl="3" w:tplc="F7BED4AA">
      <w:numFmt w:val="decimal"/>
      <w:lvlText w:val=""/>
      <w:lvlJc w:val="left"/>
    </w:lvl>
    <w:lvl w:ilvl="4" w:tplc="1B88A09E">
      <w:numFmt w:val="decimal"/>
      <w:lvlText w:val=""/>
      <w:lvlJc w:val="left"/>
    </w:lvl>
    <w:lvl w:ilvl="5" w:tplc="6AE42C7C">
      <w:numFmt w:val="decimal"/>
      <w:lvlText w:val=""/>
      <w:lvlJc w:val="left"/>
    </w:lvl>
    <w:lvl w:ilvl="6" w:tplc="0B225DC2">
      <w:numFmt w:val="decimal"/>
      <w:lvlText w:val=""/>
      <w:lvlJc w:val="left"/>
    </w:lvl>
    <w:lvl w:ilvl="7" w:tplc="68A27512">
      <w:numFmt w:val="decimal"/>
      <w:lvlText w:val=""/>
      <w:lvlJc w:val="left"/>
    </w:lvl>
    <w:lvl w:ilvl="8" w:tplc="B77812DE">
      <w:numFmt w:val="decimal"/>
      <w:lvlText w:val=""/>
      <w:lvlJc w:val="left"/>
    </w:lvl>
  </w:abstractNum>
  <w:num w:numId="1" w16cid:durableId="1398435633">
    <w:abstractNumId w:val="0"/>
  </w:num>
  <w:num w:numId="2" w16cid:durableId="499083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FA3"/>
    <w:rsid w:val="00006F5B"/>
    <w:rsid w:val="004949C0"/>
    <w:rsid w:val="004A60E9"/>
    <w:rsid w:val="006B5CF2"/>
    <w:rsid w:val="006E3604"/>
    <w:rsid w:val="00941FA3"/>
    <w:rsid w:val="00B741FD"/>
    <w:rsid w:val="00D11F9C"/>
    <w:rsid w:val="00E919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E49E2"/>
  <w15:docId w15:val="{55BAAC64-63CB-2243-BAA7-29C6498D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zh-CN" w:eastAsia="zh-CN"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HF23757</cp:lastModifiedBy>
  <cp:revision>3</cp:revision>
  <dcterms:created xsi:type="dcterms:W3CDTF">2025-12-28T13:28:00Z</dcterms:created>
  <dcterms:modified xsi:type="dcterms:W3CDTF">2025-12-28T13:28:00Z</dcterms:modified>
</cp:coreProperties>
</file>