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D3011" w14:textId="77777777" w:rsidR="004E54E6" w:rsidRPr="00D31FC0" w:rsidRDefault="004E54E6" w:rsidP="004E54E6">
      <w:pPr>
        <w:rPr>
          <w:b/>
          <w:sz w:val="28"/>
          <w:szCs w:val="28"/>
        </w:rPr>
      </w:pPr>
      <w:r w:rsidRPr="00D31FC0">
        <w:rPr>
          <w:b/>
          <w:sz w:val="28"/>
          <w:szCs w:val="28"/>
        </w:rPr>
        <w:t>Potential impact of risk-based follow-up for abnormal CT results during lung screening with biennial intervals</w:t>
      </w:r>
    </w:p>
    <w:p w14:paraId="73D9B3D8" w14:textId="77777777" w:rsidR="004E54E6" w:rsidRDefault="004E54E6" w:rsidP="004E54E6">
      <w:pPr>
        <w:spacing w:line="480" w:lineRule="auto"/>
        <w:outlineLvl w:val="0"/>
      </w:pPr>
    </w:p>
    <w:p w14:paraId="01D5641A" w14:textId="77777777" w:rsidR="004E54E6" w:rsidRDefault="004E54E6" w:rsidP="004E54E6">
      <w:pPr>
        <w:spacing w:line="480" w:lineRule="auto"/>
        <w:outlineLvl w:val="0"/>
        <w:rPr>
          <w:vertAlign w:val="superscript"/>
        </w:rPr>
      </w:pPr>
      <w:r w:rsidRPr="00CF23F2">
        <w:t>Hilary A. Robbins</w:t>
      </w:r>
      <w:r w:rsidRPr="00CF23F2">
        <w:rPr>
          <w:vertAlign w:val="superscript"/>
        </w:rPr>
        <w:t>1</w:t>
      </w:r>
      <w:r w:rsidRPr="00CF23F2">
        <w:t>, Li C. Cheung</w:t>
      </w:r>
      <w:r w:rsidRPr="00CF23F2">
        <w:rPr>
          <w:vertAlign w:val="superscript"/>
        </w:rPr>
        <w:t>2</w:t>
      </w:r>
      <w:r w:rsidRPr="00CF23F2">
        <w:t>, Anil K. Chaturvedi</w:t>
      </w:r>
      <w:r w:rsidRPr="00CF23F2">
        <w:rPr>
          <w:vertAlign w:val="superscript"/>
        </w:rPr>
        <w:t>2</w:t>
      </w:r>
      <w:r w:rsidRPr="00CF23F2">
        <w:t>, Christine D. Berg</w:t>
      </w:r>
      <w:r w:rsidRPr="00CF23F2">
        <w:rPr>
          <w:vertAlign w:val="superscript"/>
        </w:rPr>
        <w:t>2</w:t>
      </w:r>
      <w:r w:rsidRPr="00CF23F2">
        <w:t>, Hormuzd A. Katki</w:t>
      </w:r>
      <w:r w:rsidRPr="00CF23F2">
        <w:rPr>
          <w:vertAlign w:val="superscript"/>
        </w:rPr>
        <w:t>2</w:t>
      </w:r>
    </w:p>
    <w:p w14:paraId="3E431B99" w14:textId="77777777" w:rsidR="004E54E6" w:rsidRDefault="004E54E6" w:rsidP="004E54E6">
      <w:pPr>
        <w:spacing w:line="480" w:lineRule="auto"/>
        <w:rPr>
          <w:vertAlign w:val="superscript"/>
        </w:rPr>
      </w:pPr>
    </w:p>
    <w:p w14:paraId="63223D21" w14:textId="35B00F2E" w:rsidR="004E54E6" w:rsidRPr="00CF23F2" w:rsidRDefault="004E54E6" w:rsidP="004E54E6">
      <w:pPr>
        <w:spacing w:line="480" w:lineRule="auto"/>
      </w:pPr>
      <w:r w:rsidRPr="00CF23F2">
        <w:rPr>
          <w:vertAlign w:val="superscript"/>
        </w:rPr>
        <w:t>1</w:t>
      </w:r>
      <w:r>
        <w:t>International Agency for Research on Cancer, Lyon, France</w:t>
      </w:r>
    </w:p>
    <w:p w14:paraId="338FFB7F" w14:textId="77777777" w:rsidR="004E54E6" w:rsidRPr="00CF23F2" w:rsidRDefault="004E54E6" w:rsidP="004E54E6">
      <w:pPr>
        <w:spacing w:line="480" w:lineRule="auto"/>
      </w:pPr>
      <w:r w:rsidRPr="00CF23F2">
        <w:rPr>
          <w:vertAlign w:val="superscript"/>
        </w:rPr>
        <w:t>2</w:t>
      </w:r>
      <w:r w:rsidRPr="00CF23F2">
        <w:t>Division of Cancer Epidemiology and Genetics, National Cancer Institute, Rockville, Maryland</w:t>
      </w:r>
      <w:r>
        <w:t>, USA</w:t>
      </w:r>
    </w:p>
    <w:p w14:paraId="06EA9C9E" w14:textId="77777777" w:rsidR="004E54E6" w:rsidRDefault="004E54E6" w:rsidP="00EF73FE">
      <w:pPr>
        <w:spacing w:line="480" w:lineRule="auto"/>
        <w:rPr>
          <w:b/>
          <w:u w:val="single"/>
        </w:rPr>
      </w:pPr>
    </w:p>
    <w:p w14:paraId="39D3E3CE" w14:textId="4EC2169E" w:rsidR="00EF73FE" w:rsidRDefault="00EF73FE" w:rsidP="00EF73FE">
      <w:pPr>
        <w:spacing w:line="480" w:lineRule="auto"/>
        <w:rPr>
          <w:b/>
          <w:u w:val="single"/>
        </w:rPr>
      </w:pPr>
      <w:r w:rsidRPr="00EF73FE">
        <w:rPr>
          <w:b/>
          <w:u w:val="single"/>
        </w:rPr>
        <w:t>Supplementary Results</w:t>
      </w:r>
    </w:p>
    <w:p w14:paraId="28649621" w14:textId="77777777" w:rsidR="00EF73FE" w:rsidRPr="00EF73FE" w:rsidRDefault="00EF73FE" w:rsidP="00EF73FE">
      <w:pPr>
        <w:spacing w:line="480" w:lineRule="auto"/>
        <w:rPr>
          <w:b/>
          <w:u w:val="single"/>
        </w:rPr>
      </w:pPr>
    </w:p>
    <w:p w14:paraId="3B57C2D8" w14:textId="6DE9B50F" w:rsidR="00EF73FE" w:rsidRPr="0020381A" w:rsidRDefault="00EF73FE" w:rsidP="00EF73FE">
      <w:pPr>
        <w:spacing w:line="480" w:lineRule="auto"/>
        <w:rPr>
          <w:i/>
          <w:u w:val="single"/>
        </w:rPr>
      </w:pPr>
      <w:r>
        <w:rPr>
          <w:i/>
          <w:u w:val="single"/>
        </w:rPr>
        <w:t>Four properties of NLST LDCT screening after a non-malignant abnormal CT</w:t>
      </w:r>
      <w:r>
        <w:rPr>
          <w:i/>
          <w:u w:val="single"/>
        </w:rPr>
        <w:br/>
      </w:r>
      <w:r>
        <w:t>The LCRAT+CT model accounts for 4 properties of NLST screening that applied among screen-negative individuals.</w:t>
      </w:r>
      <w:r>
        <w:fldChar w:fldCharType="begin" w:fldLock="1"/>
      </w:r>
      <w:r>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fldChar w:fldCharType="separate"/>
      </w:r>
      <w:r w:rsidRPr="005669FA">
        <w:rPr>
          <w:noProof/>
          <w:vertAlign w:val="superscript"/>
        </w:rPr>
        <w:t>5</w:t>
      </w:r>
      <w:r>
        <w:fldChar w:fldCharType="end"/>
      </w:r>
      <w:r>
        <w:t xml:space="preserve"> We re-examined those properties here for non-malignant abnormal screens. First, the </w:t>
      </w:r>
      <w:proofErr w:type="spellStart"/>
      <w:r>
        <w:t>predictiveness</w:t>
      </w:r>
      <w:proofErr w:type="spellEnd"/>
      <w:r>
        <w:t xml:space="preserve"> of LCRAT+CT after a non-malignant abnormal CT is considerably improved by including individual pre-screening risk (AIC 2293 vs. 2354, p&lt;0.0001). Second, the exponent for pre-screening risk is</w:t>
      </w:r>
      <w:r w:rsidRPr="002B0F57">
        <w:t xml:space="preserve"> similar among individuals with a recent abnormal </w:t>
      </w:r>
      <w:r>
        <w:t>LD</w:t>
      </w:r>
      <w:r w:rsidRPr="002B0F57">
        <w:t xml:space="preserve">CT, even if their prior </w:t>
      </w:r>
      <w:r>
        <w:t>LD</w:t>
      </w:r>
      <w:r w:rsidRPr="002B0F57">
        <w:t xml:space="preserve">CT result differs (i.e. </w:t>
      </w:r>
      <w:r>
        <w:t>T0-</w:t>
      </w:r>
      <w:r w:rsidRPr="002B0F57">
        <w:t>negative</w:t>
      </w:r>
      <w:r>
        <w:t>/T1-abnormal</w:t>
      </w:r>
      <w:r w:rsidRPr="002B0F57">
        <w:t xml:space="preserve"> </w:t>
      </w:r>
      <w:r>
        <w:t xml:space="preserve">[N=1,785] </w:t>
      </w:r>
      <w:r w:rsidRPr="002B0F57">
        <w:t xml:space="preserve">vs. </w:t>
      </w:r>
      <w:r>
        <w:t>T0-</w:t>
      </w:r>
      <w:r w:rsidRPr="002B0F57">
        <w:t>abnormal</w:t>
      </w:r>
      <w:r>
        <w:t>/T1-abnormal [N=4,694], p=0.62). Therefore, only the most recent (abnormal) LDCT result was considered in our model. Third, the overall r</w:t>
      </w:r>
      <w:r w:rsidRPr="002B0F57">
        <w:t xml:space="preserve">isk </w:t>
      </w:r>
      <w:r>
        <w:t>calculation (exponent for pre-screening risk)</w:t>
      </w:r>
      <w:r w:rsidRPr="002B0F57">
        <w:t xml:space="preserve"> </w:t>
      </w:r>
      <w:r>
        <w:t>is</w:t>
      </w:r>
      <w:r w:rsidRPr="002B0F57">
        <w:t xml:space="preserve"> similar </w:t>
      </w:r>
      <w:r>
        <w:t>across</w:t>
      </w:r>
      <w:r w:rsidRPr="002B0F57">
        <w:t xml:space="preserve"> the di</w:t>
      </w:r>
      <w:r>
        <w:t>fferent NLST screens (i.e. T1 [N=6,483] vs. T2 [N=6,510], p=0.13).</w:t>
      </w:r>
    </w:p>
    <w:p w14:paraId="30DAABB7" w14:textId="77777777" w:rsidR="00EF73FE" w:rsidRDefault="00EF73FE" w:rsidP="00EF73FE">
      <w:pPr>
        <w:spacing w:line="480" w:lineRule="auto"/>
      </w:pPr>
    </w:p>
    <w:p w14:paraId="4FFA5DC0" w14:textId="77777777" w:rsidR="00EF73FE" w:rsidRDefault="00EF73FE" w:rsidP="00EF73FE">
      <w:pPr>
        <w:spacing w:line="480" w:lineRule="auto"/>
      </w:pPr>
      <w:r>
        <w:t xml:space="preserve">Finally, after accounting for nodule characteristics (described below), we examined whether any pre-screening risk factors had residual effects. We found potential residual effects for decreased risk with a family history of lung cancer (p=0.008) and higher risk among non-Hispanic Blacks (p=0.009). We chose not to include these effects because having lower risk </w:t>
      </w:r>
      <w:r>
        <w:lastRenderedPageBreak/>
        <w:t xml:space="preserve">with family history is implausible, estimation among a small group that may be non-representative (race/ethnicity; see </w:t>
      </w:r>
      <w:r>
        <w:rPr>
          <w:b/>
        </w:rPr>
        <w:t>Discussion</w:t>
      </w:r>
      <w:r>
        <w:t xml:space="preserve">), and the expectation of spurious associations identified due to multiple testing. </w:t>
      </w:r>
    </w:p>
    <w:p w14:paraId="52EB7986" w14:textId="77777777" w:rsidR="00EF73FE" w:rsidRPr="00C757C6" w:rsidRDefault="00EF73FE" w:rsidP="00EF73FE">
      <w:pPr>
        <w:spacing w:line="480" w:lineRule="auto"/>
        <w:rPr>
          <w:u w:val="single"/>
        </w:rPr>
      </w:pPr>
      <w:r w:rsidRPr="00C757C6">
        <w:rPr>
          <w:u w:val="single"/>
        </w:rPr>
        <w:t xml:space="preserve"> </w:t>
      </w:r>
    </w:p>
    <w:p w14:paraId="55424714" w14:textId="75B3C9AC" w:rsidR="00EF73FE" w:rsidRPr="0020381A" w:rsidRDefault="00EF73FE" w:rsidP="00EF73FE">
      <w:pPr>
        <w:spacing w:line="480" w:lineRule="auto"/>
        <w:rPr>
          <w:i/>
          <w:u w:val="single"/>
        </w:rPr>
      </w:pPr>
      <w:r>
        <w:rPr>
          <w:i/>
          <w:u w:val="single"/>
        </w:rPr>
        <w:t>Selection of abnormal LDCT features for inclusion in LCRAT+CT risk model</w:t>
      </w:r>
      <w:r>
        <w:rPr>
          <w:i/>
          <w:u w:val="single"/>
        </w:rPr>
        <w:br/>
      </w:r>
      <w:r>
        <w:t xml:space="preserve">We considered 29 features of an abnormal LDCT, most of which describe nodules, that might affect the calculation for risk of next-screen cancer detection </w:t>
      </w:r>
      <w:r w:rsidRPr="00D02123">
        <w:t>(</w:t>
      </w:r>
      <w:r w:rsidR="005B03E2">
        <w:rPr>
          <w:b/>
        </w:rPr>
        <w:t>Supplementary Table 1</w:t>
      </w:r>
      <w:r w:rsidRPr="00D02123">
        <w:t>)</w:t>
      </w:r>
      <w:r w:rsidRPr="007534C9">
        <w:rPr>
          <w:b/>
        </w:rPr>
        <w:t>.</w:t>
      </w:r>
      <w:r w:rsidR="005B03E2">
        <w:rPr>
          <w:b/>
        </w:rPr>
        <w:t xml:space="preserve"> </w:t>
      </w:r>
      <w:r w:rsidR="005B03E2">
        <w:t>They were parameterized by considering whether they applied to any nodules present on the LDCT; for example, the variable for “spiculated margins” was equal to 1 if there were any nodules with spiculation, and 0 otherwise.</w:t>
      </w:r>
      <w:r>
        <w:rPr>
          <w:b/>
        </w:rPr>
        <w:t xml:space="preserve"> </w:t>
      </w:r>
      <w:r w:rsidR="005B03E2">
        <w:t>The</w:t>
      </w:r>
      <w:r>
        <w:t xml:space="preserve"> features affect the exponent for pre-screening risk, and the p-values in </w:t>
      </w:r>
      <w:r w:rsidR="005B03E2">
        <w:rPr>
          <w:b/>
        </w:rPr>
        <w:t xml:space="preserve">Supplementary Table 1 </w:t>
      </w:r>
      <w:r>
        <w:t xml:space="preserve">relate to the null hypothesis that the feature does not affect in the exponent. </w:t>
      </w:r>
      <w:r w:rsidRPr="007534C9">
        <w:t>The</w:t>
      </w:r>
      <w:r>
        <w:t xml:space="preserve"> following features were selected by at least one approach (i.e., backwards-stepwise selection or the lasso): longest nodule diameter, location in the upper lobe(s), location in the right middle lobe, location in the lingula, mixed attenuation, “other” attenuation, smooth margins, spiculated margins, poorly-defined margins, margins that cannot be determined, and interval nodule growth (</w:t>
      </w:r>
      <w:r w:rsidR="005B03E2">
        <w:rPr>
          <w:b/>
        </w:rPr>
        <w:t>Supplementary Table 1</w:t>
      </w:r>
      <w:r>
        <w:t>).</w:t>
      </w:r>
    </w:p>
    <w:p w14:paraId="6AADB915" w14:textId="77777777" w:rsidR="00EF73FE" w:rsidRDefault="00EF73FE" w:rsidP="00EF73FE">
      <w:pPr>
        <w:spacing w:line="480" w:lineRule="auto"/>
      </w:pPr>
    </w:p>
    <w:p w14:paraId="25A24D45" w14:textId="77777777" w:rsidR="00EF73FE" w:rsidRDefault="00EF73FE" w:rsidP="00EF73FE">
      <w:pPr>
        <w:spacing w:line="480" w:lineRule="auto"/>
      </w:pPr>
      <w:r>
        <w:t xml:space="preserve">Among these variables, we chose not to include “other” attenuation, as the reasons for its effect are unclear and </w:t>
      </w:r>
      <w:proofErr w:type="spellStart"/>
      <w:r>
        <w:t>its</w:t>
      </w:r>
      <w:proofErr w:type="spellEnd"/>
      <w:r>
        <w:t xml:space="preserve"> unclear definition makes it unlikely to be consistently measurable across settings. We combined right middle lobe and lingula into one effect, and poorly defined margins and margins that cannot be determined into one effect (“indeterminate margins”). We removed smooth margins, which ha</w:t>
      </w:r>
      <w:r w:rsidRPr="00BB6280">
        <w:t>d no effect in addition t</w:t>
      </w:r>
      <w:r>
        <w:t xml:space="preserve">o the other variables (p=0.73). We then performed four sensitivity analyses. First, the number of nodules on the abnormal CT had no residual effect (p=0.29). Second, the presence of a new nodule (identified at the T1 or T2 screen, and a distinct entity from growing nodules) had no residual effect (p=0.77). Third, we examined a separate effect for diameter to individuals with a </w:t>
      </w:r>
      <w:r>
        <w:lastRenderedPageBreak/>
        <w:t>ground-glass nodule, stratifying for &lt;20mm vs. ≥20mm as in Lung-RADS v1.0.</w:t>
      </w:r>
      <w:r>
        <w:fldChar w:fldCharType="begin" w:fldLock="1"/>
      </w:r>
      <w:r>
        <w:instrText>ADDIN CSL_CITATION {"citationItems":[{"id":"ITEM-1","itemData":{"URL":"https://www.acr.org/Quality-Safety/Resources/LungRADS","accessed":{"date-parts":[["2017","5","18"]]},"author":[{"dropping-particle":"","family":"American College of Radiology","given":"","non-dropping-particle":"","parse-names":false,"suffix":""}],"id":"ITEM-1","issued":{"date-parts":[["0"]]},"title":"Lung CT Screening Reporting and Data System (Lung-RADS).","type":"webpage"},"uris":["http://www.mendeley.com/documents/?uuid=9321bd67-995c-48d5-b3b3-0302864b8bae"]}],"mendeley":{"formattedCitation":"&lt;sup&gt;9&lt;/sup&gt;","plainTextFormattedCitation":"9","previouslyFormattedCitation":"&lt;sup&gt;9&lt;/sup&gt;"},"properties":{"noteIndex":0},"schema":"https://github.com/citation-style-language/schema/raw/master/csl-citation.json"}</w:instrText>
      </w:r>
      <w:r>
        <w:fldChar w:fldCharType="separate"/>
      </w:r>
      <w:r w:rsidRPr="005669FA">
        <w:rPr>
          <w:noProof/>
          <w:vertAlign w:val="superscript"/>
        </w:rPr>
        <w:t>9</w:t>
      </w:r>
      <w:r>
        <w:fldChar w:fldCharType="end"/>
      </w:r>
      <w:r>
        <w:t>, but this worsened the model (AIC 2070 vs. 2085). Finally, even after accounting for the selected nodule features, the model including pre-screening risk was still much better than one without (AIC=2070 vs. 2101).</w:t>
      </w:r>
    </w:p>
    <w:p w14:paraId="2337A9EC" w14:textId="691C9423" w:rsidR="005B03E2" w:rsidRDefault="005B03E2">
      <w:r>
        <w:br w:type="page"/>
      </w:r>
    </w:p>
    <w:p w14:paraId="1E3C3D91" w14:textId="570F4097" w:rsidR="005B03E2" w:rsidRDefault="005B03E2" w:rsidP="005B03E2">
      <w:pPr>
        <w:rPr>
          <w:b/>
        </w:rPr>
      </w:pPr>
      <w:r>
        <w:rPr>
          <w:b/>
        </w:rPr>
        <w:lastRenderedPageBreak/>
        <w:t>Supplementary Table</w:t>
      </w:r>
      <w:r w:rsidRPr="00CF23F2">
        <w:rPr>
          <w:b/>
        </w:rPr>
        <w:t xml:space="preserve"> </w:t>
      </w:r>
      <w:r>
        <w:rPr>
          <w:b/>
        </w:rPr>
        <w:t>1</w:t>
      </w:r>
      <w:r w:rsidRPr="00CF23F2">
        <w:rPr>
          <w:b/>
        </w:rPr>
        <w:t xml:space="preserve">: Selection of </w:t>
      </w:r>
      <w:r>
        <w:rPr>
          <w:b/>
        </w:rPr>
        <w:t>features identified on a non-malignant</w:t>
      </w:r>
      <w:r w:rsidRPr="00CF23F2">
        <w:rPr>
          <w:b/>
        </w:rPr>
        <w:t xml:space="preserve"> abnormal </w:t>
      </w:r>
      <w:r>
        <w:rPr>
          <w:b/>
        </w:rPr>
        <w:t>LD</w:t>
      </w:r>
      <w:r w:rsidRPr="00CF23F2">
        <w:rPr>
          <w:b/>
        </w:rPr>
        <w:t>CT for inclusion in</w:t>
      </w:r>
      <w:r>
        <w:rPr>
          <w:b/>
        </w:rPr>
        <w:t xml:space="preserve"> the LCRAT+CT</w:t>
      </w:r>
      <w:r w:rsidRPr="00CF23F2">
        <w:rPr>
          <w:b/>
        </w:rPr>
        <w:t xml:space="preserve"> model for next-screen lung-cancer risk among participants in the National Lung Screening Trial</w:t>
      </w:r>
    </w:p>
    <w:p w14:paraId="0812B5BA" w14:textId="77777777" w:rsidR="005B03E2" w:rsidRPr="00CF23F2" w:rsidRDefault="005B03E2" w:rsidP="005B03E2"/>
    <w:tbl>
      <w:tblPr>
        <w:tblStyle w:val="TableGrid"/>
        <w:tblW w:w="10008" w:type="dxa"/>
        <w:tblLayout w:type="fixed"/>
        <w:tblLook w:val="04A0" w:firstRow="1" w:lastRow="0" w:firstColumn="1" w:lastColumn="0" w:noHBand="0" w:noVBand="1"/>
      </w:tblPr>
      <w:tblGrid>
        <w:gridCol w:w="1368"/>
        <w:gridCol w:w="3510"/>
        <w:gridCol w:w="1710"/>
        <w:gridCol w:w="1710"/>
        <w:gridCol w:w="1710"/>
      </w:tblGrid>
      <w:tr w:rsidR="005B03E2" w:rsidRPr="005D1CA3" w14:paraId="040F29F1" w14:textId="77777777" w:rsidTr="00FE3E3B">
        <w:tc>
          <w:tcPr>
            <w:tcW w:w="4878" w:type="dxa"/>
            <w:gridSpan w:val="2"/>
            <w:vAlign w:val="center"/>
          </w:tcPr>
          <w:p w14:paraId="50D25013" w14:textId="77777777" w:rsidR="005B03E2" w:rsidRPr="0006695C" w:rsidRDefault="005B03E2" w:rsidP="00FE3E3B">
            <w:pPr>
              <w:jc w:val="center"/>
              <w:rPr>
                <w:b/>
                <w:sz w:val="20"/>
                <w:szCs w:val="20"/>
              </w:rPr>
            </w:pPr>
            <w:r w:rsidRPr="0006695C">
              <w:rPr>
                <w:b/>
                <w:sz w:val="20"/>
                <w:szCs w:val="20"/>
              </w:rPr>
              <w:t>Feature</w:t>
            </w:r>
            <w:r>
              <w:rPr>
                <w:b/>
                <w:sz w:val="20"/>
                <w:szCs w:val="20"/>
              </w:rPr>
              <w:t xml:space="preserve"> (prevalence)</w:t>
            </w:r>
          </w:p>
        </w:tc>
        <w:tc>
          <w:tcPr>
            <w:tcW w:w="1710" w:type="dxa"/>
            <w:vAlign w:val="center"/>
          </w:tcPr>
          <w:p w14:paraId="2F56C8E3" w14:textId="77777777" w:rsidR="005B03E2" w:rsidRPr="0006695C" w:rsidRDefault="005B03E2" w:rsidP="00FE3E3B">
            <w:pPr>
              <w:jc w:val="center"/>
              <w:rPr>
                <w:b/>
                <w:sz w:val="20"/>
                <w:szCs w:val="20"/>
              </w:rPr>
            </w:pPr>
            <w:r w:rsidRPr="0006695C">
              <w:rPr>
                <w:b/>
                <w:sz w:val="20"/>
                <w:szCs w:val="20"/>
              </w:rPr>
              <w:t>Stepwise</w:t>
            </w:r>
          </w:p>
        </w:tc>
        <w:tc>
          <w:tcPr>
            <w:tcW w:w="1710" w:type="dxa"/>
            <w:vAlign w:val="center"/>
          </w:tcPr>
          <w:p w14:paraId="2F657A18" w14:textId="77777777" w:rsidR="005B03E2" w:rsidRPr="008B1F19" w:rsidRDefault="005B03E2" w:rsidP="00FE3E3B">
            <w:pPr>
              <w:jc w:val="center"/>
              <w:rPr>
                <w:b/>
                <w:sz w:val="20"/>
                <w:szCs w:val="20"/>
              </w:rPr>
            </w:pPr>
            <w:r w:rsidRPr="008B1F19">
              <w:rPr>
                <w:b/>
                <w:sz w:val="20"/>
                <w:szCs w:val="20"/>
              </w:rPr>
              <w:t>Lasso</w:t>
            </w:r>
          </w:p>
        </w:tc>
        <w:tc>
          <w:tcPr>
            <w:tcW w:w="1710" w:type="dxa"/>
            <w:vAlign w:val="center"/>
          </w:tcPr>
          <w:p w14:paraId="6309A516" w14:textId="77777777" w:rsidR="005B03E2" w:rsidRPr="00640EA4" w:rsidRDefault="005B03E2" w:rsidP="00FE3E3B">
            <w:pPr>
              <w:jc w:val="center"/>
              <w:rPr>
                <w:b/>
                <w:sz w:val="20"/>
                <w:szCs w:val="20"/>
              </w:rPr>
            </w:pPr>
            <w:r w:rsidRPr="00640EA4">
              <w:rPr>
                <w:b/>
                <w:sz w:val="20"/>
                <w:szCs w:val="20"/>
              </w:rPr>
              <w:t>Final model</w:t>
            </w:r>
          </w:p>
        </w:tc>
      </w:tr>
      <w:tr w:rsidR="005B03E2" w:rsidRPr="005D1CA3" w14:paraId="062DBA70" w14:textId="77777777" w:rsidTr="00FE3E3B">
        <w:tc>
          <w:tcPr>
            <w:tcW w:w="1368" w:type="dxa"/>
            <w:vMerge w:val="restart"/>
            <w:vAlign w:val="center"/>
          </w:tcPr>
          <w:p w14:paraId="54C8BA12" w14:textId="77777777" w:rsidR="005B03E2" w:rsidRPr="005D1CA3" w:rsidRDefault="005B03E2" w:rsidP="00FE3E3B">
            <w:pPr>
              <w:jc w:val="center"/>
              <w:rPr>
                <w:sz w:val="20"/>
                <w:szCs w:val="20"/>
              </w:rPr>
            </w:pPr>
            <w:r>
              <w:rPr>
                <w:sz w:val="20"/>
                <w:szCs w:val="20"/>
              </w:rPr>
              <w:t>Presence and size of nodule(s)</w:t>
            </w:r>
          </w:p>
        </w:tc>
        <w:tc>
          <w:tcPr>
            <w:tcW w:w="3510" w:type="dxa"/>
            <w:vAlign w:val="center"/>
          </w:tcPr>
          <w:p w14:paraId="3397353B" w14:textId="77777777" w:rsidR="005B03E2" w:rsidRPr="0006695C" w:rsidRDefault="005B03E2" w:rsidP="00FE3E3B">
            <w:pPr>
              <w:rPr>
                <w:sz w:val="20"/>
                <w:szCs w:val="20"/>
              </w:rPr>
            </w:pPr>
            <w:r w:rsidRPr="0006695C">
              <w:rPr>
                <w:sz w:val="20"/>
                <w:szCs w:val="20"/>
              </w:rPr>
              <w:t>Number of nodules (continuous)</w:t>
            </w:r>
          </w:p>
        </w:tc>
        <w:tc>
          <w:tcPr>
            <w:tcW w:w="1710" w:type="dxa"/>
            <w:vAlign w:val="center"/>
          </w:tcPr>
          <w:p w14:paraId="4AE1F977" w14:textId="77777777" w:rsidR="005B03E2" w:rsidRPr="0006695C" w:rsidRDefault="005B03E2" w:rsidP="00FE3E3B">
            <w:pPr>
              <w:rPr>
                <w:sz w:val="20"/>
                <w:szCs w:val="20"/>
              </w:rPr>
            </w:pPr>
            <w:r>
              <w:rPr>
                <w:sz w:val="20"/>
                <w:szCs w:val="20"/>
              </w:rPr>
              <w:t>---</w:t>
            </w:r>
          </w:p>
        </w:tc>
        <w:tc>
          <w:tcPr>
            <w:tcW w:w="1710" w:type="dxa"/>
            <w:vAlign w:val="center"/>
          </w:tcPr>
          <w:p w14:paraId="5A2C2CAF" w14:textId="77777777" w:rsidR="005B03E2" w:rsidRPr="008B1F19" w:rsidRDefault="005B03E2" w:rsidP="00FE3E3B">
            <w:pPr>
              <w:rPr>
                <w:sz w:val="20"/>
                <w:szCs w:val="20"/>
              </w:rPr>
            </w:pPr>
            <w:r w:rsidRPr="008B1F19">
              <w:rPr>
                <w:sz w:val="20"/>
                <w:szCs w:val="20"/>
              </w:rPr>
              <w:t>---</w:t>
            </w:r>
          </w:p>
        </w:tc>
        <w:tc>
          <w:tcPr>
            <w:tcW w:w="1710" w:type="dxa"/>
            <w:vAlign w:val="center"/>
          </w:tcPr>
          <w:p w14:paraId="6BBB2956" w14:textId="77777777" w:rsidR="005B03E2" w:rsidRPr="00640EA4" w:rsidRDefault="005B03E2" w:rsidP="00FE3E3B">
            <w:pPr>
              <w:rPr>
                <w:sz w:val="20"/>
                <w:szCs w:val="20"/>
              </w:rPr>
            </w:pPr>
          </w:p>
        </w:tc>
      </w:tr>
      <w:tr w:rsidR="005B03E2" w:rsidRPr="005D1CA3" w14:paraId="377251E4" w14:textId="77777777" w:rsidTr="00FE3E3B">
        <w:tc>
          <w:tcPr>
            <w:tcW w:w="1368" w:type="dxa"/>
            <w:vMerge/>
            <w:vAlign w:val="center"/>
          </w:tcPr>
          <w:p w14:paraId="23560746" w14:textId="77777777" w:rsidR="005B03E2" w:rsidRPr="005D1CA3" w:rsidRDefault="005B03E2" w:rsidP="00FE3E3B">
            <w:pPr>
              <w:jc w:val="center"/>
              <w:rPr>
                <w:sz w:val="20"/>
                <w:szCs w:val="20"/>
              </w:rPr>
            </w:pPr>
          </w:p>
        </w:tc>
        <w:tc>
          <w:tcPr>
            <w:tcW w:w="3510" w:type="dxa"/>
            <w:vAlign w:val="center"/>
          </w:tcPr>
          <w:p w14:paraId="3661BED4" w14:textId="77777777" w:rsidR="005B03E2" w:rsidRPr="0006695C" w:rsidRDefault="005B03E2" w:rsidP="00FE3E3B">
            <w:pPr>
              <w:rPr>
                <w:sz w:val="20"/>
                <w:szCs w:val="20"/>
              </w:rPr>
            </w:pPr>
            <w:r w:rsidRPr="0006695C">
              <w:rPr>
                <w:sz w:val="20"/>
                <w:szCs w:val="20"/>
              </w:rPr>
              <w:t xml:space="preserve">Longest diameter among all nodules </w:t>
            </w:r>
          </w:p>
          <w:p w14:paraId="5EE29FE8" w14:textId="77777777" w:rsidR="005B03E2" w:rsidRPr="0006695C" w:rsidRDefault="005B03E2" w:rsidP="00FE3E3B">
            <w:pPr>
              <w:rPr>
                <w:sz w:val="20"/>
                <w:szCs w:val="20"/>
              </w:rPr>
            </w:pPr>
            <w:r w:rsidRPr="0006695C">
              <w:rPr>
                <w:sz w:val="20"/>
                <w:szCs w:val="20"/>
              </w:rPr>
              <w:t xml:space="preserve">    No nodule</w:t>
            </w:r>
            <w:r>
              <w:rPr>
                <w:sz w:val="20"/>
                <w:szCs w:val="20"/>
              </w:rPr>
              <w:t xml:space="preserve"> (1.9%)</w:t>
            </w:r>
          </w:p>
          <w:p w14:paraId="371D7FC4" w14:textId="77777777" w:rsidR="005B03E2" w:rsidRPr="0006695C" w:rsidRDefault="005B03E2" w:rsidP="00FE3E3B">
            <w:pPr>
              <w:rPr>
                <w:sz w:val="20"/>
                <w:szCs w:val="20"/>
              </w:rPr>
            </w:pPr>
            <w:r w:rsidRPr="0006695C">
              <w:rPr>
                <w:sz w:val="20"/>
                <w:szCs w:val="20"/>
              </w:rPr>
              <w:t xml:space="preserve">    4-5 mm</w:t>
            </w:r>
            <w:r>
              <w:rPr>
                <w:sz w:val="20"/>
                <w:szCs w:val="20"/>
              </w:rPr>
              <w:t xml:space="preserve"> (39%)</w:t>
            </w:r>
          </w:p>
          <w:p w14:paraId="01BB5F0B" w14:textId="77777777" w:rsidR="005B03E2" w:rsidRPr="0006695C" w:rsidRDefault="005B03E2" w:rsidP="00FE3E3B">
            <w:pPr>
              <w:rPr>
                <w:sz w:val="20"/>
                <w:szCs w:val="20"/>
              </w:rPr>
            </w:pPr>
            <w:r w:rsidRPr="0006695C">
              <w:rPr>
                <w:sz w:val="20"/>
                <w:szCs w:val="20"/>
              </w:rPr>
              <w:t xml:space="preserve">    6-7 mm</w:t>
            </w:r>
            <w:r>
              <w:rPr>
                <w:sz w:val="20"/>
                <w:szCs w:val="20"/>
              </w:rPr>
              <w:t xml:space="preserve"> (30%)</w:t>
            </w:r>
          </w:p>
          <w:p w14:paraId="0C39DE80" w14:textId="77777777" w:rsidR="005B03E2" w:rsidRPr="0006695C" w:rsidRDefault="005B03E2" w:rsidP="00FE3E3B">
            <w:pPr>
              <w:rPr>
                <w:sz w:val="20"/>
                <w:szCs w:val="20"/>
              </w:rPr>
            </w:pPr>
            <w:r w:rsidRPr="0006695C">
              <w:rPr>
                <w:sz w:val="20"/>
                <w:szCs w:val="20"/>
              </w:rPr>
              <w:t xml:space="preserve">    8-10 mm</w:t>
            </w:r>
            <w:r>
              <w:rPr>
                <w:sz w:val="20"/>
                <w:szCs w:val="20"/>
              </w:rPr>
              <w:t xml:space="preserve"> (16%)</w:t>
            </w:r>
          </w:p>
          <w:p w14:paraId="23197C24" w14:textId="77777777" w:rsidR="005B03E2" w:rsidRPr="0006695C" w:rsidRDefault="005B03E2" w:rsidP="00FE3E3B">
            <w:pPr>
              <w:rPr>
                <w:sz w:val="20"/>
                <w:szCs w:val="20"/>
              </w:rPr>
            </w:pPr>
            <w:r w:rsidRPr="0006695C">
              <w:rPr>
                <w:sz w:val="20"/>
                <w:szCs w:val="20"/>
              </w:rPr>
              <w:t xml:space="preserve">    11-13 mm</w:t>
            </w:r>
            <w:r>
              <w:rPr>
                <w:sz w:val="20"/>
                <w:szCs w:val="20"/>
              </w:rPr>
              <w:t xml:space="preserve"> (5.7%)</w:t>
            </w:r>
          </w:p>
          <w:p w14:paraId="23BC3EEC" w14:textId="77777777" w:rsidR="005B03E2" w:rsidRPr="0006695C" w:rsidRDefault="005B03E2" w:rsidP="00FE3E3B">
            <w:pPr>
              <w:rPr>
                <w:sz w:val="20"/>
                <w:szCs w:val="20"/>
              </w:rPr>
            </w:pPr>
            <w:r w:rsidRPr="0006695C">
              <w:rPr>
                <w:sz w:val="20"/>
                <w:szCs w:val="20"/>
              </w:rPr>
              <w:t xml:space="preserve">    ≥14 mm</w:t>
            </w:r>
            <w:r>
              <w:rPr>
                <w:sz w:val="20"/>
                <w:szCs w:val="20"/>
              </w:rPr>
              <w:t xml:space="preserve"> (7.2%)</w:t>
            </w:r>
          </w:p>
        </w:tc>
        <w:tc>
          <w:tcPr>
            <w:tcW w:w="1710" w:type="dxa"/>
            <w:vAlign w:val="center"/>
          </w:tcPr>
          <w:p w14:paraId="07C6A3C4" w14:textId="77777777" w:rsidR="005B03E2" w:rsidRPr="0006695C" w:rsidRDefault="005B03E2" w:rsidP="00FE3E3B">
            <w:pPr>
              <w:rPr>
                <w:sz w:val="20"/>
                <w:szCs w:val="20"/>
              </w:rPr>
            </w:pPr>
            <w:r>
              <w:rPr>
                <w:sz w:val="20"/>
                <w:szCs w:val="20"/>
              </w:rPr>
              <w:t>p&lt;0.001</w:t>
            </w:r>
          </w:p>
          <w:p w14:paraId="6A853EA0" w14:textId="77777777" w:rsidR="005B03E2" w:rsidRPr="0006695C" w:rsidRDefault="005B03E2" w:rsidP="00FE3E3B">
            <w:pPr>
              <w:rPr>
                <w:sz w:val="20"/>
                <w:szCs w:val="20"/>
              </w:rPr>
            </w:pPr>
            <w:r w:rsidRPr="0006695C">
              <w:rPr>
                <w:sz w:val="20"/>
                <w:szCs w:val="20"/>
              </w:rPr>
              <w:t>Higher risk, 0.20</w:t>
            </w:r>
          </w:p>
          <w:p w14:paraId="14C06CF6" w14:textId="77777777" w:rsidR="005B03E2" w:rsidRPr="0006695C" w:rsidRDefault="005B03E2" w:rsidP="00FE3E3B">
            <w:pPr>
              <w:rPr>
                <w:sz w:val="20"/>
                <w:szCs w:val="20"/>
              </w:rPr>
            </w:pPr>
            <w:r w:rsidRPr="0006695C">
              <w:rPr>
                <w:sz w:val="20"/>
                <w:szCs w:val="20"/>
              </w:rPr>
              <w:t>Reference</w:t>
            </w:r>
          </w:p>
          <w:p w14:paraId="3520D9A8" w14:textId="77777777" w:rsidR="005B03E2" w:rsidRPr="0006695C" w:rsidRDefault="005B03E2" w:rsidP="00FE3E3B">
            <w:pPr>
              <w:rPr>
                <w:sz w:val="20"/>
                <w:szCs w:val="20"/>
              </w:rPr>
            </w:pPr>
            <w:r w:rsidRPr="0006695C">
              <w:rPr>
                <w:sz w:val="20"/>
                <w:szCs w:val="20"/>
              </w:rPr>
              <w:t>Higher risk, 0.07</w:t>
            </w:r>
          </w:p>
          <w:p w14:paraId="484AD607" w14:textId="77777777" w:rsidR="005B03E2" w:rsidRPr="0006695C" w:rsidRDefault="005B03E2" w:rsidP="00FE3E3B">
            <w:pPr>
              <w:rPr>
                <w:sz w:val="20"/>
                <w:szCs w:val="20"/>
              </w:rPr>
            </w:pPr>
            <w:r w:rsidRPr="0006695C">
              <w:rPr>
                <w:sz w:val="20"/>
                <w:szCs w:val="20"/>
              </w:rPr>
              <w:t>Higher risk, 0.19</w:t>
            </w:r>
          </w:p>
          <w:p w14:paraId="7A0195C5" w14:textId="77777777" w:rsidR="005B03E2" w:rsidRPr="0006695C" w:rsidRDefault="005B03E2" w:rsidP="00FE3E3B">
            <w:pPr>
              <w:rPr>
                <w:sz w:val="20"/>
                <w:szCs w:val="20"/>
              </w:rPr>
            </w:pPr>
            <w:r w:rsidRPr="0006695C">
              <w:rPr>
                <w:sz w:val="20"/>
                <w:szCs w:val="20"/>
              </w:rPr>
              <w:t>Higher risk, 0.28</w:t>
            </w:r>
          </w:p>
          <w:p w14:paraId="29DB8E7E" w14:textId="77777777" w:rsidR="005B03E2" w:rsidRPr="0006695C" w:rsidRDefault="005B03E2" w:rsidP="00FE3E3B">
            <w:pPr>
              <w:rPr>
                <w:sz w:val="20"/>
                <w:szCs w:val="20"/>
              </w:rPr>
            </w:pPr>
            <w:r w:rsidRPr="0006695C">
              <w:rPr>
                <w:sz w:val="20"/>
                <w:szCs w:val="20"/>
              </w:rPr>
              <w:t>Higher risk, 0.22</w:t>
            </w:r>
          </w:p>
        </w:tc>
        <w:tc>
          <w:tcPr>
            <w:tcW w:w="1710" w:type="dxa"/>
            <w:vAlign w:val="center"/>
          </w:tcPr>
          <w:p w14:paraId="66F64F36" w14:textId="77777777" w:rsidR="005B03E2" w:rsidRPr="008B1F19" w:rsidRDefault="005B03E2" w:rsidP="00FE3E3B">
            <w:pPr>
              <w:rPr>
                <w:sz w:val="20"/>
                <w:szCs w:val="20"/>
              </w:rPr>
            </w:pPr>
            <w:r w:rsidRPr="008B1F19">
              <w:rPr>
                <w:sz w:val="20"/>
                <w:szCs w:val="20"/>
              </w:rPr>
              <w:t>p&lt;0.001</w:t>
            </w:r>
          </w:p>
          <w:p w14:paraId="1249C9D9" w14:textId="77777777" w:rsidR="005B03E2" w:rsidRPr="008B1F19" w:rsidRDefault="005B03E2" w:rsidP="00FE3E3B">
            <w:pPr>
              <w:rPr>
                <w:sz w:val="20"/>
                <w:szCs w:val="20"/>
              </w:rPr>
            </w:pPr>
            <w:r w:rsidRPr="008B1F19">
              <w:rPr>
                <w:sz w:val="20"/>
                <w:szCs w:val="20"/>
              </w:rPr>
              <w:t>Higher risk, 0.16</w:t>
            </w:r>
          </w:p>
          <w:p w14:paraId="33D14DA5" w14:textId="77777777" w:rsidR="005B03E2" w:rsidRPr="008B1F19" w:rsidRDefault="005B03E2" w:rsidP="00FE3E3B">
            <w:pPr>
              <w:rPr>
                <w:sz w:val="20"/>
                <w:szCs w:val="20"/>
              </w:rPr>
            </w:pPr>
            <w:r w:rsidRPr="008B1F19">
              <w:rPr>
                <w:sz w:val="20"/>
                <w:szCs w:val="20"/>
              </w:rPr>
              <w:t>Reference</w:t>
            </w:r>
          </w:p>
          <w:p w14:paraId="7F9C752D" w14:textId="77777777" w:rsidR="005B03E2" w:rsidRPr="008B1F19" w:rsidRDefault="005B03E2" w:rsidP="00FE3E3B">
            <w:pPr>
              <w:rPr>
                <w:sz w:val="20"/>
                <w:szCs w:val="20"/>
              </w:rPr>
            </w:pPr>
            <w:r w:rsidRPr="008B1F19">
              <w:rPr>
                <w:sz w:val="20"/>
                <w:szCs w:val="20"/>
              </w:rPr>
              <w:t>Higher risk, 0.06</w:t>
            </w:r>
          </w:p>
          <w:p w14:paraId="30482F11" w14:textId="77777777" w:rsidR="005B03E2" w:rsidRPr="008B1F19" w:rsidRDefault="005B03E2" w:rsidP="00FE3E3B">
            <w:pPr>
              <w:rPr>
                <w:sz w:val="20"/>
                <w:szCs w:val="20"/>
              </w:rPr>
            </w:pPr>
            <w:r w:rsidRPr="008B1F19">
              <w:rPr>
                <w:sz w:val="20"/>
                <w:szCs w:val="20"/>
              </w:rPr>
              <w:t>Higher risk, 0.19</w:t>
            </w:r>
          </w:p>
          <w:p w14:paraId="5C42726B" w14:textId="77777777" w:rsidR="005B03E2" w:rsidRPr="008B1F19" w:rsidRDefault="005B03E2" w:rsidP="00FE3E3B">
            <w:pPr>
              <w:rPr>
                <w:sz w:val="20"/>
                <w:szCs w:val="20"/>
              </w:rPr>
            </w:pPr>
            <w:r w:rsidRPr="008B1F19">
              <w:rPr>
                <w:sz w:val="20"/>
                <w:szCs w:val="20"/>
              </w:rPr>
              <w:t>Higher risk, 0.27</w:t>
            </w:r>
          </w:p>
          <w:p w14:paraId="7C2C6B81" w14:textId="77777777" w:rsidR="005B03E2" w:rsidRPr="008B1F19" w:rsidRDefault="005B03E2" w:rsidP="00FE3E3B">
            <w:pPr>
              <w:rPr>
                <w:sz w:val="20"/>
                <w:szCs w:val="20"/>
              </w:rPr>
            </w:pPr>
            <w:r w:rsidRPr="008B1F19">
              <w:rPr>
                <w:sz w:val="20"/>
                <w:szCs w:val="20"/>
              </w:rPr>
              <w:t>Higher risk, 0.21</w:t>
            </w:r>
          </w:p>
        </w:tc>
        <w:tc>
          <w:tcPr>
            <w:tcW w:w="1710" w:type="dxa"/>
            <w:vAlign w:val="center"/>
          </w:tcPr>
          <w:p w14:paraId="4F251EA3" w14:textId="77777777" w:rsidR="005B03E2" w:rsidRPr="00640EA4" w:rsidRDefault="005B03E2" w:rsidP="00FE3E3B">
            <w:pPr>
              <w:rPr>
                <w:sz w:val="20"/>
                <w:szCs w:val="20"/>
              </w:rPr>
            </w:pPr>
            <w:r w:rsidRPr="00640EA4">
              <w:rPr>
                <w:sz w:val="20"/>
                <w:szCs w:val="20"/>
              </w:rPr>
              <w:t>p&lt;0.001</w:t>
            </w:r>
          </w:p>
          <w:p w14:paraId="5E1526E9" w14:textId="77777777" w:rsidR="005B03E2" w:rsidRPr="00640EA4" w:rsidRDefault="005B03E2" w:rsidP="00FE3E3B">
            <w:pPr>
              <w:rPr>
                <w:sz w:val="20"/>
                <w:szCs w:val="20"/>
              </w:rPr>
            </w:pPr>
            <w:r w:rsidRPr="00640EA4">
              <w:rPr>
                <w:sz w:val="20"/>
                <w:szCs w:val="20"/>
              </w:rPr>
              <w:t>Higher risk, 0.20</w:t>
            </w:r>
          </w:p>
          <w:p w14:paraId="6C828E5C" w14:textId="77777777" w:rsidR="005B03E2" w:rsidRPr="00640EA4" w:rsidRDefault="005B03E2" w:rsidP="00FE3E3B">
            <w:pPr>
              <w:rPr>
                <w:sz w:val="20"/>
                <w:szCs w:val="20"/>
              </w:rPr>
            </w:pPr>
            <w:r w:rsidRPr="00640EA4">
              <w:rPr>
                <w:sz w:val="20"/>
                <w:szCs w:val="20"/>
              </w:rPr>
              <w:t>Reference</w:t>
            </w:r>
          </w:p>
          <w:p w14:paraId="679C57D4" w14:textId="77777777" w:rsidR="005B03E2" w:rsidRPr="00640EA4" w:rsidRDefault="005B03E2" w:rsidP="00FE3E3B">
            <w:pPr>
              <w:rPr>
                <w:sz w:val="20"/>
                <w:szCs w:val="20"/>
              </w:rPr>
            </w:pPr>
            <w:r w:rsidRPr="00640EA4">
              <w:rPr>
                <w:sz w:val="20"/>
                <w:szCs w:val="20"/>
              </w:rPr>
              <w:t>Higher risk, 0.06</w:t>
            </w:r>
          </w:p>
          <w:p w14:paraId="73E25C52" w14:textId="77777777" w:rsidR="005B03E2" w:rsidRPr="00640EA4" w:rsidRDefault="005B03E2" w:rsidP="00FE3E3B">
            <w:pPr>
              <w:rPr>
                <w:sz w:val="20"/>
                <w:szCs w:val="20"/>
              </w:rPr>
            </w:pPr>
            <w:r w:rsidRPr="00640EA4">
              <w:rPr>
                <w:sz w:val="20"/>
                <w:szCs w:val="20"/>
              </w:rPr>
              <w:t>Higher risk, 0.18</w:t>
            </w:r>
          </w:p>
          <w:p w14:paraId="4DFC9CBD" w14:textId="77777777" w:rsidR="005B03E2" w:rsidRPr="00640EA4" w:rsidRDefault="005B03E2" w:rsidP="00FE3E3B">
            <w:pPr>
              <w:rPr>
                <w:sz w:val="20"/>
                <w:szCs w:val="20"/>
              </w:rPr>
            </w:pPr>
            <w:r w:rsidRPr="00640EA4">
              <w:rPr>
                <w:sz w:val="20"/>
                <w:szCs w:val="20"/>
              </w:rPr>
              <w:t>Higher risk, 0.27</w:t>
            </w:r>
          </w:p>
          <w:p w14:paraId="6F15EEAD" w14:textId="77777777" w:rsidR="005B03E2" w:rsidRPr="00640EA4" w:rsidRDefault="005B03E2" w:rsidP="00FE3E3B">
            <w:pPr>
              <w:rPr>
                <w:sz w:val="20"/>
                <w:szCs w:val="20"/>
              </w:rPr>
            </w:pPr>
            <w:r w:rsidRPr="00640EA4">
              <w:rPr>
                <w:sz w:val="20"/>
                <w:szCs w:val="20"/>
              </w:rPr>
              <w:t>Higher risk, 0.22</w:t>
            </w:r>
          </w:p>
        </w:tc>
      </w:tr>
      <w:tr w:rsidR="005B03E2" w:rsidRPr="005D1CA3" w14:paraId="4F76E6F5" w14:textId="77777777" w:rsidTr="00FE3E3B">
        <w:tc>
          <w:tcPr>
            <w:tcW w:w="1368" w:type="dxa"/>
            <w:vMerge/>
            <w:vAlign w:val="center"/>
          </w:tcPr>
          <w:p w14:paraId="37BC7929" w14:textId="77777777" w:rsidR="005B03E2" w:rsidRPr="005D1CA3" w:rsidRDefault="005B03E2" w:rsidP="00FE3E3B">
            <w:pPr>
              <w:jc w:val="center"/>
              <w:rPr>
                <w:sz w:val="20"/>
                <w:szCs w:val="20"/>
              </w:rPr>
            </w:pPr>
          </w:p>
        </w:tc>
        <w:tc>
          <w:tcPr>
            <w:tcW w:w="3510" w:type="dxa"/>
            <w:vAlign w:val="center"/>
          </w:tcPr>
          <w:p w14:paraId="5480F1DC" w14:textId="77777777" w:rsidR="005B03E2" w:rsidRPr="0006695C" w:rsidRDefault="005B03E2" w:rsidP="00FE3E3B">
            <w:pPr>
              <w:rPr>
                <w:sz w:val="20"/>
                <w:szCs w:val="20"/>
              </w:rPr>
            </w:pPr>
            <w:r w:rsidRPr="0006695C">
              <w:rPr>
                <w:sz w:val="20"/>
                <w:szCs w:val="20"/>
              </w:rPr>
              <w:t>Benign lung nodule(s)</w:t>
            </w:r>
            <w:r>
              <w:rPr>
                <w:sz w:val="20"/>
                <w:szCs w:val="20"/>
              </w:rPr>
              <w:t xml:space="preserve"> (27%)</w:t>
            </w:r>
          </w:p>
        </w:tc>
        <w:tc>
          <w:tcPr>
            <w:tcW w:w="1710" w:type="dxa"/>
            <w:vAlign w:val="center"/>
          </w:tcPr>
          <w:p w14:paraId="71CB6833" w14:textId="77777777" w:rsidR="005B03E2" w:rsidRPr="0006695C" w:rsidRDefault="005B03E2" w:rsidP="00FE3E3B">
            <w:pPr>
              <w:rPr>
                <w:sz w:val="20"/>
                <w:szCs w:val="20"/>
              </w:rPr>
            </w:pPr>
            <w:r>
              <w:rPr>
                <w:sz w:val="20"/>
                <w:szCs w:val="20"/>
              </w:rPr>
              <w:t>---</w:t>
            </w:r>
          </w:p>
        </w:tc>
        <w:tc>
          <w:tcPr>
            <w:tcW w:w="1710" w:type="dxa"/>
            <w:vAlign w:val="center"/>
          </w:tcPr>
          <w:p w14:paraId="23696038" w14:textId="77777777" w:rsidR="005B03E2" w:rsidRPr="008B1F19" w:rsidRDefault="005B03E2" w:rsidP="00FE3E3B">
            <w:pPr>
              <w:rPr>
                <w:sz w:val="20"/>
                <w:szCs w:val="20"/>
              </w:rPr>
            </w:pPr>
            <w:r w:rsidRPr="008B1F19">
              <w:rPr>
                <w:sz w:val="20"/>
                <w:szCs w:val="20"/>
              </w:rPr>
              <w:t>---</w:t>
            </w:r>
          </w:p>
        </w:tc>
        <w:tc>
          <w:tcPr>
            <w:tcW w:w="1710" w:type="dxa"/>
            <w:vAlign w:val="center"/>
          </w:tcPr>
          <w:p w14:paraId="1C9D0935" w14:textId="77777777" w:rsidR="005B03E2" w:rsidRPr="00640EA4" w:rsidRDefault="005B03E2" w:rsidP="00FE3E3B">
            <w:pPr>
              <w:rPr>
                <w:sz w:val="20"/>
                <w:szCs w:val="20"/>
              </w:rPr>
            </w:pPr>
          </w:p>
        </w:tc>
      </w:tr>
      <w:tr w:rsidR="005B03E2" w:rsidRPr="005D1CA3" w14:paraId="347F05CB" w14:textId="77777777" w:rsidTr="00FE3E3B">
        <w:tc>
          <w:tcPr>
            <w:tcW w:w="1368" w:type="dxa"/>
            <w:vMerge/>
            <w:vAlign w:val="center"/>
          </w:tcPr>
          <w:p w14:paraId="1F872165" w14:textId="77777777" w:rsidR="005B03E2" w:rsidRPr="005D1CA3" w:rsidRDefault="005B03E2" w:rsidP="00FE3E3B">
            <w:pPr>
              <w:jc w:val="center"/>
              <w:rPr>
                <w:sz w:val="20"/>
                <w:szCs w:val="20"/>
              </w:rPr>
            </w:pPr>
          </w:p>
        </w:tc>
        <w:tc>
          <w:tcPr>
            <w:tcW w:w="3510" w:type="dxa"/>
            <w:vAlign w:val="center"/>
          </w:tcPr>
          <w:p w14:paraId="1E18D1BF" w14:textId="77777777" w:rsidR="005B03E2" w:rsidRPr="0006695C" w:rsidRDefault="005B03E2" w:rsidP="00FE3E3B">
            <w:pPr>
              <w:rPr>
                <w:sz w:val="20"/>
                <w:szCs w:val="20"/>
              </w:rPr>
            </w:pPr>
            <w:r w:rsidRPr="0006695C">
              <w:rPr>
                <w:sz w:val="20"/>
                <w:szCs w:val="20"/>
              </w:rPr>
              <w:t>Non-calcified micronodule(s) (opacity &lt;4 mm)</w:t>
            </w:r>
            <w:r>
              <w:rPr>
                <w:sz w:val="20"/>
                <w:szCs w:val="20"/>
              </w:rPr>
              <w:t xml:space="preserve"> (41%)</w:t>
            </w:r>
          </w:p>
        </w:tc>
        <w:tc>
          <w:tcPr>
            <w:tcW w:w="1710" w:type="dxa"/>
            <w:vAlign w:val="center"/>
          </w:tcPr>
          <w:p w14:paraId="39334CC0" w14:textId="77777777" w:rsidR="005B03E2" w:rsidRPr="0006695C" w:rsidRDefault="005B03E2" w:rsidP="00FE3E3B">
            <w:pPr>
              <w:rPr>
                <w:sz w:val="20"/>
                <w:szCs w:val="20"/>
              </w:rPr>
            </w:pPr>
            <w:r>
              <w:rPr>
                <w:sz w:val="20"/>
                <w:szCs w:val="20"/>
              </w:rPr>
              <w:t>---</w:t>
            </w:r>
          </w:p>
        </w:tc>
        <w:tc>
          <w:tcPr>
            <w:tcW w:w="1710" w:type="dxa"/>
            <w:vAlign w:val="center"/>
          </w:tcPr>
          <w:p w14:paraId="00143CB8" w14:textId="77777777" w:rsidR="005B03E2" w:rsidRPr="008B1F19" w:rsidRDefault="005B03E2" w:rsidP="00FE3E3B">
            <w:pPr>
              <w:rPr>
                <w:sz w:val="20"/>
                <w:szCs w:val="20"/>
              </w:rPr>
            </w:pPr>
            <w:r w:rsidRPr="008B1F19">
              <w:rPr>
                <w:sz w:val="20"/>
                <w:szCs w:val="20"/>
              </w:rPr>
              <w:t>---</w:t>
            </w:r>
          </w:p>
        </w:tc>
        <w:tc>
          <w:tcPr>
            <w:tcW w:w="1710" w:type="dxa"/>
            <w:vAlign w:val="center"/>
          </w:tcPr>
          <w:p w14:paraId="2369FF97" w14:textId="77777777" w:rsidR="005B03E2" w:rsidRPr="00640EA4" w:rsidRDefault="005B03E2" w:rsidP="00FE3E3B">
            <w:pPr>
              <w:rPr>
                <w:sz w:val="20"/>
                <w:szCs w:val="20"/>
              </w:rPr>
            </w:pPr>
          </w:p>
        </w:tc>
      </w:tr>
      <w:tr w:rsidR="005B03E2" w:rsidRPr="005D1CA3" w14:paraId="73AFAE67" w14:textId="77777777" w:rsidTr="00FE3E3B">
        <w:tc>
          <w:tcPr>
            <w:tcW w:w="1368" w:type="dxa"/>
            <w:vMerge/>
            <w:vAlign w:val="center"/>
          </w:tcPr>
          <w:p w14:paraId="080E1E3B" w14:textId="77777777" w:rsidR="005B03E2" w:rsidRPr="005D1CA3" w:rsidRDefault="005B03E2" w:rsidP="00FE3E3B">
            <w:pPr>
              <w:jc w:val="center"/>
              <w:rPr>
                <w:sz w:val="20"/>
                <w:szCs w:val="20"/>
              </w:rPr>
            </w:pPr>
          </w:p>
        </w:tc>
        <w:tc>
          <w:tcPr>
            <w:tcW w:w="3510" w:type="dxa"/>
            <w:vAlign w:val="center"/>
          </w:tcPr>
          <w:p w14:paraId="20AA7CFA" w14:textId="77777777" w:rsidR="005B03E2" w:rsidRPr="0006695C" w:rsidRDefault="005B03E2" w:rsidP="00FE3E3B">
            <w:pPr>
              <w:rPr>
                <w:sz w:val="20"/>
                <w:szCs w:val="20"/>
              </w:rPr>
            </w:pPr>
            <w:r w:rsidRPr="0006695C">
              <w:rPr>
                <w:sz w:val="20"/>
                <w:szCs w:val="20"/>
              </w:rPr>
              <w:t>Six or more nodules not suspicious for cancer (opacity ≥4 mm)</w:t>
            </w:r>
            <w:r>
              <w:rPr>
                <w:sz w:val="20"/>
                <w:szCs w:val="20"/>
              </w:rPr>
              <w:t xml:space="preserve"> (1.2%)</w:t>
            </w:r>
          </w:p>
        </w:tc>
        <w:tc>
          <w:tcPr>
            <w:tcW w:w="1710" w:type="dxa"/>
            <w:vAlign w:val="center"/>
          </w:tcPr>
          <w:p w14:paraId="4789377F" w14:textId="77777777" w:rsidR="005B03E2" w:rsidRPr="0006695C" w:rsidRDefault="005B03E2" w:rsidP="00FE3E3B">
            <w:pPr>
              <w:rPr>
                <w:sz w:val="20"/>
                <w:szCs w:val="20"/>
              </w:rPr>
            </w:pPr>
            <w:r>
              <w:rPr>
                <w:sz w:val="20"/>
                <w:szCs w:val="20"/>
              </w:rPr>
              <w:t>---</w:t>
            </w:r>
          </w:p>
        </w:tc>
        <w:tc>
          <w:tcPr>
            <w:tcW w:w="1710" w:type="dxa"/>
            <w:vAlign w:val="center"/>
          </w:tcPr>
          <w:p w14:paraId="7622D136" w14:textId="77777777" w:rsidR="005B03E2" w:rsidRPr="008B1F19" w:rsidRDefault="005B03E2" w:rsidP="00FE3E3B">
            <w:pPr>
              <w:rPr>
                <w:sz w:val="20"/>
                <w:szCs w:val="20"/>
              </w:rPr>
            </w:pPr>
            <w:r w:rsidRPr="008B1F19">
              <w:rPr>
                <w:sz w:val="20"/>
                <w:szCs w:val="20"/>
              </w:rPr>
              <w:t>---</w:t>
            </w:r>
          </w:p>
        </w:tc>
        <w:tc>
          <w:tcPr>
            <w:tcW w:w="1710" w:type="dxa"/>
            <w:vAlign w:val="center"/>
          </w:tcPr>
          <w:p w14:paraId="30C0E8CC" w14:textId="77777777" w:rsidR="005B03E2" w:rsidRPr="00640EA4" w:rsidRDefault="005B03E2" w:rsidP="00FE3E3B">
            <w:pPr>
              <w:rPr>
                <w:sz w:val="20"/>
                <w:szCs w:val="20"/>
              </w:rPr>
            </w:pPr>
          </w:p>
        </w:tc>
      </w:tr>
      <w:tr w:rsidR="005B03E2" w:rsidRPr="005D1CA3" w14:paraId="6CE95F25" w14:textId="77777777" w:rsidTr="00FE3E3B">
        <w:tc>
          <w:tcPr>
            <w:tcW w:w="1368" w:type="dxa"/>
            <w:vMerge w:val="restart"/>
            <w:vAlign w:val="center"/>
          </w:tcPr>
          <w:p w14:paraId="35C28C85" w14:textId="77777777" w:rsidR="005B03E2" w:rsidRPr="005D1CA3" w:rsidRDefault="005B03E2" w:rsidP="00FE3E3B">
            <w:pPr>
              <w:jc w:val="center"/>
              <w:rPr>
                <w:sz w:val="20"/>
                <w:szCs w:val="20"/>
              </w:rPr>
            </w:pPr>
            <w:r w:rsidRPr="005D1CA3">
              <w:rPr>
                <w:sz w:val="20"/>
                <w:szCs w:val="20"/>
              </w:rPr>
              <w:t>Location of nodule(s)</w:t>
            </w:r>
          </w:p>
        </w:tc>
        <w:tc>
          <w:tcPr>
            <w:tcW w:w="3510" w:type="dxa"/>
            <w:vAlign w:val="center"/>
          </w:tcPr>
          <w:p w14:paraId="0395A1C3" w14:textId="77777777" w:rsidR="005B03E2" w:rsidRPr="0006695C" w:rsidRDefault="005B03E2" w:rsidP="00FE3E3B">
            <w:pPr>
              <w:rPr>
                <w:sz w:val="20"/>
                <w:szCs w:val="20"/>
              </w:rPr>
            </w:pPr>
            <w:r w:rsidRPr="0006695C">
              <w:rPr>
                <w:sz w:val="20"/>
                <w:szCs w:val="20"/>
              </w:rPr>
              <w:t>Right or left upper lobe</w:t>
            </w:r>
            <w:r>
              <w:rPr>
                <w:sz w:val="20"/>
                <w:szCs w:val="20"/>
              </w:rPr>
              <w:t xml:space="preserve"> (45%)</w:t>
            </w:r>
          </w:p>
        </w:tc>
        <w:tc>
          <w:tcPr>
            <w:tcW w:w="1710" w:type="dxa"/>
            <w:vAlign w:val="center"/>
          </w:tcPr>
          <w:p w14:paraId="1E6B6858" w14:textId="77777777" w:rsidR="005B03E2" w:rsidRPr="0006695C" w:rsidRDefault="005B03E2" w:rsidP="00FE3E3B">
            <w:pPr>
              <w:rPr>
                <w:sz w:val="20"/>
                <w:szCs w:val="20"/>
              </w:rPr>
            </w:pPr>
            <w:r w:rsidRPr="0006695C">
              <w:rPr>
                <w:sz w:val="20"/>
                <w:szCs w:val="20"/>
              </w:rPr>
              <w:t>Higher risk</w:t>
            </w:r>
          </w:p>
          <w:p w14:paraId="198EBBC8" w14:textId="77777777" w:rsidR="005B03E2" w:rsidRPr="0006695C" w:rsidRDefault="005B03E2" w:rsidP="00FE3E3B">
            <w:pPr>
              <w:rPr>
                <w:sz w:val="20"/>
                <w:szCs w:val="20"/>
              </w:rPr>
            </w:pPr>
            <w:r w:rsidRPr="0006695C">
              <w:rPr>
                <w:sz w:val="20"/>
                <w:szCs w:val="20"/>
              </w:rPr>
              <w:t>0.07, p=0.0</w:t>
            </w:r>
            <w:r>
              <w:rPr>
                <w:sz w:val="20"/>
                <w:szCs w:val="20"/>
              </w:rPr>
              <w:t>09</w:t>
            </w:r>
          </w:p>
        </w:tc>
        <w:tc>
          <w:tcPr>
            <w:tcW w:w="1710" w:type="dxa"/>
            <w:vAlign w:val="center"/>
          </w:tcPr>
          <w:p w14:paraId="13C6A9E5" w14:textId="77777777" w:rsidR="005B03E2" w:rsidRPr="008B1F19" w:rsidRDefault="005B03E2" w:rsidP="00FE3E3B">
            <w:pPr>
              <w:rPr>
                <w:sz w:val="20"/>
                <w:szCs w:val="20"/>
              </w:rPr>
            </w:pPr>
            <w:r w:rsidRPr="008B1F19">
              <w:rPr>
                <w:sz w:val="20"/>
                <w:szCs w:val="20"/>
              </w:rPr>
              <w:t>Higher risk</w:t>
            </w:r>
          </w:p>
          <w:p w14:paraId="47707F8C" w14:textId="77777777" w:rsidR="005B03E2" w:rsidRPr="008B1F19" w:rsidRDefault="005B03E2" w:rsidP="00FE3E3B">
            <w:pPr>
              <w:rPr>
                <w:sz w:val="20"/>
                <w:szCs w:val="20"/>
              </w:rPr>
            </w:pPr>
            <w:r w:rsidRPr="008B1F19">
              <w:rPr>
                <w:sz w:val="20"/>
                <w:szCs w:val="20"/>
              </w:rPr>
              <w:t>0.09, p&lt;0.001</w:t>
            </w:r>
          </w:p>
        </w:tc>
        <w:tc>
          <w:tcPr>
            <w:tcW w:w="1710" w:type="dxa"/>
            <w:vAlign w:val="center"/>
          </w:tcPr>
          <w:p w14:paraId="41D9F108" w14:textId="77777777" w:rsidR="005B03E2" w:rsidRPr="00640EA4" w:rsidRDefault="005B03E2" w:rsidP="00FE3E3B">
            <w:pPr>
              <w:rPr>
                <w:sz w:val="20"/>
                <w:szCs w:val="20"/>
              </w:rPr>
            </w:pPr>
            <w:r w:rsidRPr="00640EA4">
              <w:rPr>
                <w:sz w:val="20"/>
                <w:szCs w:val="20"/>
              </w:rPr>
              <w:t>Higher risk</w:t>
            </w:r>
          </w:p>
          <w:p w14:paraId="61008B35" w14:textId="77777777" w:rsidR="005B03E2" w:rsidRPr="00640EA4" w:rsidRDefault="005B03E2" w:rsidP="00FE3E3B">
            <w:pPr>
              <w:rPr>
                <w:sz w:val="20"/>
                <w:szCs w:val="20"/>
              </w:rPr>
            </w:pPr>
            <w:r w:rsidRPr="00640EA4">
              <w:rPr>
                <w:sz w:val="20"/>
                <w:szCs w:val="20"/>
              </w:rPr>
              <w:t>0.07, p=0.01</w:t>
            </w:r>
          </w:p>
        </w:tc>
      </w:tr>
      <w:tr w:rsidR="005B03E2" w:rsidRPr="005D1CA3" w14:paraId="26AE7ABC" w14:textId="77777777" w:rsidTr="00FE3E3B">
        <w:tc>
          <w:tcPr>
            <w:tcW w:w="1368" w:type="dxa"/>
            <w:vMerge/>
            <w:vAlign w:val="center"/>
          </w:tcPr>
          <w:p w14:paraId="4FF4080D" w14:textId="77777777" w:rsidR="005B03E2" w:rsidRPr="005D1CA3" w:rsidRDefault="005B03E2" w:rsidP="00FE3E3B">
            <w:pPr>
              <w:jc w:val="center"/>
              <w:rPr>
                <w:sz w:val="20"/>
                <w:szCs w:val="20"/>
              </w:rPr>
            </w:pPr>
          </w:p>
        </w:tc>
        <w:tc>
          <w:tcPr>
            <w:tcW w:w="3510" w:type="dxa"/>
            <w:vAlign w:val="center"/>
          </w:tcPr>
          <w:p w14:paraId="5FE5AD11" w14:textId="77777777" w:rsidR="005B03E2" w:rsidRPr="0006695C" w:rsidRDefault="005B03E2" w:rsidP="00FE3E3B">
            <w:pPr>
              <w:rPr>
                <w:sz w:val="20"/>
                <w:szCs w:val="20"/>
              </w:rPr>
            </w:pPr>
            <w:r w:rsidRPr="0006695C">
              <w:rPr>
                <w:sz w:val="20"/>
                <w:szCs w:val="20"/>
              </w:rPr>
              <w:t>Right middle lobe</w:t>
            </w:r>
            <w:r>
              <w:rPr>
                <w:sz w:val="20"/>
                <w:szCs w:val="20"/>
              </w:rPr>
              <w:t xml:space="preserve"> (21%)</w:t>
            </w:r>
          </w:p>
        </w:tc>
        <w:tc>
          <w:tcPr>
            <w:tcW w:w="1710" w:type="dxa"/>
            <w:vAlign w:val="center"/>
          </w:tcPr>
          <w:p w14:paraId="092D56EC" w14:textId="77777777" w:rsidR="005B03E2" w:rsidRPr="0006695C" w:rsidRDefault="005B03E2" w:rsidP="00FE3E3B">
            <w:pPr>
              <w:rPr>
                <w:sz w:val="20"/>
                <w:szCs w:val="20"/>
              </w:rPr>
            </w:pPr>
            <w:r w:rsidRPr="0006695C">
              <w:rPr>
                <w:sz w:val="20"/>
                <w:szCs w:val="20"/>
              </w:rPr>
              <w:t>Lower risk</w:t>
            </w:r>
          </w:p>
          <w:p w14:paraId="2B6C44DF" w14:textId="77777777" w:rsidR="005B03E2" w:rsidRPr="0006695C" w:rsidRDefault="005B03E2" w:rsidP="00FE3E3B">
            <w:pPr>
              <w:rPr>
                <w:sz w:val="20"/>
                <w:szCs w:val="20"/>
              </w:rPr>
            </w:pPr>
            <w:r w:rsidRPr="0006695C">
              <w:rPr>
                <w:sz w:val="20"/>
                <w:szCs w:val="20"/>
              </w:rPr>
              <w:t>0.08, p=0.03</w:t>
            </w:r>
          </w:p>
        </w:tc>
        <w:tc>
          <w:tcPr>
            <w:tcW w:w="1710" w:type="dxa"/>
            <w:vAlign w:val="center"/>
          </w:tcPr>
          <w:p w14:paraId="739AEE22" w14:textId="77777777" w:rsidR="005B03E2" w:rsidRPr="008B1F19" w:rsidRDefault="005B03E2" w:rsidP="00FE3E3B">
            <w:pPr>
              <w:rPr>
                <w:sz w:val="20"/>
                <w:szCs w:val="20"/>
              </w:rPr>
            </w:pPr>
            <w:r w:rsidRPr="008B1F19">
              <w:rPr>
                <w:sz w:val="20"/>
                <w:szCs w:val="20"/>
              </w:rPr>
              <w:t>---</w:t>
            </w:r>
          </w:p>
        </w:tc>
        <w:tc>
          <w:tcPr>
            <w:tcW w:w="1710" w:type="dxa"/>
            <w:vMerge w:val="restart"/>
            <w:vAlign w:val="center"/>
          </w:tcPr>
          <w:p w14:paraId="19AE875D" w14:textId="77777777" w:rsidR="005B03E2" w:rsidRPr="00640EA4" w:rsidRDefault="005B03E2" w:rsidP="00FE3E3B">
            <w:pPr>
              <w:rPr>
                <w:sz w:val="20"/>
                <w:szCs w:val="20"/>
              </w:rPr>
            </w:pPr>
            <w:r w:rsidRPr="00640EA4">
              <w:rPr>
                <w:sz w:val="20"/>
                <w:szCs w:val="20"/>
              </w:rPr>
              <w:t>Lower risk</w:t>
            </w:r>
          </w:p>
          <w:p w14:paraId="578BBBBF" w14:textId="77777777" w:rsidR="005B03E2" w:rsidRPr="00640EA4" w:rsidRDefault="005B03E2" w:rsidP="00FE3E3B">
            <w:pPr>
              <w:rPr>
                <w:sz w:val="20"/>
                <w:szCs w:val="20"/>
              </w:rPr>
            </w:pPr>
            <w:r w:rsidRPr="00640EA4">
              <w:rPr>
                <w:sz w:val="20"/>
                <w:szCs w:val="20"/>
              </w:rPr>
              <w:t>0.09, p=0.009</w:t>
            </w:r>
          </w:p>
        </w:tc>
      </w:tr>
      <w:tr w:rsidR="005B03E2" w:rsidRPr="005D1CA3" w14:paraId="2B88782C" w14:textId="77777777" w:rsidTr="00FE3E3B">
        <w:tc>
          <w:tcPr>
            <w:tcW w:w="1368" w:type="dxa"/>
            <w:vMerge/>
            <w:vAlign w:val="center"/>
          </w:tcPr>
          <w:p w14:paraId="0EA74ACD" w14:textId="77777777" w:rsidR="005B03E2" w:rsidRPr="005D1CA3" w:rsidRDefault="005B03E2" w:rsidP="00FE3E3B">
            <w:pPr>
              <w:jc w:val="center"/>
              <w:rPr>
                <w:sz w:val="20"/>
                <w:szCs w:val="20"/>
              </w:rPr>
            </w:pPr>
          </w:p>
        </w:tc>
        <w:tc>
          <w:tcPr>
            <w:tcW w:w="3510" w:type="dxa"/>
            <w:vAlign w:val="center"/>
          </w:tcPr>
          <w:p w14:paraId="42ED5F68" w14:textId="77777777" w:rsidR="005B03E2" w:rsidRPr="0006695C" w:rsidRDefault="005B03E2" w:rsidP="00FE3E3B">
            <w:pPr>
              <w:rPr>
                <w:sz w:val="20"/>
                <w:szCs w:val="20"/>
              </w:rPr>
            </w:pPr>
            <w:r w:rsidRPr="0006695C">
              <w:rPr>
                <w:sz w:val="20"/>
                <w:szCs w:val="20"/>
              </w:rPr>
              <w:t>Lingula</w:t>
            </w:r>
            <w:r>
              <w:rPr>
                <w:sz w:val="20"/>
                <w:szCs w:val="20"/>
              </w:rPr>
              <w:t xml:space="preserve"> (6.3%)</w:t>
            </w:r>
          </w:p>
        </w:tc>
        <w:tc>
          <w:tcPr>
            <w:tcW w:w="1710" w:type="dxa"/>
            <w:vAlign w:val="center"/>
          </w:tcPr>
          <w:p w14:paraId="2771F6D1" w14:textId="77777777" w:rsidR="005B03E2" w:rsidRPr="0006695C" w:rsidRDefault="005B03E2" w:rsidP="00FE3E3B">
            <w:pPr>
              <w:rPr>
                <w:sz w:val="20"/>
                <w:szCs w:val="20"/>
              </w:rPr>
            </w:pPr>
            <w:r w:rsidRPr="0006695C">
              <w:rPr>
                <w:sz w:val="20"/>
                <w:szCs w:val="20"/>
              </w:rPr>
              <w:t>Lower risk</w:t>
            </w:r>
          </w:p>
          <w:p w14:paraId="5A168831" w14:textId="77777777" w:rsidR="005B03E2" w:rsidRDefault="005B03E2" w:rsidP="00FE3E3B">
            <w:pPr>
              <w:rPr>
                <w:sz w:val="20"/>
                <w:szCs w:val="20"/>
              </w:rPr>
            </w:pPr>
            <w:r w:rsidRPr="0006695C">
              <w:rPr>
                <w:sz w:val="20"/>
                <w:szCs w:val="20"/>
              </w:rPr>
              <w:t>0.08, p=0.17</w:t>
            </w:r>
          </w:p>
        </w:tc>
        <w:tc>
          <w:tcPr>
            <w:tcW w:w="1710" w:type="dxa"/>
            <w:vAlign w:val="center"/>
          </w:tcPr>
          <w:p w14:paraId="2D739898" w14:textId="77777777" w:rsidR="005B03E2" w:rsidRPr="008B1F19" w:rsidRDefault="005B03E2" w:rsidP="00FE3E3B">
            <w:pPr>
              <w:rPr>
                <w:sz w:val="20"/>
                <w:szCs w:val="20"/>
              </w:rPr>
            </w:pPr>
          </w:p>
        </w:tc>
        <w:tc>
          <w:tcPr>
            <w:tcW w:w="1710" w:type="dxa"/>
            <w:vMerge/>
            <w:vAlign w:val="center"/>
          </w:tcPr>
          <w:p w14:paraId="46B1BC0F" w14:textId="77777777" w:rsidR="005B03E2" w:rsidRPr="00640EA4" w:rsidRDefault="005B03E2" w:rsidP="00FE3E3B">
            <w:pPr>
              <w:rPr>
                <w:sz w:val="20"/>
                <w:szCs w:val="20"/>
              </w:rPr>
            </w:pPr>
          </w:p>
        </w:tc>
      </w:tr>
      <w:tr w:rsidR="005B03E2" w:rsidRPr="005D1CA3" w14:paraId="7E531343" w14:textId="77777777" w:rsidTr="00FE3E3B">
        <w:tc>
          <w:tcPr>
            <w:tcW w:w="1368" w:type="dxa"/>
            <w:vMerge/>
            <w:vAlign w:val="center"/>
          </w:tcPr>
          <w:p w14:paraId="2D76F8F7" w14:textId="77777777" w:rsidR="005B03E2" w:rsidRPr="005D1CA3" w:rsidRDefault="005B03E2" w:rsidP="00FE3E3B">
            <w:pPr>
              <w:jc w:val="center"/>
              <w:rPr>
                <w:sz w:val="20"/>
                <w:szCs w:val="20"/>
              </w:rPr>
            </w:pPr>
          </w:p>
        </w:tc>
        <w:tc>
          <w:tcPr>
            <w:tcW w:w="3510" w:type="dxa"/>
            <w:vAlign w:val="center"/>
          </w:tcPr>
          <w:p w14:paraId="4839F26C" w14:textId="77777777" w:rsidR="005B03E2" w:rsidRPr="0006695C" w:rsidRDefault="005B03E2" w:rsidP="00FE3E3B">
            <w:pPr>
              <w:rPr>
                <w:sz w:val="20"/>
                <w:szCs w:val="20"/>
              </w:rPr>
            </w:pPr>
            <w:r w:rsidRPr="0006695C">
              <w:rPr>
                <w:sz w:val="20"/>
                <w:szCs w:val="20"/>
              </w:rPr>
              <w:t>Right or left lower lobe</w:t>
            </w:r>
            <w:r>
              <w:rPr>
                <w:sz w:val="20"/>
                <w:szCs w:val="20"/>
              </w:rPr>
              <w:t xml:space="preserve"> (54%)</w:t>
            </w:r>
          </w:p>
        </w:tc>
        <w:tc>
          <w:tcPr>
            <w:tcW w:w="1710" w:type="dxa"/>
            <w:vAlign w:val="center"/>
          </w:tcPr>
          <w:p w14:paraId="7215F924" w14:textId="77777777" w:rsidR="005B03E2" w:rsidRPr="0006695C" w:rsidRDefault="005B03E2" w:rsidP="00FE3E3B">
            <w:pPr>
              <w:rPr>
                <w:sz w:val="20"/>
                <w:szCs w:val="20"/>
              </w:rPr>
            </w:pPr>
            <w:r>
              <w:rPr>
                <w:sz w:val="20"/>
                <w:szCs w:val="20"/>
              </w:rPr>
              <w:t>---</w:t>
            </w:r>
          </w:p>
        </w:tc>
        <w:tc>
          <w:tcPr>
            <w:tcW w:w="1710" w:type="dxa"/>
            <w:vAlign w:val="center"/>
          </w:tcPr>
          <w:p w14:paraId="5003C719" w14:textId="77777777" w:rsidR="005B03E2" w:rsidRPr="008B1F19" w:rsidRDefault="005B03E2" w:rsidP="00FE3E3B">
            <w:pPr>
              <w:rPr>
                <w:sz w:val="20"/>
                <w:szCs w:val="20"/>
              </w:rPr>
            </w:pPr>
            <w:r w:rsidRPr="008B1F19">
              <w:rPr>
                <w:sz w:val="20"/>
                <w:szCs w:val="20"/>
              </w:rPr>
              <w:t>---</w:t>
            </w:r>
          </w:p>
        </w:tc>
        <w:tc>
          <w:tcPr>
            <w:tcW w:w="1710" w:type="dxa"/>
            <w:vAlign w:val="center"/>
          </w:tcPr>
          <w:p w14:paraId="3BF9EF03" w14:textId="77777777" w:rsidR="005B03E2" w:rsidRPr="00640EA4" w:rsidRDefault="005B03E2" w:rsidP="00FE3E3B">
            <w:pPr>
              <w:rPr>
                <w:sz w:val="20"/>
                <w:szCs w:val="20"/>
              </w:rPr>
            </w:pPr>
          </w:p>
        </w:tc>
      </w:tr>
      <w:tr w:rsidR="005B03E2" w:rsidRPr="005D1CA3" w14:paraId="107683C2" w14:textId="77777777" w:rsidTr="00FE3E3B">
        <w:tc>
          <w:tcPr>
            <w:tcW w:w="1368" w:type="dxa"/>
            <w:vMerge w:val="restart"/>
            <w:vAlign w:val="center"/>
          </w:tcPr>
          <w:p w14:paraId="5416F4FD" w14:textId="77777777" w:rsidR="005B03E2" w:rsidRPr="005D1CA3" w:rsidRDefault="005B03E2" w:rsidP="00FE3E3B">
            <w:pPr>
              <w:jc w:val="center"/>
              <w:rPr>
                <w:sz w:val="20"/>
                <w:szCs w:val="20"/>
              </w:rPr>
            </w:pPr>
            <w:r w:rsidRPr="005D1CA3">
              <w:rPr>
                <w:sz w:val="20"/>
                <w:szCs w:val="20"/>
              </w:rPr>
              <w:t>Attenuation of nodule(s)</w:t>
            </w:r>
          </w:p>
        </w:tc>
        <w:tc>
          <w:tcPr>
            <w:tcW w:w="3510" w:type="dxa"/>
            <w:vAlign w:val="center"/>
          </w:tcPr>
          <w:p w14:paraId="0FC16D4C" w14:textId="77777777" w:rsidR="005B03E2" w:rsidRPr="0006695C" w:rsidRDefault="005B03E2" w:rsidP="00FE3E3B">
            <w:pPr>
              <w:rPr>
                <w:sz w:val="20"/>
                <w:szCs w:val="20"/>
              </w:rPr>
            </w:pPr>
            <w:r w:rsidRPr="0006695C">
              <w:rPr>
                <w:sz w:val="20"/>
                <w:szCs w:val="20"/>
              </w:rPr>
              <w:t>Soft tissue</w:t>
            </w:r>
            <w:r>
              <w:rPr>
                <w:sz w:val="20"/>
                <w:szCs w:val="20"/>
              </w:rPr>
              <w:t xml:space="preserve"> (80%)</w:t>
            </w:r>
          </w:p>
        </w:tc>
        <w:tc>
          <w:tcPr>
            <w:tcW w:w="1710" w:type="dxa"/>
            <w:vAlign w:val="center"/>
          </w:tcPr>
          <w:p w14:paraId="0A8AB8DB" w14:textId="77777777" w:rsidR="005B03E2" w:rsidRPr="0006695C" w:rsidRDefault="005B03E2" w:rsidP="00FE3E3B">
            <w:pPr>
              <w:rPr>
                <w:sz w:val="20"/>
                <w:szCs w:val="20"/>
              </w:rPr>
            </w:pPr>
            <w:r>
              <w:rPr>
                <w:sz w:val="20"/>
                <w:szCs w:val="20"/>
              </w:rPr>
              <w:t>---</w:t>
            </w:r>
          </w:p>
        </w:tc>
        <w:tc>
          <w:tcPr>
            <w:tcW w:w="1710" w:type="dxa"/>
            <w:vAlign w:val="center"/>
          </w:tcPr>
          <w:p w14:paraId="06E25E89" w14:textId="77777777" w:rsidR="005B03E2" w:rsidRPr="008B1F19" w:rsidRDefault="005B03E2" w:rsidP="00FE3E3B">
            <w:pPr>
              <w:rPr>
                <w:sz w:val="20"/>
                <w:szCs w:val="20"/>
              </w:rPr>
            </w:pPr>
            <w:r w:rsidRPr="008B1F19">
              <w:rPr>
                <w:sz w:val="20"/>
                <w:szCs w:val="20"/>
              </w:rPr>
              <w:t>---</w:t>
            </w:r>
          </w:p>
        </w:tc>
        <w:tc>
          <w:tcPr>
            <w:tcW w:w="1710" w:type="dxa"/>
            <w:vAlign w:val="center"/>
          </w:tcPr>
          <w:p w14:paraId="3551715B" w14:textId="77777777" w:rsidR="005B03E2" w:rsidRPr="00640EA4" w:rsidRDefault="005B03E2" w:rsidP="00FE3E3B">
            <w:pPr>
              <w:rPr>
                <w:sz w:val="20"/>
                <w:szCs w:val="20"/>
              </w:rPr>
            </w:pPr>
          </w:p>
        </w:tc>
      </w:tr>
      <w:tr w:rsidR="005B03E2" w:rsidRPr="005D1CA3" w14:paraId="1749D30B" w14:textId="77777777" w:rsidTr="00FE3E3B">
        <w:tc>
          <w:tcPr>
            <w:tcW w:w="1368" w:type="dxa"/>
            <w:vMerge/>
            <w:vAlign w:val="center"/>
          </w:tcPr>
          <w:p w14:paraId="2DA958D5" w14:textId="77777777" w:rsidR="005B03E2" w:rsidRPr="005D1CA3" w:rsidRDefault="005B03E2" w:rsidP="00FE3E3B">
            <w:pPr>
              <w:jc w:val="center"/>
              <w:rPr>
                <w:sz w:val="20"/>
                <w:szCs w:val="20"/>
              </w:rPr>
            </w:pPr>
          </w:p>
        </w:tc>
        <w:tc>
          <w:tcPr>
            <w:tcW w:w="3510" w:type="dxa"/>
            <w:vAlign w:val="center"/>
          </w:tcPr>
          <w:p w14:paraId="54C1B56D" w14:textId="77777777" w:rsidR="005B03E2" w:rsidRPr="0006695C" w:rsidRDefault="005B03E2" w:rsidP="00FE3E3B">
            <w:pPr>
              <w:rPr>
                <w:sz w:val="20"/>
                <w:szCs w:val="20"/>
              </w:rPr>
            </w:pPr>
            <w:r w:rsidRPr="0006695C">
              <w:rPr>
                <w:sz w:val="20"/>
                <w:szCs w:val="20"/>
              </w:rPr>
              <w:t>Ground glass</w:t>
            </w:r>
            <w:r>
              <w:rPr>
                <w:sz w:val="20"/>
                <w:szCs w:val="20"/>
              </w:rPr>
              <w:t xml:space="preserve"> (17%)</w:t>
            </w:r>
          </w:p>
        </w:tc>
        <w:tc>
          <w:tcPr>
            <w:tcW w:w="1710" w:type="dxa"/>
            <w:vAlign w:val="center"/>
          </w:tcPr>
          <w:p w14:paraId="2659EC78" w14:textId="77777777" w:rsidR="005B03E2" w:rsidRPr="0006695C" w:rsidRDefault="005B03E2" w:rsidP="00FE3E3B">
            <w:pPr>
              <w:rPr>
                <w:sz w:val="20"/>
                <w:szCs w:val="20"/>
              </w:rPr>
            </w:pPr>
            <w:r>
              <w:rPr>
                <w:sz w:val="20"/>
                <w:szCs w:val="20"/>
              </w:rPr>
              <w:t>---</w:t>
            </w:r>
          </w:p>
        </w:tc>
        <w:tc>
          <w:tcPr>
            <w:tcW w:w="1710" w:type="dxa"/>
            <w:vAlign w:val="center"/>
          </w:tcPr>
          <w:p w14:paraId="62D17136" w14:textId="77777777" w:rsidR="005B03E2" w:rsidRPr="008B1F19" w:rsidRDefault="005B03E2" w:rsidP="00FE3E3B">
            <w:pPr>
              <w:rPr>
                <w:sz w:val="20"/>
                <w:szCs w:val="20"/>
              </w:rPr>
            </w:pPr>
            <w:r w:rsidRPr="008B1F19">
              <w:rPr>
                <w:sz w:val="20"/>
                <w:szCs w:val="20"/>
              </w:rPr>
              <w:t>---</w:t>
            </w:r>
          </w:p>
        </w:tc>
        <w:tc>
          <w:tcPr>
            <w:tcW w:w="1710" w:type="dxa"/>
            <w:vAlign w:val="center"/>
          </w:tcPr>
          <w:p w14:paraId="17F1189C" w14:textId="77777777" w:rsidR="005B03E2" w:rsidRPr="00640EA4" w:rsidRDefault="005B03E2" w:rsidP="00FE3E3B">
            <w:pPr>
              <w:rPr>
                <w:sz w:val="20"/>
                <w:szCs w:val="20"/>
              </w:rPr>
            </w:pPr>
          </w:p>
        </w:tc>
      </w:tr>
      <w:tr w:rsidR="005B03E2" w:rsidRPr="005D1CA3" w14:paraId="197D0EF9" w14:textId="77777777" w:rsidTr="00FE3E3B">
        <w:tc>
          <w:tcPr>
            <w:tcW w:w="1368" w:type="dxa"/>
            <w:vMerge/>
            <w:vAlign w:val="center"/>
          </w:tcPr>
          <w:p w14:paraId="06321395" w14:textId="77777777" w:rsidR="005B03E2" w:rsidRPr="005D1CA3" w:rsidRDefault="005B03E2" w:rsidP="00FE3E3B">
            <w:pPr>
              <w:jc w:val="center"/>
              <w:rPr>
                <w:sz w:val="20"/>
                <w:szCs w:val="20"/>
              </w:rPr>
            </w:pPr>
          </w:p>
        </w:tc>
        <w:tc>
          <w:tcPr>
            <w:tcW w:w="3510" w:type="dxa"/>
            <w:vAlign w:val="center"/>
          </w:tcPr>
          <w:p w14:paraId="4A25F2A7" w14:textId="77777777" w:rsidR="005B03E2" w:rsidRPr="0006695C" w:rsidRDefault="005B03E2" w:rsidP="00FE3E3B">
            <w:pPr>
              <w:rPr>
                <w:sz w:val="20"/>
                <w:szCs w:val="20"/>
              </w:rPr>
            </w:pPr>
            <w:r w:rsidRPr="0006695C">
              <w:rPr>
                <w:sz w:val="20"/>
                <w:szCs w:val="20"/>
              </w:rPr>
              <w:t>Mixed</w:t>
            </w:r>
            <w:r>
              <w:rPr>
                <w:sz w:val="20"/>
                <w:szCs w:val="20"/>
              </w:rPr>
              <w:t xml:space="preserve"> (5.3%)</w:t>
            </w:r>
          </w:p>
        </w:tc>
        <w:tc>
          <w:tcPr>
            <w:tcW w:w="1710" w:type="dxa"/>
            <w:vAlign w:val="center"/>
          </w:tcPr>
          <w:p w14:paraId="2CDABB00" w14:textId="77777777" w:rsidR="005B03E2" w:rsidRPr="0006695C" w:rsidRDefault="005B03E2" w:rsidP="00FE3E3B">
            <w:pPr>
              <w:rPr>
                <w:sz w:val="20"/>
                <w:szCs w:val="20"/>
              </w:rPr>
            </w:pPr>
            <w:r w:rsidRPr="0006695C">
              <w:rPr>
                <w:sz w:val="20"/>
                <w:szCs w:val="20"/>
              </w:rPr>
              <w:t>Higher risk</w:t>
            </w:r>
          </w:p>
          <w:p w14:paraId="5E44A9AB" w14:textId="77777777" w:rsidR="005B03E2" w:rsidRPr="0006695C" w:rsidRDefault="005B03E2" w:rsidP="00FE3E3B">
            <w:pPr>
              <w:rPr>
                <w:sz w:val="20"/>
                <w:szCs w:val="20"/>
              </w:rPr>
            </w:pPr>
            <w:r w:rsidRPr="0006695C">
              <w:rPr>
                <w:sz w:val="20"/>
                <w:szCs w:val="20"/>
              </w:rPr>
              <w:t>0.08, p=0.03</w:t>
            </w:r>
          </w:p>
        </w:tc>
        <w:tc>
          <w:tcPr>
            <w:tcW w:w="1710" w:type="dxa"/>
            <w:vAlign w:val="center"/>
          </w:tcPr>
          <w:p w14:paraId="0B2DE795" w14:textId="77777777" w:rsidR="005B03E2" w:rsidRPr="008B1F19" w:rsidRDefault="005B03E2" w:rsidP="00FE3E3B">
            <w:pPr>
              <w:rPr>
                <w:sz w:val="20"/>
                <w:szCs w:val="20"/>
              </w:rPr>
            </w:pPr>
            <w:r w:rsidRPr="008B1F19">
              <w:rPr>
                <w:sz w:val="20"/>
                <w:szCs w:val="20"/>
              </w:rPr>
              <w:t>Higher risk</w:t>
            </w:r>
          </w:p>
          <w:p w14:paraId="7B19E62A" w14:textId="77777777" w:rsidR="005B03E2" w:rsidRPr="008B1F19" w:rsidRDefault="005B03E2" w:rsidP="00FE3E3B">
            <w:pPr>
              <w:rPr>
                <w:sz w:val="20"/>
                <w:szCs w:val="20"/>
              </w:rPr>
            </w:pPr>
            <w:r w:rsidRPr="008B1F19">
              <w:rPr>
                <w:sz w:val="20"/>
                <w:szCs w:val="20"/>
              </w:rPr>
              <w:t>0.09, p=0.008</w:t>
            </w:r>
          </w:p>
        </w:tc>
        <w:tc>
          <w:tcPr>
            <w:tcW w:w="1710" w:type="dxa"/>
            <w:vAlign w:val="center"/>
          </w:tcPr>
          <w:p w14:paraId="2B9FCB73" w14:textId="77777777" w:rsidR="005B03E2" w:rsidRPr="00640EA4" w:rsidRDefault="005B03E2" w:rsidP="00FE3E3B">
            <w:pPr>
              <w:rPr>
                <w:sz w:val="20"/>
                <w:szCs w:val="20"/>
              </w:rPr>
            </w:pPr>
            <w:r w:rsidRPr="00640EA4">
              <w:rPr>
                <w:sz w:val="20"/>
                <w:szCs w:val="20"/>
              </w:rPr>
              <w:t>Higher risk</w:t>
            </w:r>
          </w:p>
          <w:p w14:paraId="2C4CCDB9" w14:textId="77777777" w:rsidR="005B03E2" w:rsidRPr="00640EA4" w:rsidRDefault="005B03E2" w:rsidP="00FE3E3B">
            <w:pPr>
              <w:rPr>
                <w:sz w:val="20"/>
                <w:szCs w:val="20"/>
              </w:rPr>
            </w:pPr>
            <w:r w:rsidRPr="00640EA4">
              <w:rPr>
                <w:sz w:val="20"/>
                <w:szCs w:val="20"/>
              </w:rPr>
              <w:t>0.07, p=0.04</w:t>
            </w:r>
          </w:p>
        </w:tc>
      </w:tr>
      <w:tr w:rsidR="005B03E2" w:rsidRPr="005D1CA3" w14:paraId="522C7A16" w14:textId="77777777" w:rsidTr="00FE3E3B">
        <w:tc>
          <w:tcPr>
            <w:tcW w:w="1368" w:type="dxa"/>
            <w:vMerge/>
            <w:vAlign w:val="center"/>
          </w:tcPr>
          <w:p w14:paraId="6DB414FC" w14:textId="77777777" w:rsidR="005B03E2" w:rsidRPr="005D1CA3" w:rsidRDefault="005B03E2" w:rsidP="00FE3E3B">
            <w:pPr>
              <w:jc w:val="center"/>
              <w:rPr>
                <w:sz w:val="20"/>
                <w:szCs w:val="20"/>
              </w:rPr>
            </w:pPr>
          </w:p>
        </w:tc>
        <w:tc>
          <w:tcPr>
            <w:tcW w:w="3510" w:type="dxa"/>
            <w:vAlign w:val="center"/>
          </w:tcPr>
          <w:p w14:paraId="30960008" w14:textId="77777777" w:rsidR="005B03E2" w:rsidRPr="0006695C" w:rsidRDefault="005B03E2" w:rsidP="00FE3E3B">
            <w:pPr>
              <w:rPr>
                <w:sz w:val="20"/>
                <w:szCs w:val="20"/>
              </w:rPr>
            </w:pPr>
            <w:r w:rsidRPr="006E52ED">
              <w:rPr>
                <w:sz w:val="20"/>
                <w:szCs w:val="20"/>
              </w:rPr>
              <w:t>Other (0.74%)</w:t>
            </w:r>
          </w:p>
        </w:tc>
        <w:tc>
          <w:tcPr>
            <w:tcW w:w="1710" w:type="dxa"/>
            <w:vAlign w:val="center"/>
          </w:tcPr>
          <w:p w14:paraId="058C0FBF" w14:textId="77777777" w:rsidR="005B03E2" w:rsidRPr="0006695C" w:rsidRDefault="005B03E2" w:rsidP="00FE3E3B">
            <w:pPr>
              <w:rPr>
                <w:sz w:val="20"/>
                <w:szCs w:val="20"/>
              </w:rPr>
            </w:pPr>
            <w:r w:rsidRPr="0006695C">
              <w:rPr>
                <w:sz w:val="20"/>
                <w:szCs w:val="20"/>
              </w:rPr>
              <w:t>Higher risk</w:t>
            </w:r>
          </w:p>
          <w:p w14:paraId="6944C7E2" w14:textId="77777777" w:rsidR="005B03E2" w:rsidRPr="0006695C" w:rsidRDefault="005B03E2" w:rsidP="00FE3E3B">
            <w:pPr>
              <w:rPr>
                <w:sz w:val="20"/>
                <w:szCs w:val="20"/>
              </w:rPr>
            </w:pPr>
            <w:r>
              <w:rPr>
                <w:sz w:val="20"/>
                <w:szCs w:val="20"/>
              </w:rPr>
              <w:t>0.19, p=0.01</w:t>
            </w:r>
          </w:p>
        </w:tc>
        <w:tc>
          <w:tcPr>
            <w:tcW w:w="1710" w:type="dxa"/>
            <w:vAlign w:val="center"/>
          </w:tcPr>
          <w:p w14:paraId="0EB51D78" w14:textId="77777777" w:rsidR="005B03E2" w:rsidRPr="008B1F19" w:rsidRDefault="005B03E2" w:rsidP="00FE3E3B">
            <w:pPr>
              <w:rPr>
                <w:sz w:val="20"/>
                <w:szCs w:val="20"/>
              </w:rPr>
            </w:pPr>
            <w:r w:rsidRPr="008B1F19">
              <w:rPr>
                <w:sz w:val="20"/>
                <w:szCs w:val="20"/>
              </w:rPr>
              <w:t>Higher risk</w:t>
            </w:r>
          </w:p>
          <w:p w14:paraId="55383B71" w14:textId="77777777" w:rsidR="005B03E2" w:rsidRPr="008B1F19" w:rsidRDefault="005B03E2" w:rsidP="00FE3E3B">
            <w:pPr>
              <w:rPr>
                <w:sz w:val="20"/>
                <w:szCs w:val="20"/>
              </w:rPr>
            </w:pPr>
            <w:r w:rsidRPr="008B1F19">
              <w:rPr>
                <w:sz w:val="20"/>
                <w:szCs w:val="20"/>
              </w:rPr>
              <w:t>0.16, p=0.01</w:t>
            </w:r>
          </w:p>
        </w:tc>
        <w:tc>
          <w:tcPr>
            <w:tcW w:w="1710" w:type="dxa"/>
            <w:vAlign w:val="center"/>
          </w:tcPr>
          <w:p w14:paraId="694D3664" w14:textId="77777777" w:rsidR="005B03E2" w:rsidRPr="00640EA4" w:rsidRDefault="005B03E2" w:rsidP="00FE3E3B">
            <w:pPr>
              <w:rPr>
                <w:sz w:val="20"/>
                <w:szCs w:val="20"/>
              </w:rPr>
            </w:pPr>
          </w:p>
        </w:tc>
      </w:tr>
      <w:tr w:rsidR="005B03E2" w:rsidRPr="005D1CA3" w14:paraId="6A515C63" w14:textId="77777777" w:rsidTr="00FE3E3B">
        <w:tc>
          <w:tcPr>
            <w:tcW w:w="1368" w:type="dxa"/>
            <w:vMerge/>
            <w:vAlign w:val="center"/>
          </w:tcPr>
          <w:p w14:paraId="0F547D14" w14:textId="77777777" w:rsidR="005B03E2" w:rsidRPr="005D1CA3" w:rsidRDefault="005B03E2" w:rsidP="00FE3E3B">
            <w:pPr>
              <w:jc w:val="center"/>
              <w:rPr>
                <w:sz w:val="20"/>
                <w:szCs w:val="20"/>
              </w:rPr>
            </w:pPr>
          </w:p>
        </w:tc>
        <w:tc>
          <w:tcPr>
            <w:tcW w:w="3510" w:type="dxa"/>
            <w:vAlign w:val="center"/>
          </w:tcPr>
          <w:p w14:paraId="374F2F00" w14:textId="77777777" w:rsidR="005B03E2" w:rsidRPr="0006695C" w:rsidRDefault="005B03E2" w:rsidP="00FE3E3B">
            <w:pPr>
              <w:rPr>
                <w:sz w:val="20"/>
                <w:szCs w:val="20"/>
              </w:rPr>
            </w:pPr>
            <w:r w:rsidRPr="0006695C">
              <w:rPr>
                <w:sz w:val="20"/>
                <w:szCs w:val="20"/>
              </w:rPr>
              <w:t>Cannot be determined</w:t>
            </w:r>
            <w:r>
              <w:rPr>
                <w:sz w:val="20"/>
                <w:szCs w:val="20"/>
              </w:rPr>
              <w:t xml:space="preserve"> (5.5%)</w:t>
            </w:r>
          </w:p>
        </w:tc>
        <w:tc>
          <w:tcPr>
            <w:tcW w:w="1710" w:type="dxa"/>
            <w:vAlign w:val="center"/>
          </w:tcPr>
          <w:p w14:paraId="73CAD875" w14:textId="77777777" w:rsidR="005B03E2" w:rsidRPr="0006695C" w:rsidRDefault="005B03E2" w:rsidP="00FE3E3B">
            <w:pPr>
              <w:rPr>
                <w:sz w:val="20"/>
                <w:szCs w:val="20"/>
              </w:rPr>
            </w:pPr>
            <w:r>
              <w:rPr>
                <w:sz w:val="20"/>
                <w:szCs w:val="20"/>
              </w:rPr>
              <w:t>---</w:t>
            </w:r>
          </w:p>
        </w:tc>
        <w:tc>
          <w:tcPr>
            <w:tcW w:w="1710" w:type="dxa"/>
            <w:vAlign w:val="center"/>
          </w:tcPr>
          <w:p w14:paraId="47DEE8F4" w14:textId="77777777" w:rsidR="005B03E2" w:rsidRPr="008B1F19" w:rsidRDefault="005B03E2" w:rsidP="00FE3E3B">
            <w:pPr>
              <w:rPr>
                <w:sz w:val="20"/>
                <w:szCs w:val="20"/>
              </w:rPr>
            </w:pPr>
            <w:r w:rsidRPr="008B1F19">
              <w:rPr>
                <w:sz w:val="20"/>
                <w:szCs w:val="20"/>
              </w:rPr>
              <w:t>---</w:t>
            </w:r>
          </w:p>
        </w:tc>
        <w:tc>
          <w:tcPr>
            <w:tcW w:w="1710" w:type="dxa"/>
            <w:vAlign w:val="center"/>
          </w:tcPr>
          <w:p w14:paraId="4D9BBA92" w14:textId="77777777" w:rsidR="005B03E2" w:rsidRPr="00640EA4" w:rsidRDefault="005B03E2" w:rsidP="00FE3E3B">
            <w:pPr>
              <w:rPr>
                <w:sz w:val="20"/>
                <w:szCs w:val="20"/>
              </w:rPr>
            </w:pPr>
          </w:p>
        </w:tc>
      </w:tr>
      <w:tr w:rsidR="005B03E2" w:rsidRPr="005D1CA3" w14:paraId="57F43651" w14:textId="77777777" w:rsidTr="00FE3E3B">
        <w:tc>
          <w:tcPr>
            <w:tcW w:w="1368" w:type="dxa"/>
            <w:vMerge w:val="restart"/>
            <w:vAlign w:val="center"/>
          </w:tcPr>
          <w:p w14:paraId="4E522AA4" w14:textId="77777777" w:rsidR="005B03E2" w:rsidRPr="005D1CA3" w:rsidRDefault="005B03E2" w:rsidP="00FE3E3B">
            <w:pPr>
              <w:jc w:val="center"/>
              <w:rPr>
                <w:sz w:val="20"/>
                <w:szCs w:val="20"/>
              </w:rPr>
            </w:pPr>
            <w:r w:rsidRPr="005D1CA3">
              <w:rPr>
                <w:sz w:val="20"/>
                <w:szCs w:val="20"/>
              </w:rPr>
              <w:t>Margins of nodule(s)</w:t>
            </w:r>
          </w:p>
        </w:tc>
        <w:tc>
          <w:tcPr>
            <w:tcW w:w="3510" w:type="dxa"/>
            <w:vAlign w:val="center"/>
          </w:tcPr>
          <w:p w14:paraId="413AA5E7" w14:textId="77777777" w:rsidR="005B03E2" w:rsidRPr="0006695C" w:rsidRDefault="005B03E2" w:rsidP="00FE3E3B">
            <w:pPr>
              <w:rPr>
                <w:sz w:val="20"/>
                <w:szCs w:val="20"/>
              </w:rPr>
            </w:pPr>
            <w:r w:rsidRPr="0006695C">
              <w:rPr>
                <w:sz w:val="20"/>
                <w:szCs w:val="20"/>
              </w:rPr>
              <w:t>Smooth</w:t>
            </w:r>
            <w:r>
              <w:rPr>
                <w:sz w:val="20"/>
                <w:szCs w:val="20"/>
              </w:rPr>
              <w:t xml:space="preserve"> (73%)</w:t>
            </w:r>
          </w:p>
        </w:tc>
        <w:tc>
          <w:tcPr>
            <w:tcW w:w="1710" w:type="dxa"/>
            <w:vAlign w:val="center"/>
          </w:tcPr>
          <w:p w14:paraId="01FB5DF9" w14:textId="77777777" w:rsidR="005B03E2" w:rsidRPr="0006695C" w:rsidRDefault="005B03E2" w:rsidP="00FE3E3B">
            <w:pPr>
              <w:rPr>
                <w:sz w:val="20"/>
                <w:szCs w:val="20"/>
              </w:rPr>
            </w:pPr>
            <w:r>
              <w:rPr>
                <w:sz w:val="20"/>
                <w:szCs w:val="20"/>
              </w:rPr>
              <w:t>---</w:t>
            </w:r>
          </w:p>
        </w:tc>
        <w:tc>
          <w:tcPr>
            <w:tcW w:w="1710" w:type="dxa"/>
            <w:vAlign w:val="center"/>
          </w:tcPr>
          <w:p w14:paraId="2350BEC6" w14:textId="77777777" w:rsidR="005B03E2" w:rsidRPr="008B1F19" w:rsidRDefault="005B03E2" w:rsidP="00FE3E3B">
            <w:pPr>
              <w:rPr>
                <w:sz w:val="20"/>
                <w:szCs w:val="20"/>
              </w:rPr>
            </w:pPr>
            <w:r w:rsidRPr="008B1F19">
              <w:rPr>
                <w:sz w:val="20"/>
                <w:szCs w:val="20"/>
              </w:rPr>
              <w:t>Lower risk</w:t>
            </w:r>
          </w:p>
          <w:p w14:paraId="6BB376F0" w14:textId="77777777" w:rsidR="005B03E2" w:rsidRPr="008B1F19" w:rsidRDefault="005B03E2" w:rsidP="00FE3E3B">
            <w:pPr>
              <w:rPr>
                <w:sz w:val="20"/>
                <w:szCs w:val="20"/>
              </w:rPr>
            </w:pPr>
            <w:r w:rsidRPr="008B1F19">
              <w:rPr>
                <w:sz w:val="20"/>
                <w:szCs w:val="20"/>
              </w:rPr>
              <w:t>0.07, p=0.009</w:t>
            </w:r>
          </w:p>
        </w:tc>
        <w:tc>
          <w:tcPr>
            <w:tcW w:w="1710" w:type="dxa"/>
            <w:vAlign w:val="center"/>
          </w:tcPr>
          <w:p w14:paraId="5EE6D131" w14:textId="77777777" w:rsidR="005B03E2" w:rsidRPr="00640EA4" w:rsidRDefault="005B03E2" w:rsidP="00FE3E3B">
            <w:pPr>
              <w:rPr>
                <w:sz w:val="20"/>
                <w:szCs w:val="20"/>
              </w:rPr>
            </w:pPr>
          </w:p>
        </w:tc>
      </w:tr>
      <w:tr w:rsidR="005B03E2" w:rsidRPr="005D1CA3" w14:paraId="25DF10FC" w14:textId="77777777" w:rsidTr="00FE3E3B">
        <w:tc>
          <w:tcPr>
            <w:tcW w:w="1368" w:type="dxa"/>
            <w:vMerge/>
            <w:vAlign w:val="center"/>
          </w:tcPr>
          <w:p w14:paraId="4ED4A262" w14:textId="77777777" w:rsidR="005B03E2" w:rsidRPr="005D1CA3" w:rsidRDefault="005B03E2" w:rsidP="00FE3E3B">
            <w:pPr>
              <w:jc w:val="center"/>
              <w:rPr>
                <w:sz w:val="20"/>
                <w:szCs w:val="20"/>
              </w:rPr>
            </w:pPr>
          </w:p>
        </w:tc>
        <w:tc>
          <w:tcPr>
            <w:tcW w:w="3510" w:type="dxa"/>
            <w:vAlign w:val="center"/>
          </w:tcPr>
          <w:p w14:paraId="4E666517" w14:textId="77777777" w:rsidR="005B03E2" w:rsidRPr="0006695C" w:rsidRDefault="005B03E2" w:rsidP="00FE3E3B">
            <w:pPr>
              <w:rPr>
                <w:sz w:val="20"/>
                <w:szCs w:val="20"/>
              </w:rPr>
            </w:pPr>
            <w:r w:rsidRPr="0006695C">
              <w:rPr>
                <w:sz w:val="20"/>
                <w:szCs w:val="20"/>
              </w:rPr>
              <w:t>Spiculated</w:t>
            </w:r>
            <w:r>
              <w:rPr>
                <w:sz w:val="20"/>
                <w:szCs w:val="20"/>
              </w:rPr>
              <w:t xml:space="preserve"> (9.6%)</w:t>
            </w:r>
          </w:p>
        </w:tc>
        <w:tc>
          <w:tcPr>
            <w:tcW w:w="1710" w:type="dxa"/>
            <w:vAlign w:val="center"/>
          </w:tcPr>
          <w:p w14:paraId="4940F4E1" w14:textId="77777777" w:rsidR="005B03E2" w:rsidRPr="0006695C" w:rsidRDefault="005B03E2" w:rsidP="00FE3E3B">
            <w:pPr>
              <w:rPr>
                <w:sz w:val="20"/>
                <w:szCs w:val="20"/>
              </w:rPr>
            </w:pPr>
            <w:r w:rsidRPr="0006695C">
              <w:rPr>
                <w:sz w:val="20"/>
                <w:szCs w:val="20"/>
              </w:rPr>
              <w:t>Higher risk</w:t>
            </w:r>
          </w:p>
          <w:p w14:paraId="5BFF2731" w14:textId="77777777" w:rsidR="005B03E2" w:rsidRPr="0006695C" w:rsidRDefault="005B03E2" w:rsidP="00FE3E3B">
            <w:pPr>
              <w:rPr>
                <w:sz w:val="20"/>
                <w:szCs w:val="20"/>
              </w:rPr>
            </w:pPr>
            <w:r w:rsidRPr="0006695C">
              <w:rPr>
                <w:sz w:val="20"/>
                <w:szCs w:val="20"/>
              </w:rPr>
              <w:t>0.17, p&lt;0.001</w:t>
            </w:r>
          </w:p>
        </w:tc>
        <w:tc>
          <w:tcPr>
            <w:tcW w:w="1710" w:type="dxa"/>
            <w:vAlign w:val="center"/>
          </w:tcPr>
          <w:p w14:paraId="668F5944" w14:textId="77777777" w:rsidR="005B03E2" w:rsidRPr="008B1F19" w:rsidRDefault="005B03E2" w:rsidP="00FE3E3B">
            <w:pPr>
              <w:rPr>
                <w:sz w:val="20"/>
                <w:szCs w:val="20"/>
              </w:rPr>
            </w:pPr>
            <w:r w:rsidRPr="008B1F19">
              <w:rPr>
                <w:sz w:val="20"/>
                <w:szCs w:val="20"/>
              </w:rPr>
              <w:t>Higher risk</w:t>
            </w:r>
          </w:p>
          <w:p w14:paraId="24607712" w14:textId="77777777" w:rsidR="005B03E2" w:rsidRPr="008B1F19" w:rsidRDefault="005B03E2" w:rsidP="00FE3E3B">
            <w:pPr>
              <w:rPr>
                <w:sz w:val="20"/>
                <w:szCs w:val="20"/>
              </w:rPr>
            </w:pPr>
            <w:r w:rsidRPr="008B1F19">
              <w:rPr>
                <w:sz w:val="20"/>
                <w:szCs w:val="20"/>
              </w:rPr>
              <w:t>0.10, p&lt;0.001</w:t>
            </w:r>
          </w:p>
        </w:tc>
        <w:tc>
          <w:tcPr>
            <w:tcW w:w="1710" w:type="dxa"/>
            <w:vAlign w:val="center"/>
          </w:tcPr>
          <w:p w14:paraId="23C4C090" w14:textId="77777777" w:rsidR="005B03E2" w:rsidRPr="00640EA4" w:rsidRDefault="005B03E2" w:rsidP="00FE3E3B">
            <w:pPr>
              <w:rPr>
                <w:sz w:val="20"/>
                <w:szCs w:val="20"/>
              </w:rPr>
            </w:pPr>
            <w:r w:rsidRPr="00640EA4">
              <w:rPr>
                <w:sz w:val="20"/>
                <w:szCs w:val="20"/>
              </w:rPr>
              <w:t>Higher risk</w:t>
            </w:r>
          </w:p>
          <w:p w14:paraId="4E1C11AE" w14:textId="77777777" w:rsidR="005B03E2" w:rsidRPr="00640EA4" w:rsidRDefault="005B03E2" w:rsidP="00FE3E3B">
            <w:pPr>
              <w:rPr>
                <w:sz w:val="20"/>
                <w:szCs w:val="20"/>
              </w:rPr>
            </w:pPr>
            <w:r w:rsidRPr="00640EA4">
              <w:rPr>
                <w:sz w:val="20"/>
                <w:szCs w:val="20"/>
              </w:rPr>
              <w:t>0.16, p&lt;0.001</w:t>
            </w:r>
          </w:p>
        </w:tc>
      </w:tr>
      <w:tr w:rsidR="005B03E2" w:rsidRPr="005D1CA3" w14:paraId="1AF18111" w14:textId="77777777" w:rsidTr="00FE3E3B">
        <w:tc>
          <w:tcPr>
            <w:tcW w:w="1368" w:type="dxa"/>
            <w:vMerge/>
            <w:vAlign w:val="center"/>
          </w:tcPr>
          <w:p w14:paraId="799B660A" w14:textId="77777777" w:rsidR="005B03E2" w:rsidRPr="005D1CA3" w:rsidRDefault="005B03E2" w:rsidP="00FE3E3B">
            <w:pPr>
              <w:jc w:val="center"/>
              <w:rPr>
                <w:sz w:val="20"/>
                <w:szCs w:val="20"/>
              </w:rPr>
            </w:pPr>
          </w:p>
        </w:tc>
        <w:tc>
          <w:tcPr>
            <w:tcW w:w="3510" w:type="dxa"/>
            <w:vAlign w:val="center"/>
          </w:tcPr>
          <w:p w14:paraId="59A68D4F" w14:textId="77777777" w:rsidR="005B03E2" w:rsidRPr="0006695C" w:rsidRDefault="005B03E2" w:rsidP="00FE3E3B">
            <w:pPr>
              <w:rPr>
                <w:sz w:val="20"/>
                <w:szCs w:val="20"/>
              </w:rPr>
            </w:pPr>
            <w:r w:rsidRPr="0006695C">
              <w:rPr>
                <w:sz w:val="20"/>
                <w:szCs w:val="20"/>
              </w:rPr>
              <w:t>Poorly defined</w:t>
            </w:r>
            <w:r>
              <w:rPr>
                <w:sz w:val="20"/>
                <w:szCs w:val="20"/>
              </w:rPr>
              <w:t xml:space="preserve"> (24%)</w:t>
            </w:r>
          </w:p>
        </w:tc>
        <w:tc>
          <w:tcPr>
            <w:tcW w:w="1710" w:type="dxa"/>
            <w:vAlign w:val="center"/>
          </w:tcPr>
          <w:p w14:paraId="6587FD51" w14:textId="77777777" w:rsidR="005B03E2" w:rsidRPr="0006695C" w:rsidRDefault="005B03E2" w:rsidP="00FE3E3B">
            <w:pPr>
              <w:rPr>
                <w:sz w:val="20"/>
                <w:szCs w:val="20"/>
              </w:rPr>
            </w:pPr>
            <w:r w:rsidRPr="0006695C">
              <w:rPr>
                <w:sz w:val="20"/>
                <w:szCs w:val="20"/>
              </w:rPr>
              <w:t>Higher risk</w:t>
            </w:r>
          </w:p>
          <w:p w14:paraId="2D0E02AA" w14:textId="77777777" w:rsidR="005B03E2" w:rsidRPr="0006695C" w:rsidRDefault="005B03E2" w:rsidP="00FE3E3B">
            <w:pPr>
              <w:rPr>
                <w:sz w:val="20"/>
                <w:szCs w:val="20"/>
              </w:rPr>
            </w:pPr>
            <w:r>
              <w:rPr>
                <w:sz w:val="20"/>
                <w:szCs w:val="20"/>
              </w:rPr>
              <w:t>0.07, p=0.02</w:t>
            </w:r>
          </w:p>
        </w:tc>
        <w:tc>
          <w:tcPr>
            <w:tcW w:w="1710" w:type="dxa"/>
            <w:vAlign w:val="center"/>
          </w:tcPr>
          <w:p w14:paraId="0D88FF5D" w14:textId="77777777" w:rsidR="005B03E2" w:rsidRPr="008B1F19" w:rsidRDefault="005B03E2" w:rsidP="00FE3E3B">
            <w:pPr>
              <w:rPr>
                <w:sz w:val="20"/>
                <w:szCs w:val="20"/>
              </w:rPr>
            </w:pPr>
            <w:r w:rsidRPr="008B1F19">
              <w:rPr>
                <w:sz w:val="20"/>
                <w:szCs w:val="20"/>
              </w:rPr>
              <w:t>---</w:t>
            </w:r>
          </w:p>
        </w:tc>
        <w:tc>
          <w:tcPr>
            <w:tcW w:w="1710" w:type="dxa"/>
            <w:vMerge w:val="restart"/>
            <w:vAlign w:val="center"/>
          </w:tcPr>
          <w:p w14:paraId="5BB950D3" w14:textId="77777777" w:rsidR="005B03E2" w:rsidRPr="00640EA4" w:rsidRDefault="005B03E2" w:rsidP="00FE3E3B">
            <w:pPr>
              <w:rPr>
                <w:sz w:val="20"/>
                <w:szCs w:val="20"/>
              </w:rPr>
            </w:pPr>
            <w:r w:rsidRPr="00640EA4">
              <w:rPr>
                <w:sz w:val="20"/>
                <w:szCs w:val="20"/>
              </w:rPr>
              <w:t>Higher risk</w:t>
            </w:r>
          </w:p>
          <w:p w14:paraId="6F5E97C6" w14:textId="77777777" w:rsidR="005B03E2" w:rsidRPr="00640EA4" w:rsidRDefault="005B03E2" w:rsidP="00FE3E3B">
            <w:pPr>
              <w:rPr>
                <w:sz w:val="20"/>
                <w:szCs w:val="20"/>
              </w:rPr>
            </w:pPr>
            <w:r w:rsidRPr="00640EA4">
              <w:rPr>
                <w:sz w:val="20"/>
                <w:szCs w:val="20"/>
              </w:rPr>
              <w:t>0.09, p=0.001</w:t>
            </w:r>
          </w:p>
        </w:tc>
      </w:tr>
      <w:tr w:rsidR="005B03E2" w:rsidRPr="005D1CA3" w14:paraId="51A78ABB" w14:textId="77777777" w:rsidTr="00FE3E3B">
        <w:tc>
          <w:tcPr>
            <w:tcW w:w="1368" w:type="dxa"/>
            <w:vMerge/>
            <w:vAlign w:val="center"/>
          </w:tcPr>
          <w:p w14:paraId="3DF11FA6" w14:textId="77777777" w:rsidR="005B03E2" w:rsidRPr="005D1CA3" w:rsidRDefault="005B03E2" w:rsidP="00FE3E3B">
            <w:pPr>
              <w:jc w:val="center"/>
              <w:rPr>
                <w:sz w:val="20"/>
                <w:szCs w:val="20"/>
              </w:rPr>
            </w:pPr>
          </w:p>
        </w:tc>
        <w:tc>
          <w:tcPr>
            <w:tcW w:w="3510" w:type="dxa"/>
            <w:vAlign w:val="center"/>
          </w:tcPr>
          <w:p w14:paraId="6657FF2A" w14:textId="77777777" w:rsidR="005B03E2" w:rsidRPr="0006695C" w:rsidRDefault="005B03E2" w:rsidP="00FE3E3B">
            <w:pPr>
              <w:rPr>
                <w:sz w:val="20"/>
                <w:szCs w:val="20"/>
              </w:rPr>
            </w:pPr>
            <w:r w:rsidRPr="0006695C">
              <w:rPr>
                <w:sz w:val="20"/>
                <w:szCs w:val="20"/>
              </w:rPr>
              <w:t>Cannot be determined</w:t>
            </w:r>
            <w:r>
              <w:rPr>
                <w:sz w:val="20"/>
                <w:szCs w:val="20"/>
              </w:rPr>
              <w:t xml:space="preserve"> (4.3%)</w:t>
            </w:r>
          </w:p>
        </w:tc>
        <w:tc>
          <w:tcPr>
            <w:tcW w:w="1710" w:type="dxa"/>
            <w:vAlign w:val="center"/>
          </w:tcPr>
          <w:p w14:paraId="58E4E29F" w14:textId="77777777" w:rsidR="005B03E2" w:rsidRPr="0006695C" w:rsidRDefault="005B03E2" w:rsidP="00FE3E3B">
            <w:pPr>
              <w:rPr>
                <w:sz w:val="20"/>
                <w:szCs w:val="20"/>
              </w:rPr>
            </w:pPr>
            <w:r w:rsidRPr="0006695C">
              <w:rPr>
                <w:sz w:val="20"/>
                <w:szCs w:val="20"/>
              </w:rPr>
              <w:t>Higher risk</w:t>
            </w:r>
          </w:p>
          <w:p w14:paraId="5FD6CAF9" w14:textId="77777777" w:rsidR="005B03E2" w:rsidRPr="0006695C" w:rsidRDefault="005B03E2" w:rsidP="00FE3E3B">
            <w:pPr>
              <w:rPr>
                <w:sz w:val="20"/>
                <w:szCs w:val="20"/>
              </w:rPr>
            </w:pPr>
            <w:r w:rsidRPr="0006695C">
              <w:rPr>
                <w:sz w:val="20"/>
                <w:szCs w:val="20"/>
              </w:rPr>
              <w:t>0.17,</w:t>
            </w:r>
            <w:r>
              <w:rPr>
                <w:sz w:val="20"/>
                <w:szCs w:val="20"/>
              </w:rPr>
              <w:t xml:space="preserve"> </w:t>
            </w:r>
            <w:r w:rsidRPr="0006695C">
              <w:rPr>
                <w:sz w:val="20"/>
                <w:szCs w:val="20"/>
              </w:rPr>
              <w:t>p&lt;0.001</w:t>
            </w:r>
          </w:p>
        </w:tc>
        <w:tc>
          <w:tcPr>
            <w:tcW w:w="1710" w:type="dxa"/>
            <w:vAlign w:val="center"/>
          </w:tcPr>
          <w:p w14:paraId="4E358ACC" w14:textId="77777777" w:rsidR="005B03E2" w:rsidRPr="008B1F19" w:rsidRDefault="005B03E2" w:rsidP="00FE3E3B">
            <w:pPr>
              <w:rPr>
                <w:sz w:val="20"/>
                <w:szCs w:val="20"/>
              </w:rPr>
            </w:pPr>
            <w:r w:rsidRPr="008B1F19">
              <w:rPr>
                <w:sz w:val="20"/>
                <w:szCs w:val="20"/>
              </w:rPr>
              <w:t>---</w:t>
            </w:r>
          </w:p>
        </w:tc>
        <w:tc>
          <w:tcPr>
            <w:tcW w:w="1710" w:type="dxa"/>
            <w:vMerge/>
            <w:vAlign w:val="center"/>
          </w:tcPr>
          <w:p w14:paraId="771A93DD" w14:textId="77777777" w:rsidR="005B03E2" w:rsidRPr="00640EA4" w:rsidRDefault="005B03E2" w:rsidP="00FE3E3B">
            <w:pPr>
              <w:rPr>
                <w:sz w:val="20"/>
                <w:szCs w:val="20"/>
              </w:rPr>
            </w:pPr>
          </w:p>
        </w:tc>
      </w:tr>
      <w:tr w:rsidR="005B03E2" w:rsidRPr="005D1CA3" w14:paraId="27A86F2C" w14:textId="77777777" w:rsidTr="00FE3E3B">
        <w:tc>
          <w:tcPr>
            <w:tcW w:w="1368" w:type="dxa"/>
            <w:vMerge w:val="restart"/>
            <w:vAlign w:val="center"/>
          </w:tcPr>
          <w:p w14:paraId="2382151B" w14:textId="77777777" w:rsidR="005B03E2" w:rsidRDefault="005B03E2" w:rsidP="00FE3E3B">
            <w:pPr>
              <w:jc w:val="center"/>
              <w:rPr>
                <w:sz w:val="20"/>
                <w:szCs w:val="20"/>
              </w:rPr>
            </w:pPr>
            <w:r>
              <w:rPr>
                <w:sz w:val="20"/>
                <w:szCs w:val="20"/>
              </w:rPr>
              <w:t>C</w:t>
            </w:r>
            <w:r w:rsidRPr="005D1CA3">
              <w:rPr>
                <w:sz w:val="20"/>
                <w:szCs w:val="20"/>
              </w:rPr>
              <w:t>hanges</w:t>
            </w:r>
            <w:r>
              <w:rPr>
                <w:sz w:val="20"/>
                <w:szCs w:val="20"/>
              </w:rPr>
              <w:t xml:space="preserve"> by comparison with prior CT</w:t>
            </w:r>
          </w:p>
        </w:tc>
        <w:tc>
          <w:tcPr>
            <w:tcW w:w="3510" w:type="dxa"/>
            <w:vAlign w:val="center"/>
          </w:tcPr>
          <w:p w14:paraId="5070793C" w14:textId="77777777" w:rsidR="005B03E2" w:rsidRPr="0006695C" w:rsidRDefault="005B03E2" w:rsidP="00FE3E3B">
            <w:pPr>
              <w:rPr>
                <w:sz w:val="20"/>
                <w:szCs w:val="20"/>
              </w:rPr>
            </w:pPr>
            <w:r>
              <w:rPr>
                <w:sz w:val="20"/>
                <w:szCs w:val="20"/>
              </w:rPr>
              <w:t>Any new nodule(s) (14.1%)</w:t>
            </w:r>
          </w:p>
        </w:tc>
        <w:tc>
          <w:tcPr>
            <w:tcW w:w="1710" w:type="dxa"/>
            <w:vAlign w:val="center"/>
          </w:tcPr>
          <w:p w14:paraId="05E7D721" w14:textId="77777777" w:rsidR="005B03E2" w:rsidRPr="0006695C" w:rsidRDefault="005B03E2" w:rsidP="00FE3E3B">
            <w:pPr>
              <w:rPr>
                <w:sz w:val="20"/>
                <w:szCs w:val="20"/>
              </w:rPr>
            </w:pPr>
          </w:p>
        </w:tc>
        <w:tc>
          <w:tcPr>
            <w:tcW w:w="1710" w:type="dxa"/>
            <w:vAlign w:val="center"/>
          </w:tcPr>
          <w:p w14:paraId="2A34C8C8" w14:textId="77777777" w:rsidR="005B03E2" w:rsidRPr="008B1F19" w:rsidRDefault="005B03E2" w:rsidP="00FE3E3B">
            <w:pPr>
              <w:rPr>
                <w:sz w:val="20"/>
                <w:szCs w:val="20"/>
              </w:rPr>
            </w:pPr>
          </w:p>
        </w:tc>
        <w:tc>
          <w:tcPr>
            <w:tcW w:w="1710" w:type="dxa"/>
            <w:vAlign w:val="center"/>
          </w:tcPr>
          <w:p w14:paraId="4607788C" w14:textId="77777777" w:rsidR="005B03E2" w:rsidRPr="00640EA4" w:rsidRDefault="005B03E2" w:rsidP="00FE3E3B">
            <w:pPr>
              <w:rPr>
                <w:sz w:val="20"/>
                <w:szCs w:val="20"/>
              </w:rPr>
            </w:pPr>
          </w:p>
        </w:tc>
      </w:tr>
      <w:tr w:rsidR="005B03E2" w:rsidRPr="005D1CA3" w14:paraId="14B8DF8D" w14:textId="77777777" w:rsidTr="00FE3E3B">
        <w:tc>
          <w:tcPr>
            <w:tcW w:w="1368" w:type="dxa"/>
            <w:vMerge/>
            <w:vAlign w:val="center"/>
          </w:tcPr>
          <w:p w14:paraId="03BDBC6F" w14:textId="77777777" w:rsidR="005B03E2" w:rsidRPr="005D1CA3" w:rsidRDefault="005B03E2" w:rsidP="00FE3E3B">
            <w:pPr>
              <w:jc w:val="center"/>
              <w:rPr>
                <w:sz w:val="20"/>
                <w:szCs w:val="20"/>
              </w:rPr>
            </w:pPr>
          </w:p>
        </w:tc>
        <w:tc>
          <w:tcPr>
            <w:tcW w:w="3510" w:type="dxa"/>
            <w:vAlign w:val="center"/>
          </w:tcPr>
          <w:p w14:paraId="20F2B2D0" w14:textId="77777777" w:rsidR="005B03E2" w:rsidRPr="0006695C" w:rsidRDefault="005B03E2" w:rsidP="00FE3E3B">
            <w:pPr>
              <w:rPr>
                <w:sz w:val="20"/>
                <w:szCs w:val="20"/>
              </w:rPr>
            </w:pPr>
            <w:r w:rsidRPr="0006695C">
              <w:rPr>
                <w:sz w:val="20"/>
                <w:szCs w:val="20"/>
              </w:rPr>
              <w:t xml:space="preserve">Interval growth of nodule(s) </w:t>
            </w:r>
            <w:r>
              <w:rPr>
                <w:sz w:val="20"/>
                <w:szCs w:val="20"/>
              </w:rPr>
              <w:t>(6.0%)</w:t>
            </w:r>
          </w:p>
        </w:tc>
        <w:tc>
          <w:tcPr>
            <w:tcW w:w="1710" w:type="dxa"/>
            <w:vAlign w:val="center"/>
          </w:tcPr>
          <w:p w14:paraId="19C289CA" w14:textId="77777777" w:rsidR="005B03E2" w:rsidRPr="0006695C" w:rsidRDefault="005B03E2" w:rsidP="00FE3E3B">
            <w:pPr>
              <w:rPr>
                <w:sz w:val="20"/>
                <w:szCs w:val="20"/>
              </w:rPr>
            </w:pPr>
            <w:r w:rsidRPr="0006695C">
              <w:rPr>
                <w:sz w:val="20"/>
                <w:szCs w:val="20"/>
              </w:rPr>
              <w:t>Higher risk</w:t>
            </w:r>
          </w:p>
          <w:p w14:paraId="572CD503" w14:textId="77777777" w:rsidR="005B03E2" w:rsidRPr="0006695C" w:rsidRDefault="005B03E2" w:rsidP="00FE3E3B">
            <w:pPr>
              <w:rPr>
                <w:sz w:val="20"/>
                <w:szCs w:val="20"/>
              </w:rPr>
            </w:pPr>
            <w:r w:rsidRPr="0006695C">
              <w:rPr>
                <w:sz w:val="20"/>
                <w:szCs w:val="20"/>
              </w:rPr>
              <w:t>0.30, p&lt;0.001</w:t>
            </w:r>
          </w:p>
        </w:tc>
        <w:tc>
          <w:tcPr>
            <w:tcW w:w="1710" w:type="dxa"/>
            <w:vAlign w:val="center"/>
          </w:tcPr>
          <w:p w14:paraId="6DF4AAA1" w14:textId="77777777" w:rsidR="005B03E2" w:rsidRPr="008B1F19" w:rsidRDefault="005B03E2" w:rsidP="00FE3E3B">
            <w:pPr>
              <w:rPr>
                <w:sz w:val="20"/>
                <w:szCs w:val="20"/>
              </w:rPr>
            </w:pPr>
            <w:r w:rsidRPr="008B1F19">
              <w:rPr>
                <w:sz w:val="20"/>
                <w:szCs w:val="20"/>
              </w:rPr>
              <w:t>Higher risk</w:t>
            </w:r>
          </w:p>
          <w:p w14:paraId="5E42DAD2" w14:textId="77777777" w:rsidR="005B03E2" w:rsidRPr="008B1F19" w:rsidRDefault="005B03E2" w:rsidP="00FE3E3B">
            <w:pPr>
              <w:rPr>
                <w:sz w:val="20"/>
                <w:szCs w:val="20"/>
              </w:rPr>
            </w:pPr>
            <w:r w:rsidRPr="008B1F19">
              <w:rPr>
                <w:sz w:val="20"/>
                <w:szCs w:val="20"/>
              </w:rPr>
              <w:t>0.27, p&lt;0.001</w:t>
            </w:r>
          </w:p>
        </w:tc>
        <w:tc>
          <w:tcPr>
            <w:tcW w:w="1710" w:type="dxa"/>
            <w:vAlign w:val="center"/>
          </w:tcPr>
          <w:p w14:paraId="45D19FB4" w14:textId="77777777" w:rsidR="005B03E2" w:rsidRPr="00640EA4" w:rsidRDefault="005B03E2" w:rsidP="00FE3E3B">
            <w:pPr>
              <w:rPr>
                <w:sz w:val="20"/>
                <w:szCs w:val="20"/>
              </w:rPr>
            </w:pPr>
            <w:r w:rsidRPr="00640EA4">
              <w:rPr>
                <w:sz w:val="20"/>
                <w:szCs w:val="20"/>
              </w:rPr>
              <w:t>Higher risk</w:t>
            </w:r>
          </w:p>
          <w:p w14:paraId="15E88812" w14:textId="77777777" w:rsidR="005B03E2" w:rsidRPr="00640EA4" w:rsidRDefault="005B03E2" w:rsidP="00FE3E3B">
            <w:pPr>
              <w:rPr>
                <w:sz w:val="20"/>
                <w:szCs w:val="20"/>
              </w:rPr>
            </w:pPr>
            <w:r w:rsidRPr="00640EA4">
              <w:rPr>
                <w:sz w:val="20"/>
                <w:szCs w:val="20"/>
              </w:rPr>
              <w:t>0.26, p&lt;0.001</w:t>
            </w:r>
          </w:p>
        </w:tc>
      </w:tr>
      <w:tr w:rsidR="005B03E2" w:rsidRPr="005D1CA3" w14:paraId="124E0AC8" w14:textId="77777777" w:rsidTr="00FE3E3B">
        <w:tc>
          <w:tcPr>
            <w:tcW w:w="1368" w:type="dxa"/>
            <w:vMerge/>
            <w:vAlign w:val="center"/>
          </w:tcPr>
          <w:p w14:paraId="1364E2DE" w14:textId="77777777" w:rsidR="005B03E2" w:rsidRPr="005D1CA3" w:rsidRDefault="005B03E2" w:rsidP="00FE3E3B">
            <w:pPr>
              <w:jc w:val="center"/>
              <w:rPr>
                <w:sz w:val="20"/>
                <w:szCs w:val="20"/>
              </w:rPr>
            </w:pPr>
          </w:p>
        </w:tc>
        <w:tc>
          <w:tcPr>
            <w:tcW w:w="3510" w:type="dxa"/>
            <w:vAlign w:val="center"/>
          </w:tcPr>
          <w:p w14:paraId="20600C6F" w14:textId="77777777" w:rsidR="005B03E2" w:rsidRPr="0006695C" w:rsidRDefault="005B03E2" w:rsidP="00FE3E3B">
            <w:pPr>
              <w:rPr>
                <w:sz w:val="20"/>
                <w:szCs w:val="20"/>
              </w:rPr>
            </w:pPr>
            <w:r w:rsidRPr="0006695C">
              <w:rPr>
                <w:sz w:val="20"/>
                <w:szCs w:val="20"/>
              </w:rPr>
              <w:t>S</w:t>
            </w:r>
            <w:r>
              <w:rPr>
                <w:sz w:val="20"/>
                <w:szCs w:val="20"/>
              </w:rPr>
              <w:t>uspicious change in attenuation (2.0%)</w:t>
            </w:r>
          </w:p>
        </w:tc>
        <w:tc>
          <w:tcPr>
            <w:tcW w:w="1710" w:type="dxa"/>
            <w:vAlign w:val="center"/>
          </w:tcPr>
          <w:p w14:paraId="1FC9B121" w14:textId="77777777" w:rsidR="005B03E2" w:rsidRPr="0006695C" w:rsidRDefault="005B03E2" w:rsidP="00FE3E3B">
            <w:pPr>
              <w:rPr>
                <w:sz w:val="20"/>
                <w:szCs w:val="20"/>
              </w:rPr>
            </w:pPr>
            <w:r>
              <w:rPr>
                <w:sz w:val="20"/>
                <w:szCs w:val="20"/>
              </w:rPr>
              <w:t>---</w:t>
            </w:r>
          </w:p>
        </w:tc>
        <w:tc>
          <w:tcPr>
            <w:tcW w:w="1710" w:type="dxa"/>
            <w:vAlign w:val="center"/>
          </w:tcPr>
          <w:p w14:paraId="179CF850" w14:textId="77777777" w:rsidR="005B03E2" w:rsidRPr="008B1F19" w:rsidRDefault="005B03E2" w:rsidP="00FE3E3B">
            <w:pPr>
              <w:rPr>
                <w:sz w:val="20"/>
                <w:szCs w:val="20"/>
              </w:rPr>
            </w:pPr>
            <w:r w:rsidRPr="008B1F19">
              <w:rPr>
                <w:sz w:val="20"/>
                <w:szCs w:val="20"/>
              </w:rPr>
              <w:t>---</w:t>
            </w:r>
          </w:p>
        </w:tc>
        <w:tc>
          <w:tcPr>
            <w:tcW w:w="1710" w:type="dxa"/>
            <w:vAlign w:val="center"/>
          </w:tcPr>
          <w:p w14:paraId="7BEEC6D0" w14:textId="77777777" w:rsidR="005B03E2" w:rsidRPr="00640EA4" w:rsidRDefault="005B03E2" w:rsidP="00FE3E3B">
            <w:pPr>
              <w:rPr>
                <w:sz w:val="20"/>
                <w:szCs w:val="20"/>
              </w:rPr>
            </w:pPr>
          </w:p>
        </w:tc>
      </w:tr>
      <w:tr w:rsidR="005B03E2" w:rsidRPr="005D1CA3" w14:paraId="1D66F067" w14:textId="77777777" w:rsidTr="00FE3E3B">
        <w:tc>
          <w:tcPr>
            <w:tcW w:w="1368" w:type="dxa"/>
            <w:vMerge w:val="restart"/>
            <w:vAlign w:val="center"/>
          </w:tcPr>
          <w:p w14:paraId="57005FD0" w14:textId="77777777" w:rsidR="005B03E2" w:rsidRPr="005D1CA3" w:rsidRDefault="005B03E2" w:rsidP="00FE3E3B">
            <w:pPr>
              <w:jc w:val="center"/>
              <w:rPr>
                <w:sz w:val="20"/>
                <w:szCs w:val="20"/>
              </w:rPr>
            </w:pPr>
            <w:r w:rsidRPr="005D1CA3">
              <w:rPr>
                <w:sz w:val="20"/>
                <w:szCs w:val="20"/>
              </w:rPr>
              <w:t>Non-nodule features</w:t>
            </w:r>
          </w:p>
        </w:tc>
        <w:tc>
          <w:tcPr>
            <w:tcW w:w="3510" w:type="dxa"/>
            <w:vAlign w:val="center"/>
          </w:tcPr>
          <w:p w14:paraId="4468A181" w14:textId="77777777" w:rsidR="005B03E2" w:rsidRPr="0006695C" w:rsidRDefault="005B03E2" w:rsidP="00FE3E3B">
            <w:pPr>
              <w:rPr>
                <w:sz w:val="20"/>
                <w:szCs w:val="20"/>
              </w:rPr>
            </w:pPr>
            <w:r w:rsidRPr="0006695C">
              <w:rPr>
                <w:sz w:val="20"/>
                <w:szCs w:val="20"/>
              </w:rPr>
              <w:t>Non-calcified hilar/mediastinal adenopathy or mass (≥10 mm on short axis)</w:t>
            </w:r>
            <w:r>
              <w:rPr>
                <w:sz w:val="20"/>
                <w:szCs w:val="20"/>
              </w:rPr>
              <w:t xml:space="preserve"> (2.3%)</w:t>
            </w:r>
          </w:p>
        </w:tc>
        <w:tc>
          <w:tcPr>
            <w:tcW w:w="1710" w:type="dxa"/>
            <w:vAlign w:val="center"/>
          </w:tcPr>
          <w:p w14:paraId="7D089DC3" w14:textId="77777777" w:rsidR="005B03E2" w:rsidRPr="0006695C" w:rsidRDefault="005B03E2" w:rsidP="00FE3E3B">
            <w:pPr>
              <w:rPr>
                <w:sz w:val="20"/>
                <w:szCs w:val="20"/>
              </w:rPr>
            </w:pPr>
            <w:r>
              <w:rPr>
                <w:sz w:val="20"/>
                <w:szCs w:val="20"/>
              </w:rPr>
              <w:t>---</w:t>
            </w:r>
          </w:p>
        </w:tc>
        <w:tc>
          <w:tcPr>
            <w:tcW w:w="1710" w:type="dxa"/>
            <w:vAlign w:val="center"/>
          </w:tcPr>
          <w:p w14:paraId="4E99421E" w14:textId="77777777" w:rsidR="005B03E2" w:rsidRPr="008B1F19" w:rsidRDefault="005B03E2" w:rsidP="00FE3E3B">
            <w:pPr>
              <w:rPr>
                <w:sz w:val="20"/>
                <w:szCs w:val="20"/>
              </w:rPr>
            </w:pPr>
            <w:r w:rsidRPr="008B1F19">
              <w:rPr>
                <w:sz w:val="20"/>
                <w:szCs w:val="20"/>
              </w:rPr>
              <w:t>---</w:t>
            </w:r>
          </w:p>
        </w:tc>
        <w:tc>
          <w:tcPr>
            <w:tcW w:w="1710" w:type="dxa"/>
            <w:vAlign w:val="center"/>
          </w:tcPr>
          <w:p w14:paraId="688A5189" w14:textId="77777777" w:rsidR="005B03E2" w:rsidRPr="00640EA4" w:rsidRDefault="005B03E2" w:rsidP="00FE3E3B">
            <w:pPr>
              <w:rPr>
                <w:sz w:val="20"/>
                <w:szCs w:val="20"/>
              </w:rPr>
            </w:pPr>
          </w:p>
        </w:tc>
      </w:tr>
      <w:tr w:rsidR="005B03E2" w:rsidRPr="005D1CA3" w14:paraId="0F567B38" w14:textId="77777777" w:rsidTr="00FE3E3B">
        <w:tc>
          <w:tcPr>
            <w:tcW w:w="1368" w:type="dxa"/>
            <w:vMerge/>
            <w:vAlign w:val="center"/>
          </w:tcPr>
          <w:p w14:paraId="11216E05" w14:textId="77777777" w:rsidR="005B03E2" w:rsidRPr="005D1CA3" w:rsidRDefault="005B03E2" w:rsidP="00FE3E3B">
            <w:pPr>
              <w:rPr>
                <w:sz w:val="20"/>
                <w:szCs w:val="20"/>
              </w:rPr>
            </w:pPr>
          </w:p>
        </w:tc>
        <w:tc>
          <w:tcPr>
            <w:tcW w:w="3510" w:type="dxa"/>
            <w:vAlign w:val="center"/>
          </w:tcPr>
          <w:p w14:paraId="4A867E0C" w14:textId="77777777" w:rsidR="005B03E2" w:rsidRPr="0006695C" w:rsidRDefault="005B03E2" w:rsidP="00FE3E3B">
            <w:pPr>
              <w:rPr>
                <w:sz w:val="20"/>
                <w:szCs w:val="20"/>
              </w:rPr>
            </w:pPr>
            <w:r w:rsidRPr="0006695C">
              <w:rPr>
                <w:sz w:val="20"/>
                <w:szCs w:val="20"/>
              </w:rPr>
              <w:t>Atelectasis, segmental or greater</w:t>
            </w:r>
            <w:r>
              <w:rPr>
                <w:sz w:val="20"/>
                <w:szCs w:val="20"/>
              </w:rPr>
              <w:t xml:space="preserve"> (1.1%)</w:t>
            </w:r>
          </w:p>
        </w:tc>
        <w:tc>
          <w:tcPr>
            <w:tcW w:w="1710" w:type="dxa"/>
            <w:vAlign w:val="center"/>
          </w:tcPr>
          <w:p w14:paraId="249E7019" w14:textId="77777777" w:rsidR="005B03E2" w:rsidRPr="0006695C" w:rsidRDefault="005B03E2" w:rsidP="00FE3E3B">
            <w:pPr>
              <w:rPr>
                <w:sz w:val="20"/>
                <w:szCs w:val="20"/>
              </w:rPr>
            </w:pPr>
            <w:r>
              <w:rPr>
                <w:sz w:val="20"/>
                <w:szCs w:val="20"/>
              </w:rPr>
              <w:t>---</w:t>
            </w:r>
          </w:p>
        </w:tc>
        <w:tc>
          <w:tcPr>
            <w:tcW w:w="1710" w:type="dxa"/>
            <w:vAlign w:val="center"/>
          </w:tcPr>
          <w:p w14:paraId="6D3F2B79" w14:textId="77777777" w:rsidR="005B03E2" w:rsidRPr="008B1F19" w:rsidRDefault="005B03E2" w:rsidP="00FE3E3B">
            <w:pPr>
              <w:rPr>
                <w:sz w:val="20"/>
                <w:szCs w:val="20"/>
              </w:rPr>
            </w:pPr>
            <w:r w:rsidRPr="008B1F19">
              <w:rPr>
                <w:sz w:val="20"/>
                <w:szCs w:val="20"/>
              </w:rPr>
              <w:t>---</w:t>
            </w:r>
          </w:p>
        </w:tc>
        <w:tc>
          <w:tcPr>
            <w:tcW w:w="1710" w:type="dxa"/>
            <w:vAlign w:val="center"/>
          </w:tcPr>
          <w:p w14:paraId="2B73AA3C" w14:textId="77777777" w:rsidR="005B03E2" w:rsidRPr="00640EA4" w:rsidRDefault="005B03E2" w:rsidP="00FE3E3B">
            <w:pPr>
              <w:rPr>
                <w:sz w:val="20"/>
                <w:szCs w:val="20"/>
              </w:rPr>
            </w:pPr>
          </w:p>
        </w:tc>
      </w:tr>
      <w:tr w:rsidR="005B03E2" w:rsidRPr="005D1CA3" w14:paraId="0AE2BA75" w14:textId="77777777" w:rsidTr="00FE3E3B">
        <w:tc>
          <w:tcPr>
            <w:tcW w:w="1368" w:type="dxa"/>
            <w:vMerge/>
            <w:vAlign w:val="center"/>
          </w:tcPr>
          <w:p w14:paraId="03C1C866" w14:textId="77777777" w:rsidR="005B03E2" w:rsidRPr="005D1CA3" w:rsidRDefault="005B03E2" w:rsidP="00FE3E3B">
            <w:pPr>
              <w:rPr>
                <w:sz w:val="20"/>
                <w:szCs w:val="20"/>
              </w:rPr>
            </w:pPr>
          </w:p>
        </w:tc>
        <w:tc>
          <w:tcPr>
            <w:tcW w:w="3510" w:type="dxa"/>
            <w:vAlign w:val="center"/>
          </w:tcPr>
          <w:p w14:paraId="3C31953F" w14:textId="77777777" w:rsidR="005B03E2" w:rsidRPr="0006695C" w:rsidRDefault="005B03E2" w:rsidP="00FE3E3B">
            <w:pPr>
              <w:rPr>
                <w:sz w:val="20"/>
                <w:szCs w:val="20"/>
              </w:rPr>
            </w:pPr>
            <w:r w:rsidRPr="0006695C">
              <w:rPr>
                <w:sz w:val="20"/>
                <w:szCs w:val="20"/>
              </w:rPr>
              <w:t>Consolidation</w:t>
            </w:r>
            <w:r>
              <w:rPr>
                <w:sz w:val="20"/>
                <w:szCs w:val="20"/>
              </w:rPr>
              <w:t xml:space="preserve"> (0.74%)</w:t>
            </w:r>
          </w:p>
        </w:tc>
        <w:tc>
          <w:tcPr>
            <w:tcW w:w="1710" w:type="dxa"/>
            <w:vAlign w:val="center"/>
          </w:tcPr>
          <w:p w14:paraId="55376176" w14:textId="77777777" w:rsidR="005B03E2" w:rsidRPr="0006695C" w:rsidRDefault="005B03E2" w:rsidP="00FE3E3B">
            <w:pPr>
              <w:rPr>
                <w:sz w:val="20"/>
                <w:szCs w:val="20"/>
              </w:rPr>
            </w:pPr>
            <w:r>
              <w:rPr>
                <w:sz w:val="20"/>
                <w:szCs w:val="20"/>
              </w:rPr>
              <w:t>---</w:t>
            </w:r>
          </w:p>
        </w:tc>
        <w:tc>
          <w:tcPr>
            <w:tcW w:w="1710" w:type="dxa"/>
            <w:vAlign w:val="center"/>
          </w:tcPr>
          <w:p w14:paraId="48A2C1F6" w14:textId="77777777" w:rsidR="005B03E2" w:rsidRPr="008B1F19" w:rsidRDefault="005B03E2" w:rsidP="00FE3E3B">
            <w:pPr>
              <w:rPr>
                <w:sz w:val="20"/>
                <w:szCs w:val="20"/>
              </w:rPr>
            </w:pPr>
            <w:r w:rsidRPr="008B1F19">
              <w:rPr>
                <w:sz w:val="20"/>
                <w:szCs w:val="20"/>
              </w:rPr>
              <w:t>---</w:t>
            </w:r>
          </w:p>
        </w:tc>
        <w:tc>
          <w:tcPr>
            <w:tcW w:w="1710" w:type="dxa"/>
            <w:vAlign w:val="center"/>
          </w:tcPr>
          <w:p w14:paraId="26F7C8E5" w14:textId="77777777" w:rsidR="005B03E2" w:rsidRPr="00640EA4" w:rsidRDefault="005B03E2" w:rsidP="00FE3E3B">
            <w:pPr>
              <w:rPr>
                <w:sz w:val="20"/>
                <w:szCs w:val="20"/>
              </w:rPr>
            </w:pPr>
          </w:p>
        </w:tc>
      </w:tr>
      <w:tr w:rsidR="005B03E2" w:rsidRPr="005D1CA3" w14:paraId="5801F183" w14:textId="77777777" w:rsidTr="00FE3E3B">
        <w:tc>
          <w:tcPr>
            <w:tcW w:w="1368" w:type="dxa"/>
            <w:vMerge/>
            <w:vAlign w:val="center"/>
          </w:tcPr>
          <w:p w14:paraId="3717D5FF" w14:textId="77777777" w:rsidR="005B03E2" w:rsidRPr="005D1CA3" w:rsidRDefault="005B03E2" w:rsidP="00FE3E3B">
            <w:pPr>
              <w:rPr>
                <w:sz w:val="20"/>
                <w:szCs w:val="20"/>
              </w:rPr>
            </w:pPr>
          </w:p>
        </w:tc>
        <w:tc>
          <w:tcPr>
            <w:tcW w:w="3510" w:type="dxa"/>
            <w:vAlign w:val="center"/>
          </w:tcPr>
          <w:p w14:paraId="28797A05" w14:textId="77777777" w:rsidR="005B03E2" w:rsidRPr="0006695C" w:rsidRDefault="005B03E2" w:rsidP="00FE3E3B">
            <w:pPr>
              <w:rPr>
                <w:sz w:val="20"/>
                <w:szCs w:val="20"/>
              </w:rPr>
            </w:pPr>
            <w:r w:rsidRPr="0006695C">
              <w:rPr>
                <w:sz w:val="20"/>
                <w:szCs w:val="20"/>
              </w:rPr>
              <w:t>Emphysema</w:t>
            </w:r>
            <w:r>
              <w:rPr>
                <w:sz w:val="20"/>
                <w:szCs w:val="20"/>
              </w:rPr>
              <w:t xml:space="preserve"> (35%</w:t>
            </w:r>
          </w:p>
        </w:tc>
        <w:tc>
          <w:tcPr>
            <w:tcW w:w="1710" w:type="dxa"/>
            <w:vAlign w:val="center"/>
          </w:tcPr>
          <w:p w14:paraId="574AD83F" w14:textId="77777777" w:rsidR="005B03E2" w:rsidRPr="0006695C" w:rsidRDefault="005B03E2" w:rsidP="00FE3E3B">
            <w:pPr>
              <w:rPr>
                <w:sz w:val="20"/>
                <w:szCs w:val="20"/>
              </w:rPr>
            </w:pPr>
            <w:r>
              <w:rPr>
                <w:sz w:val="20"/>
                <w:szCs w:val="20"/>
              </w:rPr>
              <w:t>---</w:t>
            </w:r>
          </w:p>
        </w:tc>
        <w:tc>
          <w:tcPr>
            <w:tcW w:w="1710" w:type="dxa"/>
            <w:vAlign w:val="center"/>
          </w:tcPr>
          <w:p w14:paraId="6D56DF32" w14:textId="77777777" w:rsidR="005B03E2" w:rsidRPr="008B1F19" w:rsidRDefault="005B03E2" w:rsidP="00FE3E3B">
            <w:pPr>
              <w:rPr>
                <w:sz w:val="20"/>
                <w:szCs w:val="20"/>
              </w:rPr>
            </w:pPr>
            <w:r w:rsidRPr="008B1F19">
              <w:rPr>
                <w:sz w:val="20"/>
                <w:szCs w:val="20"/>
              </w:rPr>
              <w:t>---</w:t>
            </w:r>
          </w:p>
        </w:tc>
        <w:tc>
          <w:tcPr>
            <w:tcW w:w="1710" w:type="dxa"/>
            <w:vAlign w:val="center"/>
          </w:tcPr>
          <w:p w14:paraId="38BD7A19" w14:textId="77777777" w:rsidR="005B03E2" w:rsidRPr="00640EA4" w:rsidRDefault="005B03E2" w:rsidP="00FE3E3B">
            <w:pPr>
              <w:rPr>
                <w:sz w:val="20"/>
                <w:szCs w:val="20"/>
              </w:rPr>
            </w:pPr>
          </w:p>
        </w:tc>
      </w:tr>
      <w:tr w:rsidR="005B03E2" w:rsidRPr="005D1CA3" w14:paraId="3EA0C709" w14:textId="77777777" w:rsidTr="00FE3E3B">
        <w:tc>
          <w:tcPr>
            <w:tcW w:w="1368" w:type="dxa"/>
            <w:vMerge/>
            <w:vAlign w:val="center"/>
          </w:tcPr>
          <w:p w14:paraId="5D9B2606" w14:textId="77777777" w:rsidR="005B03E2" w:rsidRPr="005D1CA3" w:rsidRDefault="005B03E2" w:rsidP="00FE3E3B">
            <w:pPr>
              <w:rPr>
                <w:sz w:val="20"/>
                <w:szCs w:val="20"/>
              </w:rPr>
            </w:pPr>
          </w:p>
        </w:tc>
        <w:tc>
          <w:tcPr>
            <w:tcW w:w="3510" w:type="dxa"/>
            <w:vAlign w:val="center"/>
          </w:tcPr>
          <w:p w14:paraId="240EA28D" w14:textId="77777777" w:rsidR="005B03E2" w:rsidRPr="0006695C" w:rsidRDefault="005B03E2" w:rsidP="00FE3E3B">
            <w:pPr>
              <w:rPr>
                <w:sz w:val="20"/>
                <w:szCs w:val="20"/>
              </w:rPr>
            </w:pPr>
            <w:r w:rsidRPr="0006695C">
              <w:rPr>
                <w:sz w:val="20"/>
                <w:szCs w:val="20"/>
              </w:rPr>
              <w:t>Reticular/reticulonodular opacities, honeycombing, fibrosis, or scar</w:t>
            </w:r>
            <w:r>
              <w:rPr>
                <w:sz w:val="20"/>
                <w:szCs w:val="20"/>
              </w:rPr>
              <w:t xml:space="preserve"> (24%)</w:t>
            </w:r>
          </w:p>
        </w:tc>
        <w:tc>
          <w:tcPr>
            <w:tcW w:w="1710" w:type="dxa"/>
            <w:vAlign w:val="center"/>
          </w:tcPr>
          <w:p w14:paraId="607EC40D" w14:textId="77777777" w:rsidR="005B03E2" w:rsidRPr="0006695C" w:rsidRDefault="005B03E2" w:rsidP="00FE3E3B">
            <w:pPr>
              <w:rPr>
                <w:sz w:val="20"/>
                <w:szCs w:val="20"/>
              </w:rPr>
            </w:pPr>
            <w:r>
              <w:rPr>
                <w:sz w:val="20"/>
                <w:szCs w:val="20"/>
              </w:rPr>
              <w:t>---</w:t>
            </w:r>
          </w:p>
        </w:tc>
        <w:tc>
          <w:tcPr>
            <w:tcW w:w="1710" w:type="dxa"/>
            <w:vAlign w:val="center"/>
          </w:tcPr>
          <w:p w14:paraId="7A3415D7" w14:textId="77777777" w:rsidR="005B03E2" w:rsidRPr="008B1F19" w:rsidRDefault="005B03E2" w:rsidP="00FE3E3B">
            <w:pPr>
              <w:rPr>
                <w:sz w:val="20"/>
                <w:szCs w:val="20"/>
              </w:rPr>
            </w:pPr>
            <w:r w:rsidRPr="008B1F19">
              <w:rPr>
                <w:sz w:val="20"/>
                <w:szCs w:val="20"/>
              </w:rPr>
              <w:t>---</w:t>
            </w:r>
          </w:p>
        </w:tc>
        <w:tc>
          <w:tcPr>
            <w:tcW w:w="1710" w:type="dxa"/>
            <w:vAlign w:val="center"/>
          </w:tcPr>
          <w:p w14:paraId="3B36C142" w14:textId="77777777" w:rsidR="005B03E2" w:rsidRPr="00640EA4" w:rsidRDefault="005B03E2" w:rsidP="00FE3E3B">
            <w:pPr>
              <w:rPr>
                <w:sz w:val="20"/>
                <w:szCs w:val="20"/>
              </w:rPr>
            </w:pPr>
          </w:p>
        </w:tc>
      </w:tr>
      <w:tr w:rsidR="005B03E2" w:rsidRPr="005D1CA3" w14:paraId="4883EDD3" w14:textId="77777777" w:rsidTr="00FE3E3B">
        <w:tc>
          <w:tcPr>
            <w:tcW w:w="1368" w:type="dxa"/>
            <w:vMerge/>
            <w:vAlign w:val="center"/>
          </w:tcPr>
          <w:p w14:paraId="390077BE" w14:textId="77777777" w:rsidR="005B03E2" w:rsidRPr="005D1CA3" w:rsidRDefault="005B03E2" w:rsidP="00FE3E3B">
            <w:pPr>
              <w:rPr>
                <w:sz w:val="20"/>
                <w:szCs w:val="20"/>
              </w:rPr>
            </w:pPr>
          </w:p>
        </w:tc>
        <w:tc>
          <w:tcPr>
            <w:tcW w:w="3510" w:type="dxa"/>
            <w:vAlign w:val="center"/>
          </w:tcPr>
          <w:p w14:paraId="61FE74D6" w14:textId="77777777" w:rsidR="005B03E2" w:rsidRPr="0006695C" w:rsidRDefault="005B03E2" w:rsidP="00FE3E3B">
            <w:pPr>
              <w:rPr>
                <w:sz w:val="20"/>
                <w:szCs w:val="20"/>
              </w:rPr>
            </w:pPr>
            <w:r w:rsidRPr="0006695C">
              <w:rPr>
                <w:sz w:val="20"/>
                <w:szCs w:val="20"/>
              </w:rPr>
              <w:t>Other potentially significant abnormality above the diaphragm</w:t>
            </w:r>
            <w:r>
              <w:rPr>
                <w:sz w:val="20"/>
                <w:szCs w:val="20"/>
              </w:rPr>
              <w:t xml:space="preserve"> (6.3%)</w:t>
            </w:r>
          </w:p>
        </w:tc>
        <w:tc>
          <w:tcPr>
            <w:tcW w:w="1710" w:type="dxa"/>
            <w:vAlign w:val="center"/>
          </w:tcPr>
          <w:p w14:paraId="79D51426" w14:textId="77777777" w:rsidR="005B03E2" w:rsidRPr="0006695C" w:rsidRDefault="005B03E2" w:rsidP="00FE3E3B">
            <w:pPr>
              <w:rPr>
                <w:sz w:val="20"/>
                <w:szCs w:val="20"/>
              </w:rPr>
            </w:pPr>
            <w:r>
              <w:rPr>
                <w:sz w:val="20"/>
                <w:szCs w:val="20"/>
              </w:rPr>
              <w:t>---</w:t>
            </w:r>
          </w:p>
        </w:tc>
        <w:tc>
          <w:tcPr>
            <w:tcW w:w="1710" w:type="dxa"/>
            <w:vAlign w:val="center"/>
          </w:tcPr>
          <w:p w14:paraId="7E72F0E9" w14:textId="77777777" w:rsidR="005B03E2" w:rsidRPr="008B1F19" w:rsidRDefault="005B03E2" w:rsidP="00FE3E3B">
            <w:pPr>
              <w:rPr>
                <w:sz w:val="20"/>
                <w:szCs w:val="20"/>
              </w:rPr>
            </w:pPr>
            <w:r w:rsidRPr="008B1F19">
              <w:rPr>
                <w:sz w:val="20"/>
                <w:szCs w:val="20"/>
              </w:rPr>
              <w:t>---</w:t>
            </w:r>
          </w:p>
        </w:tc>
        <w:tc>
          <w:tcPr>
            <w:tcW w:w="1710" w:type="dxa"/>
            <w:vAlign w:val="center"/>
          </w:tcPr>
          <w:p w14:paraId="1A910545" w14:textId="77777777" w:rsidR="005B03E2" w:rsidRPr="00640EA4" w:rsidRDefault="005B03E2" w:rsidP="00FE3E3B">
            <w:pPr>
              <w:rPr>
                <w:sz w:val="20"/>
                <w:szCs w:val="20"/>
              </w:rPr>
            </w:pPr>
          </w:p>
        </w:tc>
      </w:tr>
      <w:tr w:rsidR="005B03E2" w:rsidRPr="005D1CA3" w14:paraId="06128EA9" w14:textId="77777777" w:rsidTr="00FE3E3B">
        <w:tc>
          <w:tcPr>
            <w:tcW w:w="1368" w:type="dxa"/>
            <w:vMerge/>
            <w:vAlign w:val="center"/>
          </w:tcPr>
          <w:p w14:paraId="0847959E" w14:textId="77777777" w:rsidR="005B03E2" w:rsidRPr="005D1CA3" w:rsidRDefault="005B03E2" w:rsidP="00FE3E3B">
            <w:pPr>
              <w:rPr>
                <w:sz w:val="20"/>
                <w:szCs w:val="20"/>
              </w:rPr>
            </w:pPr>
          </w:p>
        </w:tc>
        <w:tc>
          <w:tcPr>
            <w:tcW w:w="3510" w:type="dxa"/>
            <w:vAlign w:val="center"/>
          </w:tcPr>
          <w:p w14:paraId="3D437955" w14:textId="77777777" w:rsidR="005B03E2" w:rsidRPr="0006695C" w:rsidRDefault="005B03E2" w:rsidP="00FE3E3B">
            <w:pPr>
              <w:rPr>
                <w:sz w:val="20"/>
                <w:szCs w:val="20"/>
              </w:rPr>
            </w:pPr>
            <w:r w:rsidRPr="0006695C">
              <w:rPr>
                <w:sz w:val="20"/>
                <w:szCs w:val="20"/>
              </w:rPr>
              <w:t>Other potentially significant abnormality below the diaphragm</w:t>
            </w:r>
            <w:r>
              <w:rPr>
                <w:sz w:val="20"/>
                <w:szCs w:val="20"/>
              </w:rPr>
              <w:t xml:space="preserve"> (3.9%)</w:t>
            </w:r>
          </w:p>
        </w:tc>
        <w:tc>
          <w:tcPr>
            <w:tcW w:w="1710" w:type="dxa"/>
            <w:vAlign w:val="center"/>
          </w:tcPr>
          <w:p w14:paraId="60928ECA" w14:textId="77777777" w:rsidR="005B03E2" w:rsidRPr="0006695C" w:rsidRDefault="005B03E2" w:rsidP="00FE3E3B">
            <w:pPr>
              <w:rPr>
                <w:sz w:val="20"/>
                <w:szCs w:val="20"/>
              </w:rPr>
            </w:pPr>
            <w:r>
              <w:rPr>
                <w:sz w:val="20"/>
                <w:szCs w:val="20"/>
              </w:rPr>
              <w:t>---</w:t>
            </w:r>
          </w:p>
        </w:tc>
        <w:tc>
          <w:tcPr>
            <w:tcW w:w="1710" w:type="dxa"/>
            <w:vAlign w:val="center"/>
          </w:tcPr>
          <w:p w14:paraId="717CBE36" w14:textId="77777777" w:rsidR="005B03E2" w:rsidRPr="008B1F19" w:rsidRDefault="005B03E2" w:rsidP="00FE3E3B">
            <w:pPr>
              <w:rPr>
                <w:sz w:val="20"/>
                <w:szCs w:val="20"/>
              </w:rPr>
            </w:pPr>
            <w:r w:rsidRPr="008B1F19">
              <w:rPr>
                <w:sz w:val="20"/>
                <w:szCs w:val="20"/>
              </w:rPr>
              <w:t>---</w:t>
            </w:r>
          </w:p>
        </w:tc>
        <w:tc>
          <w:tcPr>
            <w:tcW w:w="1710" w:type="dxa"/>
            <w:vAlign w:val="center"/>
          </w:tcPr>
          <w:p w14:paraId="599A0DDC" w14:textId="77777777" w:rsidR="005B03E2" w:rsidRPr="00640EA4" w:rsidRDefault="005B03E2" w:rsidP="00FE3E3B">
            <w:pPr>
              <w:rPr>
                <w:sz w:val="20"/>
                <w:szCs w:val="20"/>
              </w:rPr>
            </w:pPr>
          </w:p>
        </w:tc>
      </w:tr>
      <w:tr w:rsidR="005B03E2" w:rsidRPr="00CF23F2" w14:paraId="4FE70D52" w14:textId="77777777" w:rsidTr="00FE3E3B">
        <w:tc>
          <w:tcPr>
            <w:tcW w:w="1368" w:type="dxa"/>
            <w:vMerge/>
            <w:vAlign w:val="center"/>
          </w:tcPr>
          <w:p w14:paraId="10F7A5CA" w14:textId="77777777" w:rsidR="005B03E2" w:rsidRPr="005D1CA3" w:rsidRDefault="005B03E2" w:rsidP="00FE3E3B">
            <w:pPr>
              <w:rPr>
                <w:sz w:val="20"/>
                <w:szCs w:val="20"/>
              </w:rPr>
            </w:pPr>
          </w:p>
        </w:tc>
        <w:tc>
          <w:tcPr>
            <w:tcW w:w="3510" w:type="dxa"/>
            <w:vAlign w:val="center"/>
          </w:tcPr>
          <w:p w14:paraId="079FF94C" w14:textId="77777777" w:rsidR="005B03E2" w:rsidRPr="0006695C" w:rsidRDefault="005B03E2" w:rsidP="00FE3E3B">
            <w:pPr>
              <w:rPr>
                <w:sz w:val="20"/>
                <w:szCs w:val="20"/>
              </w:rPr>
            </w:pPr>
            <w:r w:rsidRPr="0006695C">
              <w:rPr>
                <w:sz w:val="20"/>
                <w:szCs w:val="20"/>
              </w:rPr>
              <w:t>Pleural thickening or effusion</w:t>
            </w:r>
            <w:r>
              <w:rPr>
                <w:sz w:val="20"/>
                <w:szCs w:val="20"/>
              </w:rPr>
              <w:t xml:space="preserve"> (6.4%)</w:t>
            </w:r>
          </w:p>
        </w:tc>
        <w:tc>
          <w:tcPr>
            <w:tcW w:w="1710" w:type="dxa"/>
            <w:vAlign w:val="center"/>
          </w:tcPr>
          <w:p w14:paraId="1F2B93F4" w14:textId="77777777" w:rsidR="005B03E2" w:rsidRPr="0006695C" w:rsidRDefault="005B03E2" w:rsidP="00FE3E3B">
            <w:pPr>
              <w:rPr>
                <w:sz w:val="20"/>
                <w:szCs w:val="20"/>
              </w:rPr>
            </w:pPr>
            <w:r>
              <w:rPr>
                <w:sz w:val="20"/>
                <w:szCs w:val="20"/>
              </w:rPr>
              <w:t>---</w:t>
            </w:r>
          </w:p>
        </w:tc>
        <w:tc>
          <w:tcPr>
            <w:tcW w:w="1710" w:type="dxa"/>
            <w:vAlign w:val="center"/>
          </w:tcPr>
          <w:p w14:paraId="65D7CC15" w14:textId="77777777" w:rsidR="005B03E2" w:rsidRPr="008B1F19" w:rsidRDefault="005B03E2" w:rsidP="00FE3E3B">
            <w:pPr>
              <w:rPr>
                <w:sz w:val="20"/>
                <w:szCs w:val="20"/>
              </w:rPr>
            </w:pPr>
            <w:r w:rsidRPr="008B1F19">
              <w:rPr>
                <w:sz w:val="20"/>
                <w:szCs w:val="20"/>
              </w:rPr>
              <w:t>---</w:t>
            </w:r>
          </w:p>
        </w:tc>
        <w:tc>
          <w:tcPr>
            <w:tcW w:w="1710" w:type="dxa"/>
            <w:vAlign w:val="center"/>
          </w:tcPr>
          <w:p w14:paraId="22BD36AB" w14:textId="77777777" w:rsidR="005B03E2" w:rsidRPr="00640EA4" w:rsidRDefault="005B03E2" w:rsidP="00FE3E3B">
            <w:pPr>
              <w:rPr>
                <w:sz w:val="20"/>
                <w:szCs w:val="20"/>
              </w:rPr>
            </w:pPr>
          </w:p>
        </w:tc>
      </w:tr>
    </w:tbl>
    <w:p w14:paraId="6DF6DC67" w14:textId="77777777" w:rsidR="005B03E2" w:rsidRPr="00CF23F2" w:rsidRDefault="005B03E2" w:rsidP="005B03E2"/>
    <w:p w14:paraId="32723E8D" w14:textId="77777777" w:rsidR="005B03E2" w:rsidRPr="00AF6F8A" w:rsidRDefault="005B03E2" w:rsidP="005B03E2">
      <w:pPr>
        <w:rPr>
          <w:sz w:val="20"/>
          <w:szCs w:val="20"/>
        </w:rPr>
      </w:pPr>
      <w:r w:rsidRPr="00AF6F8A">
        <w:rPr>
          <w:sz w:val="20"/>
          <w:szCs w:val="20"/>
        </w:rPr>
        <w:t>The word “nodule” refers to any non-calcified nodule or mass with longest diameter ≥4 mm. All variables are binary (yes/no) unless otherwise indicated (“continuous”). Binary features were parameterized by considering whether any nodule with the feature was present; for example, the variable for “spiculated margins” was equal to 1 if there were any nodules with spiculation, and 0 otherwise. The prevalence of each feature is calculated at the T1 screen, so that each individual contributes only once, and to allow for evaluation of nodule growth. Each variable indicates the amount by which the exponent for pre-screening risk decreases (if higher risk) or increases (if lower risk) if the feature is present. P-values are derived from a model including all the variables selected in the corresponding column. “---” indicates that a variable was not selected.</w:t>
      </w:r>
    </w:p>
    <w:p w14:paraId="086BE985" w14:textId="77777777" w:rsidR="0000552A" w:rsidRPr="00EF73FE" w:rsidRDefault="004E54E6" w:rsidP="00EF73FE">
      <w:bookmarkStart w:id="0" w:name="_GoBack"/>
      <w:bookmarkEnd w:id="0"/>
    </w:p>
    <w:sectPr w:rsidR="0000552A" w:rsidRPr="00EF73FE" w:rsidSect="00F67987">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FE"/>
    <w:rsid w:val="00034CD8"/>
    <w:rsid w:val="00087156"/>
    <w:rsid w:val="000F5CB7"/>
    <w:rsid w:val="00131FDB"/>
    <w:rsid w:val="00217120"/>
    <w:rsid w:val="00222BC4"/>
    <w:rsid w:val="002A3AD0"/>
    <w:rsid w:val="004E54E6"/>
    <w:rsid w:val="005B03E2"/>
    <w:rsid w:val="0089774F"/>
    <w:rsid w:val="00AD572E"/>
    <w:rsid w:val="00AF6F8A"/>
    <w:rsid w:val="00D534EE"/>
    <w:rsid w:val="00E63E49"/>
    <w:rsid w:val="00EF73FE"/>
    <w:rsid w:val="00F67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26B2"/>
  <w15:chartTrackingRefBased/>
  <w15:docId w15:val="{7655DFBD-99AF-B843-A30E-CBD9FB3B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3FE"/>
    <w:rPr>
      <w:rFonts w:ascii="Helvetica" w:eastAsiaTheme="minorEastAsia" w:hAnsi="Helvetic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73FE"/>
    <w:rPr>
      <w:sz w:val="18"/>
      <w:szCs w:val="18"/>
    </w:rPr>
  </w:style>
  <w:style w:type="paragraph" w:styleId="CommentText">
    <w:name w:val="annotation text"/>
    <w:basedOn w:val="Normal"/>
    <w:link w:val="CommentTextChar"/>
    <w:uiPriority w:val="99"/>
    <w:unhideWhenUsed/>
    <w:rsid w:val="00EF73FE"/>
    <w:rPr>
      <w:sz w:val="24"/>
      <w:szCs w:val="24"/>
    </w:rPr>
  </w:style>
  <w:style w:type="character" w:customStyle="1" w:styleId="CommentTextChar">
    <w:name w:val="Comment Text Char"/>
    <w:basedOn w:val="DefaultParagraphFont"/>
    <w:link w:val="CommentText"/>
    <w:uiPriority w:val="99"/>
    <w:rsid w:val="00EF73FE"/>
    <w:rPr>
      <w:rFonts w:ascii="Helvetica" w:eastAsiaTheme="minorEastAsia" w:hAnsi="Helvetica"/>
      <w:lang w:val="en-US"/>
    </w:rPr>
  </w:style>
  <w:style w:type="paragraph" w:styleId="BalloonText">
    <w:name w:val="Balloon Text"/>
    <w:basedOn w:val="Normal"/>
    <w:link w:val="BalloonTextChar"/>
    <w:uiPriority w:val="99"/>
    <w:semiHidden/>
    <w:unhideWhenUsed/>
    <w:rsid w:val="00EF73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3FE"/>
    <w:rPr>
      <w:rFonts w:ascii="Times New Roman" w:eastAsiaTheme="minorEastAsia" w:hAnsi="Times New Roman" w:cs="Times New Roman"/>
      <w:sz w:val="18"/>
      <w:szCs w:val="18"/>
      <w:lang w:val="en-US"/>
    </w:rPr>
  </w:style>
  <w:style w:type="table" w:styleId="TableGrid">
    <w:name w:val="Table Grid"/>
    <w:basedOn w:val="TableNormal"/>
    <w:uiPriority w:val="59"/>
    <w:rsid w:val="005B03E2"/>
    <w:rPr>
      <w:rFonts w:ascii="Helvetica" w:eastAsiaTheme="minorEastAsia" w:hAnsi="Helvetic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International Agency for Research on Cancer</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Robbins</dc:creator>
  <cp:keywords/>
  <dc:description/>
  <cp:lastModifiedBy>Hilary Robbins</cp:lastModifiedBy>
  <cp:revision>4</cp:revision>
  <dcterms:created xsi:type="dcterms:W3CDTF">2019-09-10T18:04:00Z</dcterms:created>
  <dcterms:modified xsi:type="dcterms:W3CDTF">2019-09-16T13:23:00Z</dcterms:modified>
</cp:coreProperties>
</file>