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jc w:val="center"/>
      </w:pPr>
      <w:r>
        <w:rPr>
          <w:rFonts w:ascii="Arial" w:cs="Arial" w:eastAsia="Arial" w:hAnsi="Arial"/>
          <w:b/>
          <w:bCs/>
          <w:color w:val="1B3A5C"/>
          <w:sz w:val="40"/>
          <w:szCs w:val="40"/>
        </w:rPr>
        <w:t xml:space="preserve">PROFICIENCY EVALUATION</w:t>
      </w:r>
    </w:p>
    <w:p>
      <w:pPr>
        <w:spacing w:after="50"/>
      </w:pPr>
    </w:p>
    <w:p>
      <w:pPr>
        <w:jc w:val="center"/>
      </w:pPr>
      <w:r>
        <w:rPr>
          <w:rFonts w:ascii="Arial" w:cs="Arial" w:eastAsia="Arial" w:hAnsi="Arial"/>
          <w:color w:val="2E75B6"/>
          <w:sz w:val="24"/>
          <w:szCs w:val="24"/>
        </w:rPr>
        <w:t xml:space="preserve">Property #01 of 23  —  Brilliant Jobs Full Platform Audit</w:t>
      </w:r>
    </w:p>
    <w:p>
      <w:pPr>
        <w:spacing w:after="50"/>
      </w:pPr>
    </w:p>
    <w:p>
      <w:pPr>
        <w:jc w:val="center"/>
      </w:pPr>
      <w:r>
        <w:rPr>
          <w:rFonts w:ascii="Arial" w:cs="Arial" w:eastAsia="Arial" w:hAnsi="Arial"/>
          <w:color w:val="666666"/>
          <w:sz w:val="20"/>
          <w:szCs w:val="20"/>
        </w:rPr>
        <w:t xml:space="preserve">6 evaluation questions  ×  10 surfaces  =  60 scored cells</w:t>
      </w:r>
    </w:p>
    <w:p>
      <w:pPr>
        <w:spacing w:after="50"/>
      </w:pPr>
    </w:p>
    <w:p>
      <w:pPr>
        <w:jc w:val="center"/>
      </w:pPr>
      <w:r>
        <w:rPr>
          <w:rFonts w:ascii="Arial" w:cs="Arial" w:eastAsia="Arial" w:hAnsi="Arial"/>
          <w:color w:val="999999"/>
          <w:sz w:val="18"/>
          <w:szCs w:val="18"/>
        </w:rPr>
        <w:t xml:space="preserve">March 17, 2026  |  Product Version v10.41</w:t>
      </w:r>
    </w:p>
    <w:p>
      <w:r>
        <w:br w:type="page"/>
      </w:r>
    </w:p>
    <w:p>
      <w:pPr>
        <w:pStyle w:val="Heading1"/>
        <w:spacing w:before="300" w:after="120"/>
      </w:pPr>
      <w:r>
        <w:rPr>
          <w:rFonts w:ascii="Arial" w:cs="Arial" w:eastAsia="Arial" w:hAnsi="Arial"/>
          <w:b/>
          <w:bCs/>
          <w:color w:val="1B3A5C"/>
          <w:sz w:val="28"/>
          <w:szCs w:val="28"/>
        </w:rPr>
        <w:t xml:space="preserve">Executive Summary</w:t>
      </w:r>
    </w:p>
    <w:p>
      <w:pPr>
        <w:spacing w:after="80"/>
      </w:pPr>
      <w:r>
        <w:rPr>
          <w:rFonts w:ascii="Arial" w:cs="Arial" w:eastAsia="Arial" w:hAnsi="Arial"/>
          <w:color w:val="2C3E50"/>
          <w:sz w:val="18"/>
          <w:szCs w:val="18"/>
        </w:rPr>
        <w:t xml:space="preserve">Scores: 0 = Not addressed  |  1 = Gaps  |  2 = Minor gaps  |  3 = Fully addressed</w:t>
      </w:r>
    </w:p>
    <w:p>
      <w:pPr>
        <w:spacing w:after="5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100"/>
        <w:gridCol w:w="1100"/>
        <w:gridCol w:w="900"/>
        <w:gridCol w:w="74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Surface</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1.1
Stack Fit</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1.2
Idiomatic</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1.3
Currency</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1.4
Cargo-cult</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1.5
Consistency</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1.6
Readability</w:t>
            </w:r>
          </w:p>
        </w:tc>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Total
(/18)</w:t>
            </w:r>
          </w:p>
        </w:tc>
        <w:tc>
          <w:tcPr>
            <w:tcW w:type="dxa" w:w="7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Avg</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Website / Marketing Pages</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1</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9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12/18</w:t>
            </w:r>
          </w:p>
        </w:tc>
        <w:tc>
          <w:tcPr>
            <w:tcW w:type="dxa" w:w="74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2.0</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Dashboard / Admin (SPA)</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1</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1</w:t>
            </w:r>
          </w:p>
        </w:tc>
        <w:tc>
          <w:tcPr>
            <w:tcW w:type="dxa" w:w="9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12/18</w:t>
            </w:r>
          </w:p>
        </w:tc>
        <w:tc>
          <w:tcPr>
            <w:tcW w:type="dxa" w:w="74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2.0</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Chrome Extension</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9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15/18</w:t>
            </w:r>
          </w:p>
        </w:tc>
        <w:tc>
          <w:tcPr>
            <w:tcW w:type="dxa" w:w="74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2.5</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Edge Functions (157 EFs)</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9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14/18</w:t>
            </w:r>
          </w:p>
        </w:tc>
        <w:tc>
          <w:tcPr>
            <w:tcW w:type="dxa" w:w="74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API Gateway</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9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17/18</w:t>
            </w:r>
          </w:p>
        </w:tc>
        <w:tc>
          <w:tcPr>
            <w:tcW w:type="dxa" w:w="74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2.8</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Fly.io Worker (ATS Automation)</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9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15/18</w:t>
            </w:r>
          </w:p>
        </w:tc>
        <w:tc>
          <w:tcPr>
            <w:tcW w:type="dxa" w:w="74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2.5</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Database / Migrations</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9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16/18</w:t>
            </w:r>
          </w:p>
        </w:tc>
        <w:tc>
          <w:tcPr>
            <w:tcW w:type="dxa" w:w="74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2.7</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CI/CD Pipelines</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9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18/18</w:t>
            </w:r>
          </w:p>
        </w:tc>
        <w:tc>
          <w:tcPr>
            <w:tcW w:type="dxa" w:w="74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3.0</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Feeds (Job Data Pipeline)</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1</w:t>
            </w:r>
          </w:p>
        </w:tc>
        <w:tc>
          <w:tcPr>
            <w:tcW w:type="dxa" w:w="9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13/18</w:t>
            </w:r>
          </w:p>
        </w:tc>
        <w:tc>
          <w:tcPr>
            <w:tcW w:type="dxa" w:w="74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2.2</w:t>
            </w:r>
          </w:p>
        </w:tc>
      </w:tr>
      <w:tr>
        <w:tc>
          <w:tcPr>
            <w:tcW w:type="dxa" w:w="2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Integrations (Supabase, Stripe, PostHog, Anthropic, Vonage, Google)</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11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w:t>
            </w:r>
          </w:p>
        </w:tc>
        <w:tc>
          <w:tcPr>
            <w:tcW w:type="dxa" w:w="9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15/18</w:t>
            </w:r>
          </w:p>
        </w:tc>
        <w:tc>
          <w:tcPr>
            <w:tcW w:type="dxa" w:w="74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2.5</w:t>
            </w:r>
          </w:p>
        </w:tc>
      </w:tr>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2C3E50"/>
                <w:sz w:val="17"/>
                <w:szCs w:val="17"/>
              </w:rPr>
              <w:t xml:space="preserve">OVERALL</w:t>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val="false"/>
                <w:bCs w:val="false"/>
                <w:color w:val="2C3E50"/>
                <w:sz w:val="16"/>
                <w:szCs w:val="16"/>
              </w:rPr>
              <w:t xml:space="preserve"/>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val="false"/>
                <w:bCs w:val="false"/>
                <w:color w:val="2C3E50"/>
                <w:sz w:val="16"/>
                <w:szCs w:val="16"/>
              </w:rPr>
              <w:t xml:space="preserve"/>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val="false"/>
                <w:bCs w:val="false"/>
                <w:color w:val="2C3E50"/>
                <w:sz w:val="16"/>
                <w:szCs w:val="16"/>
              </w:rPr>
              <w:t xml:space="preserve"/>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val="false"/>
                <w:bCs w:val="false"/>
                <w:color w:val="2C3E50"/>
                <w:sz w:val="16"/>
                <w:szCs w:val="16"/>
              </w:rPr>
              <w:t xml:space="preserve"/>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val="false"/>
                <w:bCs w:val="false"/>
                <w:color w:val="2C3E50"/>
                <w:sz w:val="16"/>
                <w:szCs w:val="16"/>
              </w:rPr>
              <w:t xml:space="preserve"/>
            </w:r>
          </w:p>
        </w:tc>
        <w:tc>
          <w:tcPr>
            <w:tcW w:type="dxa" w:w="1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val="false"/>
                <w:bCs w:val="false"/>
                <w:color w:val="2C3E50"/>
                <w:sz w:val="16"/>
                <w:szCs w:val="16"/>
              </w:rPr>
              <w:t xml:space="preserve"/>
            </w:r>
          </w:p>
        </w:tc>
        <w:tc>
          <w:tcPr>
            <w:tcW w:type="dxa" w:w="90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r>
              <w:rPr>
                <w:rFonts w:ascii="Arial" w:cs="Arial" w:eastAsia="Arial" w:hAnsi="Arial"/>
                <w:b/>
                <w:bCs/>
                <w:color w:val="2C3E50"/>
                <w:sz w:val="17"/>
                <w:szCs w:val="17"/>
              </w:rPr>
              <w:t xml:space="preserve">147/180</w:t>
            </w:r>
          </w:p>
        </w:tc>
        <w:tc>
          <w:tcPr>
            <w:tcW w:type="dxa" w:w="740"/>
            <w:tcBorders>
              <w:top w:val="single" w:color="BBBBBB" w:sz="1"/>
              <w:left w:val="single" w:color="BBBBBB" w:sz="1"/>
              <w:bottom w:val="single" w:color="BBBBBB" w:sz="1"/>
              <w:right w:val="single" w:color="BBBBBB" w:sz="1"/>
            </w:tcBorders>
            <w:shd w:fill="27AE60" w:val="clear"/>
            <w:tcMar>
              <w:top w:type="dxa" w:w="60"/>
              <w:left w:type="dxa" w:w="100"/>
              <w:bottom w:type="dxa" w:w="60"/>
              <w:right w:type="dxa" w:w="100"/>
            </w:tcMar>
          </w:tcPr>
          <w:p>
            <w:r>
              <w:rPr>
                <w:rFonts w:ascii="Arial" w:cs="Arial" w:eastAsia="Arial" w:hAnsi="Arial"/>
                <w:b/>
                <w:bCs/>
                <w:color w:val="2C3E50"/>
                <w:sz w:val="17"/>
                <w:szCs w:val="17"/>
              </w:rPr>
              <w:t xml:space="preserve">2.5</w:t>
            </w:r>
          </w:p>
        </w:tc>
      </w:tr>
    </w:tbl>
    <w:p>
      <w:pPr>
        <w:spacing w:after="200"/>
      </w:pPr>
    </w:p>
    <w:p>
      <w:pPr>
        <w:pStyle w:val="Heading1"/>
        <w:spacing w:before="300" w:after="120"/>
      </w:pPr>
      <w:r>
        <w:rPr>
          <w:rFonts w:ascii="Arial" w:cs="Arial" w:eastAsia="Arial" w:hAnsi="Arial"/>
          <w:b/>
          <w:bCs/>
          <w:color w:val="1B3A5C"/>
          <w:sz w:val="28"/>
          <w:szCs w:val="28"/>
        </w:rPr>
        <w:t xml:space="preserve">Key Findings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800"/>
        <w:gridCol w:w="13240"/>
      </w:tblGrid>
      <w:tr>
        <w:tc>
          <w:tcPr>
            <w:tcW w:type="dxa" w:w="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Severity</w:t>
            </w:r>
          </w:p>
        </w:tc>
        <w:tc>
          <w:tcPr>
            <w:tcW w:type="dxa" w:w="132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Finding</w:t>
            </w:r>
          </w:p>
        </w:tc>
      </w:tr>
      <w:tr>
        <w:tc>
          <w:tcPr>
            <w:tcW w:type="dxa" w:w="800"/>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r>
              <w:rPr>
                <w:rFonts w:ascii="Arial" w:cs="Arial" w:eastAsia="Arial" w:hAnsi="Arial"/>
                <w:b/>
                <w:bCs/>
                <w:color w:val="2C3E50"/>
                <w:sz w:val="16"/>
                <w:szCs w:val="16"/>
              </w:rPr>
              <w:t xml:space="preserve">P1</w:t>
            </w:r>
          </w:p>
        </w:tc>
        <w:tc>
          <w:tcPr>
            <w:tcW w:type="dxa" w:w="1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Dashboard dual-mode architecture (legacy JS + React SPA) creates two mental models, two build systems, and inconsistent coding style. 750 ESLint warning tolerance with no-undef OFF.</w:t>
            </w:r>
          </w:p>
        </w:tc>
      </w:tr>
      <w:tr>
        <w:tc>
          <w:tcPr>
            <w:tcW w:type="dxa" w:w="800"/>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r>
              <w:rPr>
                <w:rFonts w:ascii="Arial" w:cs="Arial" w:eastAsia="Arial" w:hAnsi="Arial"/>
                <w:b/>
                <w:bCs/>
                <w:color w:val="2C3E50"/>
                <w:sz w:val="16"/>
                <w:szCs w:val="16"/>
              </w:rPr>
              <w:t xml:space="preserve">P1</w:t>
            </w:r>
          </w:p>
        </w:tc>
        <w:tc>
          <w:tcPr>
            <w:tcW w:type="dxa" w:w="132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157 Edge Functions have ZERO linting. ESLint explicitly ignores supabase/functions/**. No Deno lint configured. 53% of EFs don't use shared auth patterns.</w:t>
            </w:r>
          </w:p>
        </w:tc>
      </w:tr>
      <w:tr>
        <w:tc>
          <w:tcPr>
            <w:tcW w:type="dxa" w:w="800"/>
            <w:tcBorders>
              <w:top w:val="single" w:color="BBBBBB" w:sz="1"/>
              <w:left w:val="single" w:color="BBBBBB" w:sz="1"/>
              <w:bottom w:val="single" w:color="BBBBBB" w:sz="1"/>
              <w:right w:val="single" w:color="BBBBBB" w:sz="1"/>
            </w:tcBorders>
            <w:shd w:fill="FFEBEE" w:val="clear"/>
            <w:tcMar>
              <w:top w:type="dxa" w:w="60"/>
              <w:left w:type="dxa" w:w="100"/>
              <w:bottom w:type="dxa" w:w="60"/>
              <w:right w:type="dxa" w:w="100"/>
            </w:tcMar>
          </w:tcPr>
          <w:p>
            <w:r>
              <w:rPr>
                <w:rFonts w:ascii="Arial" w:cs="Arial" w:eastAsia="Arial" w:hAnsi="Arial"/>
                <w:b/>
                <w:bCs/>
                <w:color w:val="2C3E50"/>
                <w:sz w:val="16"/>
                <w:szCs w:val="16"/>
              </w:rPr>
              <w:t xml:space="preserve">P1</w:t>
            </w:r>
          </w:p>
        </w:tc>
        <w:tc>
          <w:tcPr>
            <w:tcW w:type="dxa" w:w="1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Feed/data pipeline has no unified documentation. Full data flow spans 4+ systems (GH Actions, EFs, DB crons, materialized views) with no single architecture view.</w:t>
            </w:r>
          </w:p>
        </w:tc>
      </w:tr>
      <w:tr>
        <w:tc>
          <w:tcPr>
            <w:tcW w:type="dxa" w:w="8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P2</w:t>
            </w:r>
          </w:p>
        </w:tc>
        <w:tc>
          <w:tcPr>
            <w:tcW w:type="dxa" w:w="132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Website has 3 distinct CSS approaches (Tailwind, inline CSS variables, raw inline styles) across 24 pages. Font loading split between Google Fonts (14 pages) and self-hosted (8 pages).</w:t>
            </w:r>
          </w:p>
        </w:tc>
      </w:tr>
      <w:tr>
        <w:tc>
          <w:tcPr>
            <w:tcW w:type="dxa" w:w="8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P2</w:t>
            </w:r>
          </w:p>
        </w:tc>
        <w:tc>
          <w:tcPr>
            <w:tcW w:type="dxa" w:w="1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Extension background.ts uses legacy importScripts() instead of ES module imports. Extension has no ESLint coverage.</w:t>
            </w:r>
          </w:p>
        </w:tc>
      </w:tr>
      <w:tr>
        <w:tc>
          <w:tcPr>
            <w:tcW w:type="dxa" w:w="8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P2</w:t>
            </w:r>
          </w:p>
        </w:tc>
        <w:tc>
          <w:tcPr>
            <w:tcW w:type="dxa" w:w="132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Worker is plain JavaScript while entire codebase moves to TypeScript. Worker error patterns differ from EF error patterns.</w:t>
            </w:r>
          </w:p>
        </w:tc>
      </w:tr>
      <w:tr>
        <w:tc>
          <w:tcPr>
            <w:tcW w:type="dxa" w:w="8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P2</w:t>
            </w:r>
          </w:p>
        </w:tc>
        <w:tc>
          <w:tcPr>
            <w:tcW w:type="dxa" w:w="1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Deno std@0.177.0 used across all EFs — significantly behind current (0.224+).</w:t>
            </w:r>
          </w:p>
        </w:tc>
      </w:tr>
      <w:tr>
        <w:tc>
          <w:tcPr>
            <w:tcW w:type="dxa" w:w="8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P2</w:t>
            </w:r>
          </w:p>
        </w:tc>
        <w:tc>
          <w:tcPr>
            <w:tcW w:type="dxa" w:w="132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Database migrations use two numbering schemes (001-009 vs v5.20-v6.22) and are split between migrations/ and sql/ directories. No schema documentation or ERD.</w:t>
            </w:r>
          </w:p>
        </w:tc>
      </w:tr>
      <w:tr>
        <w:tc>
          <w:tcPr>
            <w:tcW w:type="dxa" w:w="8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P2</w:t>
            </w:r>
          </w:p>
        </w:tc>
        <w:tc>
          <w:tcPr>
            <w:tcW w:type="dxa" w:w="1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Integration initialization patterns (PostHog, Supabase client creation) are inconsistent across surfaces. No integration map document.</w:t>
            </w:r>
          </w:p>
        </w:tc>
      </w:tr>
      <w:tr>
        <w:tc>
          <w:tcPr>
            <w:tcW w:type="dxa" w:w="8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P3</w:t>
            </w:r>
          </w:p>
        </w:tc>
        <w:tc>
          <w:tcPr>
            <w:tcW w:type="dxa" w:w="132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globals.ts (most critical shared dashboard file) has @ts-nocheck. Type safety bypassed on the file that touches everything.</w:t>
            </w:r>
          </w:p>
        </w:tc>
      </w:tr>
      <w:tr>
        <w:tc>
          <w:tcPr>
            <w:tcW w:type="dxa" w:w="8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P3</w:t>
            </w:r>
          </w:p>
        </w:tc>
        <w:tc>
          <w:tcPr>
            <w:tcW w:type="dxa" w:w="132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No EF creation template or developer guide. No worker README or ATS handler creation guide. No extension architecture doc.</w:t>
            </w:r>
          </w:p>
        </w:tc>
      </w:tr>
    </w:tbl>
    <w:p>
      <w:r>
        <w:br w:type="page"/>
      </w:r>
    </w:p>
    <w:p>
      <w:pPr>
        <w:pStyle w:val="Heading1"/>
        <w:spacing w:before="300" w:after="120"/>
      </w:pPr>
      <w:r>
        <w:rPr>
          <w:rFonts w:ascii="Arial" w:cs="Arial" w:eastAsia="Arial" w:hAnsi="Arial"/>
          <w:b/>
          <w:bCs/>
          <w:color w:val="1B3A5C"/>
          <w:sz w:val="28"/>
          <w:szCs w:val="28"/>
        </w:rPr>
        <w:t xml:space="preserve">Website / Marketing Pages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8640"/>
        <w:gridCol w:w="30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Question</w:t>
            </w:r>
          </w:p>
        </w:tc>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Score</w:t>
            </w:r>
          </w:p>
        </w:tc>
        <w:tc>
          <w:tcPr>
            <w:tcW w:type="dxa" w:w="86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Evidence</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Finding / Gap</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1.1 Stack-problem fit</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HTML/CSS/vanilla JS is appropriate for static marketing pages. Good fit for SEO-heavy content pages. However, 14 pages use Google Fonts externally while 8 use self-hosted fonts — inconsistent approach. CSS strategy split: dashboard/admin use Tailwind, marketing pages use inline &lt;style&gt; blocks with hand-rolled CSS variables. Two different design systems coexist.</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Font loading strategy inconsistent (Google Fonts vs self-hosted). CSS approach fragmented (Tailwind vs inline).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1.2 Idiomatic usage</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Semantic HTML with proper meta tags, OG tags, structured data (JSON-LD) on key pages. Preload hints, preconnect for Supabase. Version cache busting (?v=v10.41) applied consistently. However, some pages have 2-3 &lt;style&gt; blocks (help.html, install.html, dashboard.html has 3), suggesting incremental additions rather than planned CSS architecture.</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Multiple &lt;style&gt; blocks per page indicate CSS accumulation. dashboard.html has 3 separate style blocks.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1.3 Framework version currency</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Tailwind 3.4.19 (current stable). PostHog SDK current. pdf.js 3.11, mammoth 1.6, DOMPurify 3.2.4, docx 8.5 — all on recent versions with SRI hashes. No deprecated APIs detected. However, some pages still reference Google Fonts API instead of self-hosted variable fonts.</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Minor: Google Fonts dependency on 14 pages when self-hosted fonts exist.</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1.4 Cargo-culting signals</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Clean, purpose-built pages. SEO data pages (salary-data.html, ghost-report.html, etc.) are 300-800 lines each — substantial but focused. No jQuery, no unnecessary frameworks. Comments reference specific session IDs (CS-018, REM-005) showing deliberate, tracked changes.</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1.5 Consistent coding style</w:t>
            </w:r>
          </w:p>
        </w:tc>
        <w:tc>
          <w:tcPr>
            <w:tcW w:type="dxa" w:w="6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1/3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SIGNIFICANT INCONSISTENCY: Privacy/terms/uninstall pages use hand-rolled CSS with :root variables (--bg, --bg-card, --accent). Index/pricing/compare use Tailwind + self-hosted fonts. 404/503 use yet another inline-only style with Google Fonts. Three distinct visual/code approaches across 24 pages. No shared component library for marketing pages.</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Three distinct CSS/styling approaches across marketing pages. No shared component system.</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1.6 New developer readability</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Pages are self-contained HTML files — easy to understand individually. Version comments at top of key pages. Session IDs in comments provide audit trail. However, the three CSS approaches would confuse a new developer about which pattern to follow for a new page.</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No documented guidance on which CSS approach to use for new pages.</w:t>
            </w:r>
          </w:p>
        </w:tc>
      </w:tr>
      <w:tr>
        <w:tc>
          <w:tcPr>
            <w:tcW w:type="dxa" w:w="18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TOTAL</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12/18</w:t>
            </w:r>
          </w:p>
        </w:tc>
        <w:tc>
          <w:tcPr>
            <w:tcW w:type="dxa" w:w="864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Average: 2.0/3.0</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NEEDS WORK</w:t>
            </w:r>
          </w:p>
        </w:tc>
      </w:tr>
    </w:tbl>
    <w:p>
      <w:pPr>
        <w:spacing w:after="50"/>
      </w:pPr>
    </w:p>
    <w:p>
      <w:r>
        <w:br w:type="page"/>
      </w:r>
    </w:p>
    <w:p>
      <w:pPr>
        <w:pStyle w:val="Heading1"/>
        <w:spacing w:before="300" w:after="120"/>
      </w:pPr>
      <w:r>
        <w:rPr>
          <w:rFonts w:ascii="Arial" w:cs="Arial" w:eastAsia="Arial" w:hAnsi="Arial"/>
          <w:b/>
          <w:bCs/>
          <w:color w:val="1B3A5C"/>
          <w:sz w:val="28"/>
          <w:szCs w:val="28"/>
        </w:rPr>
        <w:t xml:space="preserve">Dashboard / Admin (SPA)</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8640"/>
        <w:gridCol w:w="30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Question</w:t>
            </w:r>
          </w:p>
        </w:tc>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Score</w:t>
            </w:r>
          </w:p>
        </w:tc>
        <w:tc>
          <w:tcPr>
            <w:tcW w:type="dxa" w:w="86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Evidence</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Finding / Gap</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1.1 Stack-problem fit</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DUAL-MODE ARCHITECTURE: Legacy vanilla JS (126 .js files, 8 .ts files in js/) + new React SPA (src/app/ with 80+ .tsx files). esbuild bundles legacy; Vite builds React SPA. Both coexist in dashboard.html. React+Vite is the right long-term stack. Supabase client used idiomatically. However, the dual-mode means two mental models, two build systems, two ways to do everything.</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Dual-mode (legacy JS + React SPA) creates confusion. Two build systems (esbuild + Vite) coexist.</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1.2 Idiomatic usage</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React SPA: Clean page/component/hooks pattern. Feature-based folder structure. Proper use of providers, routes, design tokens. Legacy JS: BJ.export() namespace pattern is well-designed for migration. safeQuery() wrapper for all DB calls. BUT: globals.ts has @ts-nocheck — the most important shared file skips type checking. window.BJ and window[name] dual registration is a migration artifact.</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@ts-nocheck on globals.ts (most critical shared file). Legacy window[name] pattern still active.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1.3 Framework version currency</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React 18.3.1, React Router 6.30.3, Vite 6.4.1, TypeScript 5.9.3, Vitest 4.1.0, ESLint 9.39.4, Tailwind 3.4.19 — all current stable versions. Supabase-js 2.99.2. esbuild 0.25.12. Playwright 1.50. No deprecated APIs.</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1.4 Cargo-culting signals</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Code shows deep understanding. Code-split build with route-based lazy loading (shell, feed, keywords, pipeline, tuning, deferred). ADRs document architectural decisions. 9 ADRs covering search, SPA, gateway, TypeScript, agents, pipeline, dedup, feature flags, fitness functions.</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1.5 Consistent coding style</w:t>
            </w:r>
          </w:p>
        </w:tc>
        <w:tc>
          <w:tcPr>
            <w:tcW w:type="dxa" w:w="6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1/3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TWO COEXISTING PARADIGMS: 126 vanilla JS files (imperative, window globals, onclick handlers) alongside 80+ React TSX files (declarative, hooks, components). ESLint exists but has max-warnings 750 (!). no-undef turned OFF globally. The SPA pages follow a clean pattern (Page + components + hooks + index.ts per feature), but the legacy JS has no equivalent structure. Admin has 54 JS files in the admin-* naming pattern.</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750 ESLint warning tolerance. no-undef OFF. Two paradigms (imperative JS + declarative React) in production simultaneously.</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1.6 New developer readability</w:t>
            </w:r>
          </w:p>
        </w:tc>
        <w:tc>
          <w:tcPr>
            <w:tcW w:type="dxa" w:w="6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1/3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A new developer would need to understand: (1) Which pages are legacy JS vs React SPA, (2) The esbuild pipeline for legacy, (3) The Vite pipeline for SPA, (4) The BJ.export() bridge between them, (5) Why globals.ts has @ts-nocheck, (6) The chunk splitting strategy. SPA pages are well-structured, but the dual-mode architecture adds substantial cognitive load.</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Dual-mode architecture requires understanding two complete systems to contribute.</w:t>
            </w:r>
          </w:p>
        </w:tc>
      </w:tr>
      <w:tr>
        <w:tc>
          <w:tcPr>
            <w:tcW w:type="dxa" w:w="18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TOTAL</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12/18</w:t>
            </w:r>
          </w:p>
        </w:tc>
        <w:tc>
          <w:tcPr>
            <w:tcW w:type="dxa" w:w="864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Average: 2.0/3.0</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NEEDS WORK</w:t>
            </w:r>
          </w:p>
        </w:tc>
      </w:tr>
    </w:tbl>
    <w:p>
      <w:pPr>
        <w:spacing w:after="50"/>
      </w:pPr>
    </w:p>
    <w:p>
      <w:r>
        <w:br w:type="page"/>
      </w:r>
    </w:p>
    <w:p>
      <w:pPr>
        <w:pStyle w:val="Heading1"/>
        <w:spacing w:before="300" w:after="120"/>
      </w:pPr>
      <w:r>
        <w:rPr>
          <w:rFonts w:ascii="Arial" w:cs="Arial" w:eastAsia="Arial" w:hAnsi="Arial"/>
          <w:b/>
          <w:bCs/>
          <w:color w:val="1B3A5C"/>
          <w:sz w:val="28"/>
          <w:szCs w:val="28"/>
        </w:rPr>
        <w:t xml:space="preserve">Chrome Extension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8640"/>
        <w:gridCol w:w="30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Question</w:t>
            </w:r>
          </w:p>
        </w:tc>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Score</w:t>
            </w:r>
          </w:p>
        </w:tc>
        <w:tc>
          <w:tcPr>
            <w:tcW w:type="dxa" w:w="86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Evidence</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Finding / Gap</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1.1 Stack-problem fit</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TypeScript throughout (40+ .ts files). Manifest v3 (current, not deprecated v2). Chrome extension APIs used correctly — service worker pattern, chrome.storage, chrome.scripting, chrome.alarms, sidePanel. Proper separation: background.ts (service worker), content.ts, popup.ts, handlers/ per ATS platform, utils/ for shared code, fields/ for form field types.</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1.2 Idiomatic usage</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MIXED PATTERN: background.ts uses importScripts() — a legacy service worker pattern. This is NOT the idiomatic Manifest v3 approach (should use ES modules). The rest of the extension uses proper TypeScript/ES module patterns. ATS handlers follow a consistent interface pattern (each exports a fill function). Field handlers (checkbox, dropdown, textInput, etc.) are cleanly separated.</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background.ts uses importScripts() instead of ES module imports — legacy pattern in otherwise modern codebase.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1.3 Framework version currency</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Manifest v3 (current). TypeScript source compiled via build-extension.js. Supabase-js loaded. PostHog integration present. Extension version 3.0.0. Build scripts (build-dev.js, build-extension.js) exist.</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1.4 Cargo-culting signals</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Purpose-built code throughout. Handler per ATS (17 handlers: greenhouse-legacy, greenhouse-react, lever, workable, ashby, indeed, linkedin-easy-apply, workday, workday-experience, icims, recruitee, smartrecruiters, taleo, jazzhr, bamboohr, avature, generic). Utility functions are domain-specific (aiAnswerer, applicationTracker, fieldFillerQueue, resilientDOM, mutationWatcher). examples/ directory with competitor analysis shows research-driven development.</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1.5 Consistent coding style</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Consistent TypeScript throughout the main codebase. Handler files follow same pattern. BUT: extension is NOT covered by ESLint (config ignores it via supabase/functions/** and doesn't explicitly include extension/). No dedicated linting config for TypeScript extension files. background.ts mixes importScripts() (old pattern) with async/await (modern pattern).</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Extension not covered by ESLint config. No TS-specific linting for extension source.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1.6 New developer readability</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Clear file naming (handlers/greenhouse.ts, utils/aiAnswerer.ts, fields/dropdown.ts). Type definitions in types/index.d.ts. Background.ts has version history comments. BUT: The importScripts() pattern in background.ts requires understanding the legacy service worker model. No extension-specific README or architecture doc found in extension/ directory.</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No extension README or architecture doc. importScripts pattern needs context to understand.</w:t>
            </w:r>
          </w:p>
        </w:tc>
      </w:tr>
      <w:tr>
        <w:tc>
          <w:tcPr>
            <w:tcW w:type="dxa" w:w="18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TOTAL</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15/18</w:t>
            </w:r>
          </w:p>
        </w:tc>
        <w:tc>
          <w:tcPr>
            <w:tcW w:type="dxa" w:w="864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Average: 2.5/3.0</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PASSING</w:t>
            </w:r>
          </w:p>
        </w:tc>
      </w:tr>
    </w:tbl>
    <w:p>
      <w:pPr>
        <w:spacing w:after="50"/>
      </w:pPr>
    </w:p>
    <w:p>
      <w:r>
        <w:br w:type="page"/>
      </w:r>
    </w:p>
    <w:p>
      <w:pPr>
        <w:pStyle w:val="Heading1"/>
        <w:spacing w:before="300" w:after="120"/>
      </w:pPr>
      <w:r>
        <w:rPr>
          <w:rFonts w:ascii="Arial" w:cs="Arial" w:eastAsia="Arial" w:hAnsi="Arial"/>
          <w:b/>
          <w:bCs/>
          <w:color w:val="1B3A5C"/>
          <w:sz w:val="28"/>
          <w:szCs w:val="28"/>
        </w:rPr>
        <w:t xml:space="preserve">Edge Functions (157 EFs)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8640"/>
        <w:gridCol w:w="30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Question</w:t>
            </w:r>
          </w:p>
        </w:tc>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Score</w:t>
            </w:r>
          </w:p>
        </w:tc>
        <w:tc>
          <w:tcPr>
            <w:tcW w:type="dxa" w:w="86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Evidence</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Finding / Gap</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1.1 Stack-problem fit</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Deno + TypeScript on Supabase Edge Functions — correct choice for serverless API functions. 157 EFs with clear naming (verb-noun pattern: score-resume, build-resume, analyze-application-gap, etc.). _shared/ directory with 29 shared modules (cors, middleware, logger, anthropic, creditGate, etc.). Gateway pattern consolidates routing.</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1.2 Idiomatic usage</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Uses Supabase-recommended patterns: serve() from deno std, createClient with service role key, CORS headers. Shared middleware (withCorrelation) adds structured logging and correlation IDs. BUT: CORS is wildcard ('*') in individual EFs AND in _shared/cors.ts. This is the Supabase default but not locked down to brilliantjobs.app. score-resume has in-memory rate limiting (dailyCounts Map) which resets on cold start — not durable.</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CORS wildcard '*' in _shared/cors.ts and individual EFs. In-memory rate limiting resets on cold start.</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1.3 Framework version currency</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Deno std@0.177.0 — this is OUTDATED. Current Deno std is 0.224+. Supabase-js@2 (version pinned to major only via esm.sh, so gets latest 2.x). Using esm.sh for imports which is correct for Deno. Anthropic models pinned to specific versions (claude-haiku-4-5, claude-sonnet-4-5).</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Deno std@0.177.0 is significantly behind current (0.224+). Should update.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1.4 Cargo-culting signals</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Purpose-built EFs. Gateway architecture shows deep understanding (plugin middleware pipeline, route registry, consumer management). Shared modules (_shared/) are well-factored: anthropic.ts has circuit breaker (withAnthropicBreaker), creditGate.ts handles entitlements, logger.ts provides structured logging with correlation IDs. No unnecessary abstractions.</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1.5 Consistent coding style</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Gateway and newer EFs follow consistent patterns. BUT: ESLint config explicitly ignores supabase/functions/** — no linting at all on 157 EFs. No Deno lint configuration found (no deno.json with lint config). Individual EFs have inconsistent CORS handling — some import from _shared/cors.ts, others define inline. Only 73 of 156 non-shared EFs use auth patterns (47%).</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No linting on EFs. 53% of EFs don't use shared auth patterns. CORS approach inconsistent.</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1.6 New developer readability</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EF naming is self-documenting. _shared/ provides clear reusable components. Gateway has excellent JSDoc comments explaining architecture, phases, and hooks. BUT: No EF developer guide found. No template for creating a new EF. A developer would need to figure out which _shared modules to import by looking at existing EFs.</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No EF creation template or developer guide.</w:t>
            </w:r>
          </w:p>
        </w:tc>
      </w:tr>
      <w:tr>
        <w:tc>
          <w:tcPr>
            <w:tcW w:type="dxa" w:w="18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TOTAL</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14/18</w:t>
            </w:r>
          </w:p>
        </w:tc>
        <w:tc>
          <w:tcPr>
            <w:tcW w:type="dxa" w:w="864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Average: 2.3/3.0</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NEEDS WORK</w:t>
            </w:r>
          </w:p>
        </w:tc>
      </w:tr>
    </w:tbl>
    <w:p>
      <w:pPr>
        <w:spacing w:after="50"/>
      </w:pPr>
    </w:p>
    <w:p>
      <w:r>
        <w:br w:type="page"/>
      </w:r>
    </w:p>
    <w:p>
      <w:pPr>
        <w:pStyle w:val="Heading1"/>
        <w:spacing w:before="300" w:after="120"/>
      </w:pPr>
      <w:r>
        <w:rPr>
          <w:rFonts w:ascii="Arial" w:cs="Arial" w:eastAsia="Arial" w:hAnsi="Arial"/>
          <w:b/>
          <w:bCs/>
          <w:color w:val="1B3A5C"/>
          <w:sz w:val="28"/>
          <w:szCs w:val="28"/>
        </w:rPr>
        <w:t xml:space="preserve">API Gateway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8640"/>
        <w:gridCol w:w="30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Question</w:t>
            </w:r>
          </w:p>
        </w:tc>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Score</w:t>
            </w:r>
          </w:p>
        </w:tc>
        <w:tc>
          <w:tcPr>
            <w:tcW w:type="dxa" w:w="86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Evidence</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Finding / Gap</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1.1 Stack-problem fit</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Single Edge Function acting as API gateway with plugin middleware pipeline (request-logger, auth, rate-limiter, response-cache, read-replica-routing, event-bus, feature-flags). Config-driven route registry mapping URL patterns to downstream EFs. This is an excellent pattern for consolidating 126+ routes through a single entry point.</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1.2 Idiomatic usage</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Clean middleware pipeline pattern. Config-driven routing (ROUTE_REGISTRY object). Proper separation of concerns: middleware handles cross-cutting concerns, route registry handles dispatch. Well-documented with JSDoc, ADR reference (adr-03-gateway.md), phase annotations (SA-004, SA-005), and hook documentation.</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1.3 Framework version currency</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Same Deno std@0.177.0 issue as other EFs. Gateway-specific shared modules (gateway-middleware.ts, read-replica-middleware.ts, event-bus-middleware.ts, feature-flag-middleware.ts) are current and purpose-built.</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Deno std@0.177.0 outdated (same as EFs).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1.4 Cargo-culting signals</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Clearly engineered, not copied. Middleware pipeline is a well-understood pattern implemented purposefully. Route registry is config-driven by design. Consumer management (api_consumers table) shows forward thinking. ADR-03 documents the decision.</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1.5 Consistent coding style</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Single file (index.ts) with consistent patterns. Middleware modules in _shared/ follow same interface. Route registry follows consistent format. Well-commented with phase annotations.</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1.6 New developer readability</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Excellent. Opening JSDoc explains the entire architecture, middleware pipeline order, route registry pattern, consumer management, ADR reference, phase, and pairing assignment. Adding a new route = adding one line to ROUTE_REGISTRY. Adding middleware = implementing the middleware interface and adding to pipeline array.</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TOTAL</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17/18</w:t>
            </w:r>
          </w:p>
        </w:tc>
        <w:tc>
          <w:tcPr>
            <w:tcW w:type="dxa" w:w="864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Average: 2.8/3.0</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PASSING</w:t>
            </w:r>
          </w:p>
        </w:tc>
      </w:tr>
    </w:tbl>
    <w:p>
      <w:pPr>
        <w:spacing w:after="50"/>
      </w:pPr>
    </w:p>
    <w:p>
      <w:r>
        <w:br w:type="page"/>
      </w:r>
    </w:p>
    <w:p>
      <w:pPr>
        <w:pStyle w:val="Heading1"/>
        <w:spacing w:before="300" w:after="120"/>
      </w:pPr>
      <w:r>
        <w:rPr>
          <w:rFonts w:ascii="Arial" w:cs="Arial" w:eastAsia="Arial" w:hAnsi="Arial"/>
          <w:b/>
          <w:bCs/>
          <w:color w:val="1B3A5C"/>
          <w:sz w:val="28"/>
          <w:szCs w:val="28"/>
        </w:rPr>
        <w:t xml:space="preserve">Fly.io Worker (ATS Automation)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8640"/>
        <w:gridCol w:w="30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Question</w:t>
            </w:r>
          </w:p>
        </w:tc>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Score</w:t>
            </w:r>
          </w:p>
        </w:tc>
        <w:tc>
          <w:tcPr>
            <w:tcW w:type="dxa" w:w="86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Evidence</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Finding / Gap</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1.1 Stack-problem fit</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Node.js + Playwright + headless Chromium — correct and arguably the only viable stack for browser automation against ATS forms. Express-style HTTP server for health checks. Supabase-js for queue polling. Docker-based deployment on Fly.io with persistent Chromium. This is exactly right for the problem.</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1.2 Idiomatic usage</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Playwright used correctly: proper page.goto with waitUntil, waitForSelector with timeouts, human simulation utilities (humanType, humanClick, humanSelect). ATS router pattern is clean (URL pattern matching → handler dispatch). BUT: Worker uses plain Node.js (not TypeScript). Human-sim utilities are well-crafted. Logger is structured JSON. Some catch blocks are silent: .catch(() =&gt; {}) on browser.close(), waitForSelector catches.</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Worker is plain JavaScript while rest of codebase is TypeScript. Some silent .catch(() =&gt; {}) blocks.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1.3 Framework version currency</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Playwright 1.50 (current). Supabase-js current. Node.js in Docker (version controlled via Dockerfile).</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1.4 Cargo-culting signals</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Deep domain expertise evident. Each ATS handler understands the specific platform's form structure (Greenhouse React vs Legacy detection, Lever resume upload flow, EEOC question handling). Human simulation (randomDelay, humanType) shows understanding of anti-bot detection. Screenshot-on-failure is a debugging-first approach.</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1.5 Consistent coding style</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ATS handlers follow consistent interface (page, jobUrl, profile, resumePath, opts). Router pattern is clean. BUT: Handlers are JavaScript while extension handlers for same platforms are TypeScript. Worker has its own error patterns separate from EF error patterns. 5 active handlers (greenhouse, lever, workable, ashby, linkedin) + generic, with 6 platforms mapped to null (phase 2).</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JS in worker vs TS everywhere else. Worker error patterns differ from EF patterns.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1.6 New developer readability</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index.js has clear structure: config, state, logger, health server, poll loop, submission handler. ats-router.js is self-documenting. Handler interface is consistent. BUT: No worker-specific README. No guide for adding a new ATS handler. The null handlers in ats-router.js don't explain what's needed for Phase 2.</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No worker README or ATS handler creation guide.</w:t>
            </w:r>
          </w:p>
        </w:tc>
      </w:tr>
      <w:tr>
        <w:tc>
          <w:tcPr>
            <w:tcW w:type="dxa" w:w="18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TOTAL</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15/18</w:t>
            </w:r>
          </w:p>
        </w:tc>
        <w:tc>
          <w:tcPr>
            <w:tcW w:type="dxa" w:w="864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Average: 2.5/3.0</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PASSING</w:t>
            </w:r>
          </w:p>
        </w:tc>
      </w:tr>
    </w:tbl>
    <w:p>
      <w:pPr>
        <w:spacing w:after="50"/>
      </w:pPr>
    </w:p>
    <w:p>
      <w:r>
        <w:br w:type="page"/>
      </w:r>
    </w:p>
    <w:p>
      <w:pPr>
        <w:pStyle w:val="Heading1"/>
        <w:spacing w:before="300" w:after="120"/>
      </w:pPr>
      <w:r>
        <w:rPr>
          <w:rFonts w:ascii="Arial" w:cs="Arial" w:eastAsia="Arial" w:hAnsi="Arial"/>
          <w:b/>
          <w:bCs/>
          <w:color w:val="1B3A5C"/>
          <w:sz w:val="28"/>
          <w:szCs w:val="28"/>
        </w:rPr>
        <w:t xml:space="preserve">Database / Migrations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8640"/>
        <w:gridCol w:w="30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Question</w:t>
            </w:r>
          </w:p>
        </w:tc>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Score</w:t>
            </w:r>
          </w:p>
        </w:tc>
        <w:tc>
          <w:tcPr>
            <w:tcW w:type="dxa" w:w="86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Evidence</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Finding / Gap</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1.1 Stack-problem fit</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PostgreSQL on Supabase — excellent fit. RLS for row-level security. RPC functions for complex operations (session_heartbeat, create_session, process_referral_attribution). pgBouncer connection pooling confirmed. 22 numbered migrations + additional SQL files in sql/ directory.</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1.2 Idiomatic usage</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Migrations use IF NOT EXISTS / IF EXISTS for idempotency. ALTER TABLE ADD COLUMN pattern is correct for zero-downtime. Indexes created with WHERE clauses for partial indexes. RLS policies referenced. Comments include version, date, backward-compatibility notes. RPC functions used for atomic multi-step operations.</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1.3 Framework version currency</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PostgreSQL 17 (config.toml confirms major_version = 17). Supabase managed. Using current Supabase features (RLS, RPC, storage, auth, edge functions).</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1.4 Cargo-culting signals</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Migrations are purpose-built with clear domain intent: sms-tracking, communication-center, seo-data-pages, application-profiles, session-analytics. SQL in sql/ directory covers specific feature infrastructure (extension-heartbeats, referral-notification-system, etc.).</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1.5 Consistent coding style</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Migrations follow consistent patterns: comment header with purpose/version/date, IF NOT EXISTS guards, clear section separators. BUT: Two numbering schemes coexist — numbered (001-009) and versioned (v5.20, v5.89, v6.22). Some migrations in migrations/ directory, others in sql/ directory. Not clear which is the canonical migration path.</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Two migration numbering schemes (001-009 vs v5.20-v6.22). Migrations split between two directories.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1.6 New developer readability</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Individual migrations are well-commented and self-explanatory. BUT: No schema documentation or ERD found. A new developer would need to piece together the schema from 22 migrations + sql/ files. No guide for which directory to put new migrations in.</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No schema documentation or ERD. No migration directory guidance.</w:t>
            </w:r>
          </w:p>
        </w:tc>
      </w:tr>
      <w:tr>
        <w:tc>
          <w:tcPr>
            <w:tcW w:type="dxa" w:w="18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TOTAL</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16/18</w:t>
            </w:r>
          </w:p>
        </w:tc>
        <w:tc>
          <w:tcPr>
            <w:tcW w:type="dxa" w:w="864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Average: 2.7/3.0</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PASSING</w:t>
            </w:r>
          </w:p>
        </w:tc>
      </w:tr>
    </w:tbl>
    <w:p>
      <w:pPr>
        <w:spacing w:after="50"/>
      </w:pPr>
    </w:p>
    <w:p>
      <w:r>
        <w:br w:type="page"/>
      </w:r>
    </w:p>
    <w:p>
      <w:pPr>
        <w:pStyle w:val="Heading1"/>
        <w:spacing w:before="300" w:after="120"/>
      </w:pPr>
      <w:r>
        <w:rPr>
          <w:rFonts w:ascii="Arial" w:cs="Arial" w:eastAsia="Arial" w:hAnsi="Arial"/>
          <w:b/>
          <w:bCs/>
          <w:color w:val="1B3A5C"/>
          <w:sz w:val="28"/>
          <w:szCs w:val="28"/>
        </w:rPr>
        <w:t xml:space="preserve">CI/CD Pipelines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8640"/>
        <w:gridCol w:w="30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Question</w:t>
            </w:r>
          </w:p>
        </w:tc>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Score</w:t>
            </w:r>
          </w:p>
        </w:tc>
        <w:tc>
          <w:tcPr>
            <w:tcW w:type="dxa" w:w="86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Evidence</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Finding / Gap</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1.1 Stack-problem fit</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GitHub Actions — correct choice for a GitHub-hosted repo. 7 workflows covering: CI (18 quality gates), Deploy, Dry Run Monitor, Load Test, PSI Audit, Selector Monitor, Workable XML Pipeline. Each workflow has a clear, distinct purpose.</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1.2 Idiomatic usage</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Proper use of workflow triggers (push, PR, schedule, workflow_dispatch). Concurrency groups (workable-xml-pipeline). Matrix-able workflows. Quality gates as named steps. Manual triggers with input parameters (load test profile selection). SRI hashes on CDN scripts. Deploy workflow handles selective deployments (only deploys what changed).</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1.3 Framework version currency</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actions/checkout@v4 (current). GitHub Actions runner versions current. Uses workflow_dispatch with typed inputs (choice, boolean). Schedule syntax correct.</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1.4 Cargo-culting signals</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Each workflow is purpose-built: selector-monitor.yml runs Playwright against live ATS pages to verify selectors. psi-audit.yml extracts URLs from sitemap. load-test.yml uses k6 with configurable profiles. These show deep understanding of the deployment and monitoring needs.</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1.5 Consistent coding style</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Consistent comment headers explaining purpose, triggers, and pipeline stages. Clear naming conventions (ci.yml, deploy.yml, load-test.yml). Gate numbering in CI workflow (Gate 1-18). Each workflow is self-documented.</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1.6 New developer readability</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Workflows are self-documenting with extensive header comments. CI gates are numbered and named. Deploy workflow explains trigger conditions. Load test has configurable profiles via dropdown. A new developer could understand the entire CI/CD pipeline from the workflow files alone.</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TOTAL</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18/18</w:t>
            </w:r>
          </w:p>
        </w:tc>
        <w:tc>
          <w:tcPr>
            <w:tcW w:type="dxa" w:w="864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Average: 3.0/3.0</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PASSING</w:t>
            </w:r>
          </w:p>
        </w:tc>
      </w:tr>
    </w:tbl>
    <w:p>
      <w:pPr>
        <w:spacing w:after="50"/>
      </w:pPr>
    </w:p>
    <w:p>
      <w:r>
        <w:br w:type="page"/>
      </w:r>
    </w:p>
    <w:p>
      <w:pPr>
        <w:pStyle w:val="Heading1"/>
        <w:spacing w:before="300" w:after="120"/>
      </w:pPr>
      <w:r>
        <w:rPr>
          <w:rFonts w:ascii="Arial" w:cs="Arial" w:eastAsia="Arial" w:hAnsi="Arial"/>
          <w:b/>
          <w:bCs/>
          <w:color w:val="1B3A5C"/>
          <w:sz w:val="28"/>
          <w:szCs w:val="28"/>
        </w:rPr>
        <w:t xml:space="preserve">Feeds (Job Data Pipeline)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8640"/>
        <w:gridCol w:w="30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Question</w:t>
            </w:r>
          </w:p>
        </w:tc>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Score</w:t>
            </w:r>
          </w:p>
        </w:tc>
        <w:tc>
          <w:tcPr>
            <w:tcW w:type="dxa" w:w="86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Evidence</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Finding / Gap</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1.1 Stack-problem fit</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Workable XML Pipeline runs on GitHub Actions schedule (hourly at :15). Cron-based EFs handle data aggregation (data-aggregation-crons.sql). SEO data pages consume aggregated data. Common Crawl ingestion planned (SA-007). BUT: Feed pipeline spans multiple systems (GH Actions + EFs + DB crons + materialized views) — no single place shows the entire data flow.</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Feed pipeline fragmented across GH Actions, EFs, DB crons. No unified data flow documentation.</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1.2 Idiomatic usage</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Workable XML pipeline uses concurrency groups (correct). Database-level aggregation via crons/materialized views is appropriate for the data volume. BUT: Pipeline orchestration is split between GitHub Actions (workable-xml.yml) and Supabase cron jobs — two scheduling systems for the same data pipeline.</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Two scheduling systems (GH Actions cron + Supabase cron) for data pipeline orchestration.</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1.3 Framework version currency</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Using current GitHub Actions. Supabase cron functionality current. PostgreSQL materialized views are the right approach.</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1.4 Cargo-culting signals</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Domain-specific: workable-xml pipeline, ATS board health monitoring (004_ats_board_health.sql), synthetic content detection (004_synthetic_content_detection.sql). Shows understanding of the job data domain.</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1.5 Consistent coding style</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Individual pipeline components are well-structured. BUT: No consistent pattern for how data pipelines are built. Some are GH Actions, some are EF crons, some are DB-level. A new pipeline would have no clear template to follow.</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No standard pipeline pattern. New pipeline has no template to follow.</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1.6 New developer readability</w:t>
            </w:r>
          </w:p>
        </w:tc>
        <w:tc>
          <w:tcPr>
            <w:tcW w:type="dxa" w:w="6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1/3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Understanding the full data flow requires reading: workable-xml.yml + multiple EFs + sql/ files + migration files + cron configurations. No data pipeline documentation or architecture diagram found. A new developer would struggle to trace how a job listing goes from source to user feed.</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No data pipeline documentation. Full flow spans 4+ systems with no unified view.</w:t>
            </w:r>
          </w:p>
        </w:tc>
      </w:tr>
      <w:tr>
        <w:tc>
          <w:tcPr>
            <w:tcW w:type="dxa" w:w="18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TOTAL</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13/18</w:t>
            </w:r>
          </w:p>
        </w:tc>
        <w:tc>
          <w:tcPr>
            <w:tcW w:type="dxa" w:w="864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Average: 2.2/3.0</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bCs/>
                <w:color w:val="2C3E50"/>
                <w:sz w:val="16"/>
                <w:szCs w:val="16"/>
              </w:rPr>
              <w:t xml:space="preserve">NEEDS WORK</w:t>
            </w:r>
          </w:p>
        </w:tc>
      </w:tr>
    </w:tbl>
    <w:p>
      <w:pPr>
        <w:spacing w:after="50"/>
      </w:pPr>
    </w:p>
    <w:p>
      <w:r>
        <w:br w:type="page"/>
      </w:r>
    </w:p>
    <w:p>
      <w:pPr>
        <w:pStyle w:val="Heading1"/>
        <w:spacing w:before="300" w:after="120"/>
      </w:pPr>
      <w:r>
        <w:rPr>
          <w:rFonts w:ascii="Arial" w:cs="Arial" w:eastAsia="Arial" w:hAnsi="Arial"/>
          <w:b/>
          <w:bCs/>
          <w:color w:val="1B3A5C"/>
          <w:sz w:val="28"/>
          <w:szCs w:val="28"/>
        </w:rPr>
        <w:t xml:space="preserve">Integrations (Supabase, Stripe, PostHog, Anthropic, Vonage, Google)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8640"/>
        <w:gridCol w:w="3000"/>
      </w:tblGrid>
      <w:tr>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Question</w:t>
            </w:r>
          </w:p>
        </w:tc>
        <w:tc>
          <w:tcPr>
            <w:tcW w:type="dxa" w:w="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Score</w:t>
            </w:r>
          </w:p>
        </w:tc>
        <w:tc>
          <w:tcPr>
            <w:tcW w:type="dxa" w:w="86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Evidence</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pPr>
              <w:jc w:val="center"/>
            </w:pPr>
            <w:r>
              <w:rPr>
                <w:rFonts w:ascii="Arial" w:cs="Arial" w:eastAsia="Arial" w:hAnsi="Arial"/>
                <w:b/>
                <w:bCs/>
                <w:color w:val="FFFFFF"/>
                <w:sz w:val="16"/>
                <w:szCs w:val="16"/>
              </w:rPr>
              <w:t xml:space="preserve">Finding / Gap</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1.1 Stack-problem fit</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Each integration serves a clear purpose: Supabase (auth, DB, storage, EFs), Stripe (billing), PostHog (analytics, feature flags), Anthropic (AI scoring, chat), Vonage (SMS), Google (OAuth, Gmail metadata). No redundant integrations. Sentry replaced by PostHog per ADR.</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1.2 Idiomatic usage</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Supabase used idiomatically (RLS, RPC, storage, auth). PostHog has captureEvent() throughout. Anthropic has shared module (_shared/anthropic.ts) with circuit breaker. BUT: PostHog API key hardcoded in extension background.ts. Supabase anon key in globals.ts (this is expected/public but could use env var pattern for consistency).</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PostHog API key hardcoded in extension. Integration initialization patterns inconsistent across surfaces.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1.3 Framework version currency</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Supabase-js 2.99.2 (latest). PostHog SDK current. Anthropic model versions pinned and current (claude-haiku-4-5, claude-sonnet-4-5). Google OAuth scope recently downgraded to gmail.metadata (minimal).</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1.4 Cargo-culting signals</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3/3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Each integration is purposefully implemented. Circuit breaker on Anthropic calls (withAnthropicBreaker). Credit gate system for AI usage (creditGate.ts). Feature flag system via PostHog. No unnecessary third-party services.</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val="false"/>
                <w:bCs w:val="false"/>
                <w:color w:val="2C3E50"/>
                <w:sz w:val="16"/>
                <w:szCs w:val="16"/>
              </w:rPr>
              <w:t xml:space="preserve">None.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color w:val="2C3E50"/>
                <w:sz w:val="16"/>
                <w:szCs w:val="16"/>
              </w:rPr>
              <w:t xml:space="preserve">1.5 Consistent coding style</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2C3E50"/>
                <w:sz w:val="16"/>
                <w:szCs w:val="16"/>
              </w:rPr>
              <w:t xml:space="preserve">Shared modules for key integrations (_shared/anthropic.ts, _shared/email-core.ts, etc.). BUT: PostHog initialization is different in dashboard (posthog-perf.js), extension (background.ts inline), and EFs (captureEvent in _shared). Supabase client creation is different in dashboard (globals.ts), EFs (per-function), and worker (index.js).</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Integration initialization patterns differ across surfaces. No unified adapter pattern.</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bCs/>
                <w:color w:val="2C3E50"/>
                <w:sz w:val="16"/>
                <w:szCs w:val="16"/>
              </w:rPr>
              <w:t xml:space="preserve">1.6 New developer readability</w:t>
            </w:r>
          </w:p>
        </w:tc>
        <w:tc>
          <w:tcPr>
            <w:tcW w:type="dxa" w:w="6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2/3</w:t>
            </w:r>
          </w:p>
        </w:tc>
        <w:tc>
          <w:tcPr>
            <w:tcW w:type="dxa" w:w="86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2C3E50"/>
                <w:sz w:val="16"/>
                <w:szCs w:val="16"/>
              </w:rPr>
              <w:t xml:space="preserve">Integration modules in _shared/ are well-named. CREDENTIALS_MASTER document exists (v14). BUT: A developer needs to check multiple places to understand how each integration is configured per surface. No integration overview document mapping which integrations are used where.</w:t>
            </w:r>
          </w:p>
        </w:tc>
        <w:tc>
          <w:tcPr>
            <w:tcW w:type="dxa" w:w="3000"/>
            <w:tcBorders>
              <w:top w:val="single" w:color="BBBBBB" w:sz="1"/>
              <w:left w:val="single" w:color="BBBBBB" w:sz="1"/>
              <w:bottom w:val="single" w:color="BBBBBB" w:sz="1"/>
              <w:right w:val="single" w:color="BBBBBB" w:sz="1"/>
            </w:tcBorders>
            <w:shd w:fill="FFF8E1" w:val="clear"/>
            <w:tcMar>
              <w:top w:type="dxa" w:w="60"/>
              <w:left w:type="dxa" w:w="100"/>
              <w:bottom w:type="dxa" w:w="60"/>
              <w:right w:type="dxa" w:w="100"/>
            </w:tcMar>
          </w:tcPr>
          <w:p>
            <w:r>
              <w:rPr>
                <w:rFonts w:ascii="Arial" w:cs="Arial" w:eastAsia="Arial" w:hAnsi="Arial"/>
                <w:b w:val="false"/>
                <w:bCs w:val="false"/>
                <w:color w:val="2C3E50"/>
                <w:sz w:val="16"/>
                <w:szCs w:val="16"/>
              </w:rPr>
              <w:t xml:space="preserve">No integration map showing which services are used on which surfaces.</w:t>
            </w:r>
          </w:p>
        </w:tc>
      </w:tr>
      <w:tr>
        <w:tc>
          <w:tcPr>
            <w:tcW w:type="dxa" w:w="180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TOTAL</w:t>
            </w:r>
          </w:p>
        </w:tc>
        <w:tc>
          <w:tcPr>
            <w:tcW w:type="dxa" w:w="6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15/18</w:t>
            </w:r>
          </w:p>
        </w:tc>
        <w:tc>
          <w:tcPr>
            <w:tcW w:type="dxa" w:w="8640"/>
            <w:tcBorders>
              <w:top w:val="single" w:color="BBBBBB" w:sz="1"/>
              <w:left w:val="single" w:color="BBBBBB" w:sz="1"/>
              <w:bottom w:val="single" w:color="BBBBBB" w:sz="1"/>
              <w:right w:val="single" w:color="BBBBBB" w:sz="1"/>
            </w:tcBorders>
            <w:shd w:fill="D6E8F7" w:val="clear"/>
            <w:tcMar>
              <w:top w:type="dxa" w:w="60"/>
              <w:left w:type="dxa" w:w="100"/>
              <w:bottom w:type="dxa" w:w="60"/>
              <w:right w:type="dxa" w:w="100"/>
            </w:tcMar>
          </w:tcPr>
          <w:p>
            <w:r>
              <w:rPr>
                <w:rFonts w:ascii="Arial" w:cs="Arial" w:eastAsia="Arial" w:hAnsi="Arial"/>
                <w:b/>
                <w:bCs/>
                <w:color w:val="2C3E50"/>
                <w:sz w:val="16"/>
                <w:szCs w:val="16"/>
              </w:rPr>
              <w:t xml:space="preserve">Average: 2.5/3.0</w:t>
            </w:r>
          </w:p>
        </w:tc>
        <w:tc>
          <w:tcPr>
            <w:tcW w:type="dxa" w:w="3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b/>
                <w:bCs/>
                <w:color w:val="2C3E50"/>
                <w:sz w:val="16"/>
                <w:szCs w:val="16"/>
              </w:rPr>
              <w:t xml:space="preserve">PASSING</w:t>
            </w:r>
          </w:p>
        </w:tc>
      </w:tr>
    </w:tbl>
    <w:p>
      <w:pPr>
        <w:spacing w:after="50"/>
      </w:pPr>
    </w:p>
    <w:p>
      <w:r>
        <w:br w:type="page"/>
      </w:r>
    </w:p>
    <w:sectPr>
      <w:pgSz w:w="12240" w:h="158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2026-03-17T05:11:30.443Z</dcterms:created>
  <dcterms:modified xsi:type="dcterms:W3CDTF">2026-03-17T05:11:30.444Z</dcterms:modified>
</cp:coreProperties>
</file>

<file path=docProps/custom.xml><?xml version="1.0" encoding="utf-8"?>
<Properties xmlns="http://schemas.openxmlformats.org/officeDocument/2006/custom-properties" xmlns:vt="http://schemas.openxmlformats.org/officeDocument/2006/docPropsVTypes"/>
</file>