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hanging="0" w:start="341"/>
        <w:contextualSpacing/>
        <w:jc w:val="center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Arial" w:ascii="Times New Roman" w:hAnsi="Times New Roman" w:eastAsiaTheme="minorHAnsi"/>
          <w:b/>
          <w:bCs/>
          <w:i w:val="false"/>
          <w:iCs w:val="false"/>
          <w:kern w:val="0"/>
          <w:sz w:val="24"/>
          <w:szCs w:val="24"/>
          <w:lang w:val="ru-RU" w:eastAsia="en-US" w:bidi="ar-SA"/>
        </w:rPr>
        <w:t>ЗОЛОТОЕ ПРАВИЛО МЕХАНИКИ ДЛЯ ПРОСТЫХ МЕХАНИЗМОВ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Введение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Ещё тысячи лет назад, человечество сталкивалось с задачами, которые требовали огромных усилий. Люди искали способы облегчить труд, но без понимания физических законов это было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неоправданными затратами сил и времени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«Золотое правило механики»</w:t>
      </w:r>
      <w:r>
        <w:rPr>
          <w:rFonts w:ascii="Times New Roman" w:hAnsi="Times New Roman"/>
          <w:i w:val="false"/>
          <w:iCs w:val="false"/>
        </w:rPr>
        <w:t xml:space="preserve"> дало точный расчёт: </w:t>
      </w:r>
      <w:r>
        <w:rPr>
          <w:rStyle w:val="Emphasis"/>
          <w:rFonts w:ascii="Times New Roman" w:hAnsi="Times New Roman"/>
          <w:i w:val="false"/>
          <w:iCs w:val="false"/>
        </w:rPr>
        <w:t>во сколько раз механизм уменьшает нужное усилие, во столько же раз увеличивает расстояние</w:t>
      </w:r>
      <w:r>
        <w:rPr>
          <w:rFonts w:ascii="Times New Roman" w:hAnsi="Times New Roman"/>
          <w:i w:val="false"/>
          <w:iCs w:val="false"/>
        </w:rPr>
        <w:t>. В этом реферате пойдёт речь о том, как золотое правило работает в простых механизмах, и будет подтверждено, что даже древние технологии, основанные на нём, остаются гениальными и сегодня.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</w:rPr>
        <w:t>1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Герон Александрийский — автор </w:t>
      </w:r>
      <w:r>
        <w:rPr>
          <w:rFonts w:ascii="Times New Roman" w:hAnsi="Times New Roman"/>
          <w:i w:val="false"/>
          <w:iCs w:val="false"/>
        </w:rPr>
        <w:t>трактата «Механика» — единственного полностью дошедшего до нас общего руководства по античной статике. Трактат состоит из трех книг: первая содержит вопросы теории, вторая посвящена практическому применению пяти «простых машин» (рычаг, блок, винт, ворот, клин), в третьей книге описаны различные комбинации «простых машин». В дальнейшем стали рассматривать виды простых машин по отдельности и приводить максимально строгую теорию с описанием.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Для различных механизмов «золотое правило механики» выглядит по-разному, общий вид математического выражения: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start"/>
        <w:rPr>
          <w:rFonts w:ascii="Times New Roman" w:hAnsi="Times New Roman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₁</m:t>
          </m:r>
          <m:r>
            <m:t xml:space="preserve">⋅</m:t>
          </m:r>
          <m:r>
            <m:t xml:space="preserve">S</m:t>
          </m:r>
          <m:r>
            <m:t xml:space="preserve">₁</m:t>
          </m:r>
          <m:r>
            <m:t xml:space="preserve">=</m:t>
          </m:r>
          <m:r>
            <m:t xml:space="preserve">F</m:t>
          </m:r>
          <m:r>
            <m:t xml:space="preserve">₂</m:t>
          </m:r>
          <m:r>
            <m:t xml:space="preserve">⋅</m:t>
          </m:r>
          <m:r>
            <m:t xml:space="preserve">S</m:t>
          </m:r>
          <m:r>
            <m:t xml:space="preserve">₂</m:t>
          </m:r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где: F</w:t>
      </w:r>
      <w:r>
        <w:rPr>
          <w:rFonts w:eastAsia="Liberation Serif" w:cs="Liberation Serif" w:ascii="Times New Roman" w:hAnsi="Times New Roman"/>
          <w:i w:val="false"/>
          <w:iCs w:val="false"/>
        </w:rPr>
        <w:t>₁</w:t>
      </w:r>
      <w:r>
        <w:rPr>
          <w:rFonts w:ascii="Times New Roman" w:hAnsi="Times New Roman"/>
          <w:i w:val="false"/>
          <w:iCs w:val="false"/>
        </w:rPr>
        <w:t xml:space="preserve"> и F</w:t>
      </w:r>
      <w:r>
        <w:rPr>
          <w:rFonts w:eastAsia="Liberation Serif" w:cs="Liberation Serif" w:ascii="Times New Roman" w:hAnsi="Times New Roman"/>
          <w:i w:val="false"/>
          <w:iCs w:val="false"/>
        </w:rPr>
        <w:t>₂</w:t>
      </w:r>
      <w:r>
        <w:rPr>
          <w:rFonts w:ascii="Times New Roman" w:hAnsi="Times New Roman"/>
          <w:i w:val="false"/>
          <w:iCs w:val="false"/>
        </w:rPr>
        <w:t xml:space="preserve"> — приложенные силы, S</w:t>
      </w:r>
      <w:r>
        <w:rPr>
          <w:rFonts w:eastAsia="Liberation Serif" w:cs="Liberation Serif" w:ascii="Times New Roman" w:hAnsi="Times New Roman"/>
          <w:i w:val="false"/>
          <w:iCs w:val="false"/>
        </w:rPr>
        <w:t>₁</w:t>
      </w:r>
      <w:r>
        <w:rPr>
          <w:rFonts w:ascii="Times New Roman" w:hAnsi="Times New Roman"/>
          <w:i w:val="false"/>
          <w:iCs w:val="false"/>
        </w:rPr>
        <w:t xml:space="preserve"> и S</w:t>
      </w:r>
      <w:r>
        <w:rPr>
          <w:rFonts w:eastAsia="Liberation Serif" w:cs="Liberation Serif" w:ascii="Times New Roman" w:hAnsi="Times New Roman"/>
          <w:i w:val="false"/>
          <w:iCs w:val="false"/>
        </w:rPr>
        <w:t>₂</w:t>
      </w:r>
      <w:r>
        <w:rPr>
          <w:rFonts w:ascii="Times New Roman" w:hAnsi="Times New Roman"/>
          <w:i w:val="false"/>
          <w:iCs w:val="false"/>
        </w:rPr>
        <w:t xml:space="preserve"> — пути, пройденные под действием этих сил.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Золотое правило является следствием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закона сохранения механической энергии</w:t>
      </w:r>
      <w:r>
        <w:rPr>
          <w:rFonts w:ascii="Times New Roman" w:hAnsi="Times New Roman"/>
          <w:i w:val="false"/>
          <w:iCs w:val="false"/>
        </w:rPr>
        <w:t>. На практике приходится различать полезную работу A</w:t>
      </w:r>
      <w:r>
        <w:rPr>
          <w:rFonts w:eastAsia="Liberation Serif" w:cs="Liberation Serif" w:ascii="Times New Roman" w:hAnsi="Times New Roman"/>
          <w:i w:val="false"/>
          <w:iCs w:val="false"/>
        </w:rPr>
        <w:t>₁</w:t>
      </w:r>
      <w:r>
        <w:rPr>
          <w:rFonts w:ascii="Times New Roman" w:hAnsi="Times New Roman"/>
          <w:i w:val="false"/>
          <w:iCs w:val="false"/>
        </w:rPr>
        <w:t>, которую нужно совершить в идеальных условиях, и полную работу A</w:t>
      </w:r>
      <w:r>
        <w:rPr>
          <w:rFonts w:eastAsia="Liberation Serif" w:cs="Liberation Serif" w:ascii="Times New Roman" w:hAnsi="Times New Roman"/>
          <w:i w:val="false"/>
          <w:iCs w:val="false"/>
        </w:rPr>
        <w:t>₂</w:t>
      </w:r>
      <w:r>
        <w:rPr>
          <w:rFonts w:ascii="Times New Roman" w:hAnsi="Times New Roman"/>
          <w:i w:val="false"/>
          <w:iCs w:val="false"/>
        </w:rPr>
        <w:t>, которая совершается для тех же целей в реальной ситуации. Отношение полезной работы к полной называется коэффициентом полезного действия (КПД) механизма: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start"/>
        <w:rPr>
          <w:rFonts w:ascii="Times New Roman" w:hAnsi="Times New Roman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η</m:t>
          </m:r>
          <m:r>
            <m:t xml:space="preserve">=</m:t>
          </m:r>
          <m:f>
            <m:num>
              <m:r>
                <m:t xml:space="preserve">A</m:t>
              </m:r>
              <m:r>
                <m:t xml:space="preserve">₁</m:t>
              </m:r>
            </m:num>
            <m:den>
              <m:r>
                <m:t xml:space="preserve">A</m:t>
              </m:r>
              <m:r>
                <m:t xml:space="preserve">₂</m:t>
              </m:r>
            </m:den>
          </m:f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В реальности часть энергии теряется на трение, поэтому КПД &lt; 100%.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ab/>
        <w:t>2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Простейшие механизмы — приспособления, которые дают возможность тратить меньше энергии на выполнение работы и делать ее с большей скоростью и эффективностью. Для большей наглядности «золотого правила механики» будут рассмотрены 5 простейших механизмов: рычаг, наклонная плоскость, блоки, ворот и винт.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ab/>
        <w:t>2.1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Рычаг - это твёрдое тело, которое может вращаться вокруг неподвижной оси.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Основные части: точка опоры и сам рычаг.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Точка О — ось вращения, АВ — рычаг, к концам которого приложены силы F</w:t>
      </w:r>
      <w:r>
        <w:rPr>
          <w:rFonts w:eastAsia="Liberation Serif" w:cs="Liberation Serif" w:ascii="Times New Roman" w:hAnsi="Times New Roman"/>
          <w:i w:val="false"/>
          <w:iCs w:val="false"/>
        </w:rPr>
        <w:t>₁</w:t>
      </w:r>
      <w:r>
        <w:rPr>
          <w:rFonts w:eastAsia="Noto Serif CJK SC" w:cs="Noto Sans Devanagari" w:ascii="Times New Roman" w:hAnsi="Times New Roman"/>
          <w:i w:val="false"/>
          <w:iCs w:val="false"/>
        </w:rPr>
        <w:t xml:space="preserve"> и F</w:t>
      </w:r>
      <w:r>
        <w:rPr>
          <w:rFonts w:eastAsia="Liberation Serif" w:cs="Liberation Serif" w:ascii="Times New Roman" w:hAnsi="Times New Roman"/>
          <w:i w:val="false"/>
          <w:iCs w:val="false"/>
        </w:rPr>
        <w:t>₂, плечи этих сил — l₁ и l₂. Условие равновесия рычага даётся правилом моментов: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₁</m:t>
        </m:r>
        <m:r>
          <m:t xml:space="preserve">⋅</m:t>
        </m:r>
        <m:r>
          <m:t xml:space="preserve">l</m:t>
        </m:r>
        <m:r>
          <m:t xml:space="preserve">₁</m:t>
        </m:r>
        <m:r>
          <m:t xml:space="preserve">=</m:t>
        </m:r>
        <m:r>
          <m:t xml:space="preserve">F</m:t>
        </m:r>
        <m:r>
          <m:t xml:space="preserve">₂</m:t>
        </m:r>
        <m:r>
          <m:t xml:space="preserve">⋅</m:t>
        </m:r>
        <m:r>
          <m:t xml:space="preserve">l</m:t>
        </m:r>
        <m:r>
          <m:t xml:space="preserve">₂</m:t>
        </m:r>
      </m:oMath>
      <w:r>
        <w:rPr/>
        <w:t>;</w:t>
      </w:r>
      <w:r>
        <w:rPr>
          <w:rFonts w:eastAsia="Liberation Serif" w:cs="Liberation Serif" w:ascii="Times New Roman" w:hAnsi="Times New Roman"/>
          <w:i w:val="false"/>
          <w:iCs w:val="false"/>
        </w:rPr>
        <w:t xml:space="preserve"> </w:t>
      </w:r>
      <w:r>
        <w:rPr/>
      </w:r>
      <m:oMath xmlns:m="http://schemas.openxmlformats.org/officeDocument/2006/math">
        <m:f>
          <m:num>
            <m:r>
              <m:t xml:space="preserve">F</m:t>
            </m:r>
            <m:r>
              <m:t xml:space="preserve">₁</m:t>
            </m:r>
          </m:num>
          <m:den>
            <m:r>
              <m:t xml:space="preserve">F</m:t>
            </m:r>
            <m:r>
              <m:t xml:space="preserve">₂</m:t>
            </m:r>
          </m:den>
        </m:f>
        <m:r>
          <m:t xml:space="preserve">=</m:t>
        </m:r>
        <m:f>
          <m:num>
            <m:r>
              <m:t xml:space="preserve">l</m:t>
            </m:r>
            <m:r>
              <m:t xml:space="preserve">₂</m:t>
            </m:r>
          </m:num>
          <m:den>
            <m:r>
              <m:t xml:space="preserve">l</m:t>
            </m:r>
            <m:r>
              <m:t xml:space="preserve">₁</m:t>
            </m:r>
          </m:den>
        </m:f>
      </m:oMath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Liberation Serif" w:cs="Liberation Serif" w:ascii="Times New Roman" w:hAnsi="Times New Roman"/>
          <w:i w:val="false"/>
          <w:iCs w:val="false"/>
        </w:rPr>
        <w:t>Значит, рычаг даёт выигрыш в силе во столько раз, во сколько большее плечо длиннее меньшего.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Liberation Serif" w:cs="Liberation Serif" w:ascii="Times New Roman" w:hAnsi="Times New Roman"/>
          <w:i w:val="false"/>
          <w:iCs w:val="false"/>
        </w:rPr>
        <w:t>Существует 2 типа рычагов: рычаг первого и второго рода. В рычаге первого рода действующие силы приложены с разных сторон от точки опоры, а в рычаге второго рода — по одну сторону.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Liberation Serif" w:cs="Liberation Serif" w:ascii="Times New Roman" w:hAnsi="Times New Roman"/>
          <w:i w:val="false"/>
          <w:iCs w:val="false"/>
        </w:rPr>
        <w:t>Примеры рычагов 1-го рода: ножницы, плоскогубцы, гвоздодёр.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ab/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/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/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ab/>
        <w:t>2.2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>Наклонная плоскость — это ровная плоская поверхность, расположенная под некоторым углом к горизонту.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Так как груз движется без ускорения, то сумма всех векторов действующих на него сил равна нулю: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m</m:t>
          </m:r>
          <m:r>
            <m:t xml:space="preserve">⋅</m:t>
          </m:r>
          <m:acc>
            <m:accPr>
              <m:chr m:val="⃗"/>
            </m:accPr>
            <m:e>
              <m:r>
                <m:t xml:space="preserve">g</m:t>
              </m:r>
            </m:e>
          </m:acc>
          <m:r>
            <m:t xml:space="preserve">+</m:t>
          </m:r>
          <m:acc>
            <m:accPr>
              <m:chr m:val="⃗"/>
            </m:accPr>
            <m:e>
              <m:r>
                <m:t xml:space="preserve">N</m:t>
              </m:r>
            </m:e>
          </m:acc>
          <m:r>
            <m:t xml:space="preserve">+</m:t>
          </m:r>
          <m:acc>
            <m:accPr>
              <m:chr m:val="⃗"/>
            </m:accPr>
            <m:e>
              <m:r>
                <m:t xml:space="preserve">F</m:t>
              </m:r>
            </m:e>
          </m:acc>
          <m:r>
            <m:t xml:space="preserve">=</m:t>
          </m:r>
          <m:acc>
            <m:accPr>
              <m:chr m:val="⃗"/>
            </m:accPr>
            <m:e>
              <m:r>
                <m:t xml:space="preserve">0</m:t>
              </m:r>
            </m:e>
          </m:acc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где: </w:t>
      </w:r>
      <w:r>
        <w:rPr/>
      </w:r>
      <m:oMath xmlns:m="http://schemas.openxmlformats.org/officeDocument/2006/math">
        <m:r>
          <m:t xml:space="preserve">m</m:t>
        </m:r>
        <m:r>
          <m:t xml:space="preserve">⋅</m:t>
        </m:r>
        <m:acc>
          <m:accPr>
            <m:chr m:val="⃗"/>
          </m:accPr>
          <m:e>
            <m:r>
              <m:t xml:space="preserve">g</m:t>
            </m:r>
          </m:e>
        </m:acc>
      </m:oMath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— сила тяжести,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N</m:t>
            </m:r>
          </m:e>
        </m:acc>
      </m:oMath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— сила реакции опоры,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F</m:t>
            </m:r>
          </m:e>
        </m:acc>
      </m:oMath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— прикладываемая сила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Проектируя на ось X: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/>
      </w:r>
      <m:oMath xmlns:m="http://schemas.openxmlformats.org/officeDocument/2006/math">
        <m:r>
          <m:t xml:space="preserve">−</m:t>
        </m:r>
        <m:r>
          <m:t xml:space="preserve">m</m:t>
        </m:r>
        <m:r>
          <m:t xml:space="preserve">⋅</m:t>
        </m:r>
        <m:r>
          <m:t xml:space="preserve">g</m:t>
        </m:r>
        <m:r>
          <m:t xml:space="preserve">⋅</m:t>
        </m:r>
        <m:r>
          <m:t xml:space="preserve">sin</m:t>
        </m:r>
        <m:r>
          <m:t xml:space="preserve">α</m:t>
        </m:r>
        <m:r>
          <m:t xml:space="preserve">+</m:t>
        </m:r>
        <m:r>
          <m:t xml:space="preserve">F</m:t>
        </m:r>
        <m:r>
          <m:t xml:space="preserve">=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, следовательно, </w:t>
      </w:r>
      <w:r>
        <w:rPr/>
      </w:r>
      <m:oMath xmlns:m="http://schemas.openxmlformats.org/officeDocument/2006/math">
        <m:r>
          <m:t xml:space="preserve">F</m:t>
        </m:r>
        <m:r>
          <m:t xml:space="preserve">=</m:t>
        </m:r>
        <m:r>
          <m:t xml:space="preserve">m</m:t>
        </m:r>
        <m:r>
          <m:t xml:space="preserve">⋅</m:t>
        </m:r>
        <m:r>
          <m:t xml:space="preserve">g</m:t>
        </m:r>
        <m:r>
          <m:t xml:space="preserve">⋅</m:t>
        </m:r>
        <m:r>
          <m:t xml:space="preserve">sin</m:t>
        </m:r>
        <m:r>
          <m:t xml:space="preserve">α</m:t>
        </m:r>
      </m:oMath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Так как sin </w:t>
      </w: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α &lt; 1, то всегда F &lt; mg. Наклонная плоскость даёт выигрыш в силе, и тем больший, чем меньше угол α. Математический вид: (где h — высота наклонной плоскости, l — длина наклонной плоскости):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F</m:t>
              </m:r>
            </m:num>
            <m:den>
              <m:r>
                <m:t xml:space="preserve">m</m:t>
              </m:r>
              <m:r>
                <m:t xml:space="preserve">⋅</m:t>
              </m:r>
              <m:r>
                <m:t xml:space="preserve">g</m:t>
              </m:r>
            </m:den>
          </m:f>
          <m:r>
            <m:t xml:space="preserve">=</m:t>
          </m:r>
          <m:f>
            <m:num>
              <m:r>
                <m:t xml:space="preserve">h</m:t>
              </m:r>
            </m:num>
            <m:den>
              <m:r>
                <m:t xml:space="preserve">l</m:t>
              </m:r>
            </m:den>
          </m:f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Пример наклонных плоскостей: погрузочные рампы.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2.3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Блоки — одна из разновидностей рычага. Он представляет собой укреплённое в обойме колесо с жёлобом, по которому пропущена верёвка. Существует 2 вида блоков: подвижный и неподвижный.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2.3.1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У неподвижного блока неподвижная ось вращения, проходящая через точку О. Вес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P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 приложен к точке D. В точке C приложена сила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F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. Плечо силы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F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 (OA) равно радиусу блока. Плечо веса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P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 (OB) тоже равно радиусу блока. Значит, неподвижный блок является равноплечим рычагом и не даёт выигрыша ни в силе, ни в расстоянии. Он полезен тем, что позволяет изменить направление усилия в системе блоков.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2.3.2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У подвижного блока ось перемещается вместе с грузом, подвешенным на нити. В данный момент времени неподвижной является точка A, вокруг неё поворачивается блок. Вес груза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P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 приложен в точке D. Плечо силы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P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 (AO) равно радиусу блока, а плечо силы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t xml:space="preserve">F</m:t>
            </m:r>
          </m:e>
        </m:acc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, с которой мы тянем за нить, оказывается в два раза больше: оно равно (AB) диаметру блока. Значит, условием равновесия груза является равенство </w:t>
      </w:r>
      <w:r>
        <w:rPr/>
      </w:r>
      <m:oMath xmlns:m="http://schemas.openxmlformats.org/officeDocument/2006/math">
        <m:r>
          <m:t xml:space="preserve">F</m:t>
        </m:r>
        <m:r>
          <m:t xml:space="preserve">=</m:t>
        </m:r>
        <m:f>
          <m:num>
            <m:r>
              <m:t xml:space="preserve">P</m:t>
            </m:r>
          </m:num>
          <m:den>
            <m:r>
              <m:t xml:space="preserve">2</m:t>
            </m:r>
          </m:den>
        </m:f>
      </m:oMath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. Следовательно, подвижный блок даёт выигрыш в силе в два раза.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2.3.3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Система блоков (полиспаст) — комбинация неподвижных и подвижных блоков. Его выигрыш в силе напрямую зависит от количества подвижных блоков в нём.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>Примеры: грузоподъёмные механизмы, с</w:t>
      </w:r>
      <w:r>
        <w:rPr>
          <w:rFonts w:eastAsia="Noto Serif CJK SC" w:cs="Noto Sans Devanagari" w:ascii="Times New Roman" w:hAnsi="Times New Roman"/>
          <w:i w:val="false"/>
          <w:iCs w:val="false"/>
        </w:rPr>
        <w:t>удовые такелажные системы.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2.4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Ворот — ещё одна разновидность рычага. Ворот </w:t>
      </w:r>
      <w:r>
        <w:rPr>
          <w:rFonts w:eastAsia="Noto Serif CJK SC" w:cs="Noto Sans Devanagari" w:ascii="Times New Roman" w:hAnsi="Times New Roman"/>
          <w:i w:val="false"/>
          <w:iCs w:val="false"/>
        </w:rPr>
        <w:t>состоит из цилиндра с прикреплённой к нему рукояткой.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i w:val="false"/>
          <w:iCs w:val="false"/>
        </w:rPr>
        <w:t>На рисунке плечами сил F</w:t>
      </w:r>
      <w:r>
        <w:rPr>
          <w:rFonts w:eastAsia="Liberation Serif" w:cs="Liberation Serif" w:ascii="Times New Roman" w:hAnsi="Times New Roman"/>
          <w:i w:val="false"/>
          <w:iCs w:val="false"/>
        </w:rPr>
        <w:t>₁</w:t>
      </w:r>
      <w:r>
        <w:rPr>
          <w:rFonts w:eastAsia="Noto Serif CJK SC" w:cs="Noto Sans Devanagari" w:ascii="Times New Roman" w:hAnsi="Times New Roman"/>
          <w:i w:val="false"/>
          <w:iCs w:val="false"/>
        </w:rPr>
        <w:t xml:space="preserve"> и F</w:t>
      </w:r>
      <w:r>
        <w:rPr>
          <w:rFonts w:eastAsia="Liberation Serif" w:cs="Liberation Serif" w:ascii="Times New Roman" w:hAnsi="Times New Roman"/>
          <w:i w:val="false"/>
          <w:iCs w:val="false"/>
        </w:rPr>
        <w:t>₂</w:t>
      </w:r>
      <w:r>
        <w:rPr>
          <w:rFonts w:eastAsia="Noto Serif CJK SC" w:cs="Noto Sans Devanagari" w:ascii="Times New Roman" w:hAnsi="Times New Roman"/>
          <w:i w:val="false"/>
          <w:iCs w:val="false"/>
        </w:rPr>
        <w:t xml:space="preserve"> являются соответственно радиусы r и R, по которым вместе с воротом «вращаются» точки приложения сил. По условию равновесия рычага: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start"/>
        <w:rPr>
          <w:rFonts w:ascii="Times New Roman" w:hAnsi="Times New Roman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F</m:t>
              </m:r>
              <m:r>
                <m:t xml:space="preserve">₁</m:t>
              </m:r>
            </m:num>
            <m:den>
              <m:r>
                <m:t xml:space="preserve">F</m:t>
              </m:r>
              <m:r>
                <m:t xml:space="preserve">₂</m:t>
              </m:r>
            </m:den>
          </m:f>
          <m:r>
            <m:t xml:space="preserve">=</m:t>
          </m:r>
          <m:f>
            <m:num>
              <m:r>
                <m:t xml:space="preserve">R</m:t>
              </m:r>
            </m:num>
            <m:den>
              <m:r>
                <m:t xml:space="preserve">r</m:t>
              </m:r>
            </m:den>
          </m:f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i w:val="false"/>
          <w:iCs w:val="false"/>
        </w:rPr>
        <w:t>Также примером ворота может послужить отвёртка, которая тоже является цилиндром с прикреплённой к нему рукояткой. При вращении отвёртки мы получаем выигрыш в силе, равный отношению радиуса рукоятки к радиусу стержня.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>2.5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 xml:space="preserve">Изобретение винта приписывается Архимеду. Винт представляет собой </w:t>
      </w:r>
      <w:r>
        <w:rPr>
          <w:rFonts w:eastAsia="Noto Serif CJK SC" w:cs="Noto Sans Devanagari" w:ascii="Times New Roman" w:hAnsi="Times New Roman"/>
          <w:i w:val="false"/>
          <w:iCs w:val="false"/>
        </w:rPr>
        <w:t>спираль с очень крупной резьбой, помещённая внутрь цилиндра.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i w:val="false"/>
          <w:iCs w:val="false"/>
        </w:rPr>
        <w:t>Винт чаще всего используется как приспособление для получения выигрыша в силе, поскольку резьба – это наклонная плоскость.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i w:val="false"/>
          <w:iCs w:val="false"/>
        </w:rPr>
        <w:t xml:space="preserve">Пусть наклонную плоскость высотой h и длиной l «обмотали» вокруг цилиндра. Когда гайку поворачивают, она движется по наклонной плоскости. 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i w:val="false"/>
          <w:iCs w:val="false"/>
        </w:rPr>
        <w:t xml:space="preserve">Выигрыш в силе </w:t>
      </w:r>
      <w:r>
        <w:rPr/>
      </w:r>
      <m:oMath xmlns:m="http://schemas.openxmlformats.org/officeDocument/2006/math">
        <m:f>
          <m:num>
            <m:r>
              <m:t xml:space="preserve">F</m:t>
            </m:r>
            <m:r>
              <m:t xml:space="preserve">₁</m:t>
            </m:r>
          </m:num>
          <m:den>
            <m:r>
              <m:t xml:space="preserve">F</m:t>
            </m:r>
            <m:r>
              <m:t xml:space="preserve">₂</m:t>
            </m:r>
          </m:den>
        </m:f>
      </m:oMath>
      <w:r>
        <w:rPr>
          <w:rFonts w:eastAsia="Noto Serif CJK SC" w:cs="Noto Sans Devanagari" w:ascii="Times New Roman" w:hAnsi="Times New Roman"/>
          <w:i w:val="false"/>
          <w:iCs w:val="false"/>
        </w:rPr>
        <w:t xml:space="preserve"> оказывается равным </w:t>
      </w:r>
      <w:r>
        <w:rPr/>
      </w:r>
      <m:oMath xmlns:m="http://schemas.openxmlformats.org/officeDocument/2006/math">
        <m:f>
          <m:num>
            <m:r>
              <m:t xml:space="preserve">l</m:t>
            </m:r>
          </m:num>
          <m:den>
            <m:r>
              <m:t xml:space="preserve">h</m:t>
            </m:r>
          </m:den>
        </m:f>
      </m:oMath>
      <w:r>
        <w:rPr>
          <w:rFonts w:eastAsia="Noto Serif CJK SC" w:cs="Noto Sans Devanagari" w:ascii="Times New Roman" w:hAnsi="Times New Roman"/>
          <w:i w:val="false"/>
          <w:iCs w:val="false"/>
        </w:rPr>
        <w:t xml:space="preserve">, так как это отношение расстояния h, на которое перемещается нагрузка, к расстоянию l, проходимому точкой приложения усилия. Поскольку гипотенуза всегда больше катета, наклонная плоскость даёт выигрыш в силе. 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Применение: </w:t>
      </w:r>
      <w:r>
        <w:rPr>
          <w:rFonts w:eastAsia="Noto Serif CJK SC" w:cs="Noto Sans Devanagari" w:ascii="Times New Roman" w:hAnsi="Times New Roman"/>
          <w:i w:val="false"/>
          <w:iCs w:val="false"/>
        </w:rPr>
        <w:t>поместив один конец цилиндра в воду, а другой расположив выше, жидкость подавали на более высокий уровень, приводя винт во вращение.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eastAsia="Noto Serif CJK SC" w:cs="Noto Sans Devanagari" w:ascii="Times New Roman" w:hAnsi="Times New Roman"/>
          <w:b/>
          <w:bCs/>
          <w:i w:val="false"/>
          <w:iCs w:val="false"/>
        </w:rPr>
        <w:tab/>
        <w:t>Заключение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/>
      </w:pPr>
      <w:r>
        <w:rPr>
          <w:rFonts w:eastAsia="Noto Serif CJK SC" w:cs="Noto Sans Devanagari" w:ascii="Times New Roman" w:hAnsi="Times New Roman"/>
          <w:b w:val="false"/>
          <w:bCs w:val="false"/>
          <w:i w:val="false"/>
          <w:iCs w:val="false"/>
        </w:rPr>
        <w:tab/>
        <w:t>«</w:t>
      </w:r>
      <w:r>
        <w:rPr>
          <w:rStyle w:val="Emphasis"/>
          <w:rFonts w:eastAsia="Noto Serif CJK SC" w:cs="Noto Sans Devanagari" w:ascii="Times New Roman" w:hAnsi="Times New Roman"/>
          <w:i w:val="false"/>
          <w:iCs w:val="false"/>
        </w:rPr>
        <w:t>Золотое правило механики» — это связь между применением простых механизмов и законом сохранения энергии. Оно показывает, что невозможно получить выигрыш в силе без компенсации в расстоянии, и наоборот. Также оно подтверждает, что механизмы не создают энергию, а лишь преобразуют её форму.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Style w:val="Emphasis"/>
          <w:rFonts w:eastAsia="Noto Serif CJK SC" w:cs="Noto Sans Devanagari" w:ascii="Times New Roman" w:hAnsi="Times New Roman"/>
          <w:i w:val="false"/>
          <w:iCs w:val="false"/>
        </w:rPr>
        <w:t>Тема «золотого правила механики» актуальна по сей день, ведь оно является основой для большинства инженерных изобретений, помогает экономить энергию и наглядно демонстрирует как законы физики упрощают жизнь. Это правило применяется в робототехнике (в манипуляторах роботов для точного управления силой), строительстве (современные краны и подъёмники), быту (ножницы, домкраты, открывашки), сфере транспорта (наклонные плоскости в виде серпантинов и пандусов).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Style w:val="Emphasis"/>
          <w:rFonts w:eastAsia="Noto Serif CJK SC" w:cs="Noto Sans Devanagari" w:ascii="Times New Roman" w:hAnsi="Times New Roman"/>
          <w:i w:val="false"/>
          <w:iCs w:val="false"/>
        </w:rPr>
        <w:t xml:space="preserve">Среди современных направлений, можно отметить нанотехнологии (исследования в области молекулярных машин (Нобелевская премия 2016 года) показывают, что золотое правило работает даже на микроуровне) </w:t>
      </w:r>
      <w:r>
        <w:rPr>
          <w:rStyle w:val="Emphasis"/>
          <w:rFonts w:eastAsia="Noto Serif CJK SC" w:cs="Noto Sans Devanagari" w:ascii="Times New Roman" w:hAnsi="Times New Roman"/>
          <w:i w:val="false"/>
          <w:iCs w:val="false"/>
        </w:rPr>
        <w:t>и</w:t>
      </w:r>
      <w:r>
        <w:rPr>
          <w:rStyle w:val="Emphasis"/>
          <w:rFonts w:eastAsia="Noto Serif CJK SC" w:cs="Noto Sans Devanagari" w:ascii="Times New Roman" w:hAnsi="Times New Roman"/>
          <w:i w:val="false"/>
          <w:iCs w:val="false"/>
        </w:rPr>
        <w:t xml:space="preserve"> бионику (протезы и экзоскелеты используют принцип рычага для усиления человеческих возможностей).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1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  <w:jc w:val="start"/>
    </w:pPr>
    <w:rPr>
      <w:rFonts w:eastAsia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1097</TotalTime>
  <Application>LibreOffice/24.2.7.2$Linux_X86_64 LibreOffice_project/420$Build-2</Application>
  <AppVersion>15.0000</AppVersion>
  <Pages>3</Pages>
  <Words>961</Words>
  <Characters>5750</Characters>
  <CharactersWithSpaces>6690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2025-03-26T12:29:22Z</dcterms:created>
  <dc:creator/>
  <dc:description/>
  <dc:language>ru-RU</dc:language>
  <cp:lastModifiedBy/>
  <dcterms:modified xsi:type="dcterms:W3CDTF">2025-05-22T00:46:21Z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