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jc w:val="center"/>
      </w:pPr>
      <w:r>
        <w:t>Искусственный интеллект в креативных технологиях</w:t>
      </w:r>
    </w:p>
    <w:p>
      <w:pPr>
        <w:pStyle w:val="Title"/>
        <w:jc w:val="center"/>
      </w:pPr>
      <w:r>
        <w:t>Лабораторная работа 2</w:t>
        <w:br/>
        <w:t>Карточка модели лицензии происхождение данных и анализ рисков</w:t>
      </w:r>
    </w:p>
    <w:p>
      <w:pPr>
        <w:spacing w:after="1100"/>
        <w:jc w:val="center"/>
      </w:pPr>
      <w:r>
        <w:t>Отчёт по варианту 3</w:t>
      </w:r>
    </w:p>
    <w:p>
      <w:pPr>
        <w:jc w:val="center"/>
      </w:pPr>
      <w:r>
        <w:t>Выполнил Власюк Данил Витальевич</w:t>
      </w:r>
    </w:p>
    <w:p>
      <w:pPr>
        <w:jc w:val="center"/>
      </w:pPr>
      <w:r>
        <w:t>Группа Т26ИИКТ-МИК11</w:t>
      </w:r>
    </w:p>
    <w:p>
      <w:pPr>
        <w:jc w:val="center"/>
      </w:pPr>
      <w:r>
        <w:t>Сценарий коммерческая афиша фестиваля</w:t>
      </w:r>
    </w:p>
    <w:p>
      <w:pPr>
        <w:jc w:val="center"/>
      </w:pPr>
      <w:r>
        <w:t>Профиль лицензии NoDerivatives</w:t>
      </w:r>
    </w:p>
    <w:p>
      <w:pPr>
        <w:spacing w:before="1600"/>
        <w:jc w:val="center"/>
      </w:pPr>
      <w:r>
        <w:t>07 октября 2026 года</w:t>
      </w:r>
    </w:p>
    <w:p>
      <w:pPr>
        <w:pStyle w:val="Heading1"/>
        <w:pageBreakBefore/>
      </w:pPr>
      <w:r>
        <w:t>1 Цель сценарий данные и среда</w:t>
      </w:r>
    </w:p>
    <w:p>
      <w:pPr>
        <w:jc w:val="both"/>
      </w:pPr>
      <w:r>
        <w:t>Цель работы — проверить происхождение и условия использования данных, составить паспорт набора, карточку генератора и реестр рисков. По варианту 3 выполнен аудит 12 синтетических записей: найдены 3 ошибки ND и 1 предупреждение о дубликате. По всем находкам записаны решения. После исключения 3 ND-записей и карантина item10 выборка из 8 записей даёт 0 ошибок и 0 предупреждений по учебным правилам. Реестр 7 рисков прошёл проверку RESULT: PASS.</w:t>
      </w:r>
    </w:p>
    <w:p>
      <w:pPr>
        <w:pStyle w:val="Heading2"/>
      </w:pPr>
      <w:r>
        <w:t>Задание варианта 3</w:t>
      </w:r>
    </w:p>
    <w:p>
      <w:pPr>
        <w:jc w:val="both"/>
      </w:pPr>
      <w:r>
        <w:t>Сценарий — афиша фестиваля с печатью и продажей билетов; профиль — NoDerivatives. Номер определяется как (1−1)×6+3=3. Политика сохранена без изменения: commercial_use=true, redistribution=true, derivatives=true, share_alike_acceptable=false. Для реестра обязательны Intellectual Property и Information Integrity.</w:t>
      </w:r>
    </w:p>
    <w:p>
      <w:pPr>
        <w:jc w:val="both"/>
      </w:pPr>
      <w:r>
        <w:t>Критерии выполнения: ожидания до аудита; решения для 100 % находок, включая предупреждения; паспорт с 7 и карточка с 9 заполненными разделами; не менее 5 рисков и 4 категорий; проверка PASS; разделение инженерных и юридических вопросов.</w:t>
      </w:r>
    </w:p>
    <w:p>
      <w:pPr>
        <w:pStyle w:val="Heading2"/>
      </w:pPr>
      <w:r>
        <w:t>Предварительные ожидания</w:t>
      </w:r>
    </w:p>
    <w:p>
      <w:pPr>
        <w:jc w:val="both"/>
      </w:pPr>
      <w:r>
        <w:t>07.10.2026 в 19:38:09 MSK до первого аудита сохранён reports/expectations_before_audit.md. По коду генератора ожидались 3 ошибки R4 для ND и одно фоновое предупреждение R8, R9 либо R10; R3, R5, R6 и R7 не ожидались. Конкретные объекты не прогнозировались. После запуска подтверждены три R4 и одно R9; остальные ожидаемые отсутствия срабатываний также подтверждены.</w:t>
      </w:r>
    </w:p>
    <w:p>
      <w:pPr>
        <w:pStyle w:val="Heading2"/>
      </w:pPr>
      <w:r>
        <w:t>Происхождение данных</w:t>
      </w:r>
    </w:p>
    <w:p>
      <w:pPr>
        <w:jc w:val="both"/>
      </w:pPr>
      <w:r>
        <w:t>Вход создан штатным lab02_make_variant.py для варианта 3. Файлы медиа отсутствуют: имена, источники example.org, даты и правообладатели условны. SHA-256 — хеши строк, один из которых продублирован намеренно. Работа анализирует метаданные и политику; права на реальные материалы таким способом не подтверждаются. Результаты ЛР 1 взяты из собственного сохранённого паспорта варианта 3 от 24.09.2026.</w:t>
      </w:r>
    </w:p>
    <w:p>
      <w:pPr>
        <w:pStyle w:val="Heading2"/>
      </w:pPr>
      <w:r>
        <w:t>Среда выполнения ЛР 2</w:t>
      </w:r>
    </w:p>
    <w:p>
      <w:pPr>
        <w:jc w:val="both"/>
      </w:pPr>
      <w:r>
        <w:t>Фактически использованы CPython 3.12.14, macOS-26.0.1-arm64-arm-64bit. Пять учебных скриптов используют стандартную библиотеку. Для оформления отчёта применён python-docx из рабочего runtime; это не зависимость аудита. Версии, команды, коды завершения и выводы сохранены в reports/environment.json и reports/run_log.json. Версии среды ЛР 1 приведены отдельно в карточке модели и не подменяются текущими.</w:t>
      </w:r>
    </w:p>
    <w:p>
      <w:pPr>
        <w:pStyle w:val="Heading1"/>
        <w:pageBreakBefore/>
      </w:pPr>
      <w:r>
        <w:t>2 Результаты аудита и решения</w:t>
      </w:r>
    </w:p>
    <w:p>
      <w:pPr>
        <w:jc w:val="both"/>
      </w:pPr>
      <w:r>
        <w:t>Исходный набор содержит 12 записей. Получены 3 ошибки R4 и 1 предупреждение R9. Решения охватывают все 4 находки.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7"/>
        <w:gridCol w:w="794"/>
        <w:gridCol w:w="1361"/>
        <w:gridCol w:w="964"/>
        <w:gridCol w:w="6066"/>
      </w:tblGrid>
      <w:tr>
        <w:trPr>
          <w:cantSplit/>
          <w:tblHeader/>
        </w:trPr>
        <w:tc>
          <w:tcPr>
            <w:tcW w:type="dxa" w:w="397"/>
            <w:vAlign w:val="center"/>
            <w:tcMar>
              <w:top w:w="80" w:type="dxa"/>
              <w:bottom w:w="80" w:type="dxa"/>
              <w:left w:w="80" w:type="dxa"/>
              <w:right w:w="80" w:type="dxa"/>
            </w:tcMar>
            <w:shd w:fill="E8EDF3"/>
          </w:tcPr>
          <w:p>
            <w:pPr>
              <w:spacing w:after="60" w:before="60" w:line="252" w:lineRule="auto"/>
              <w:jc w:val="center"/>
            </w:pPr>
            <w:r>
              <w:rPr>
                <w:b/>
                <w:sz w:val="21"/>
              </w:rPr>
              <w:t>№</w:t>
            </w:r>
          </w:p>
        </w:tc>
        <w:tc>
          <w:tcPr>
            <w:tcW w:type="dxa" w:w="794"/>
            <w:vAlign w:val="center"/>
            <w:tcMar>
              <w:top w:w="80" w:type="dxa"/>
              <w:bottom w:w="80" w:type="dxa"/>
              <w:left w:w="80" w:type="dxa"/>
              <w:right w:w="80" w:type="dxa"/>
            </w:tcMar>
            <w:shd w:fill="E8EDF3"/>
          </w:tcPr>
          <w:p>
            <w:pPr>
              <w:spacing w:after="60" w:before="60" w:line="252" w:lineRule="auto"/>
              <w:jc w:val="left"/>
            </w:pPr>
            <w:r>
              <w:rPr>
                <w:b/>
                <w:sz w:val="21"/>
              </w:rPr>
              <w:t>Правило</w:t>
            </w:r>
          </w:p>
        </w:tc>
        <w:tc>
          <w:tcPr>
            <w:tcW w:type="dxa" w:w="1361"/>
            <w:vAlign w:val="center"/>
            <w:tcMar>
              <w:top w:w="80" w:type="dxa"/>
              <w:bottom w:w="80" w:type="dxa"/>
              <w:left w:w="80" w:type="dxa"/>
              <w:right w:w="80" w:type="dxa"/>
            </w:tcMar>
            <w:shd w:fill="E8EDF3"/>
          </w:tcPr>
          <w:p>
            <w:pPr>
              <w:spacing w:after="60" w:before="60" w:line="252" w:lineRule="auto"/>
              <w:jc w:val="left"/>
            </w:pPr>
            <w:r>
              <w:rPr>
                <w:b/>
                <w:sz w:val="21"/>
              </w:rPr>
              <w:t>Уровень</w:t>
            </w:r>
          </w:p>
        </w:tc>
        <w:tc>
          <w:tcPr>
            <w:tcW w:type="dxa" w:w="964"/>
            <w:vAlign w:val="center"/>
            <w:tcMar>
              <w:top w:w="80" w:type="dxa"/>
              <w:bottom w:w="80" w:type="dxa"/>
              <w:left w:w="80" w:type="dxa"/>
              <w:right w:w="80" w:type="dxa"/>
            </w:tcMar>
            <w:shd w:fill="E8EDF3"/>
          </w:tcPr>
          <w:p>
            <w:pPr>
              <w:spacing w:after="60" w:before="60" w:line="252" w:lineRule="auto"/>
              <w:jc w:val="left"/>
            </w:pPr>
            <w:r>
              <w:rPr>
                <w:b/>
                <w:sz w:val="21"/>
              </w:rPr>
              <w:t>Объект</w:t>
            </w:r>
          </w:p>
        </w:tc>
        <w:tc>
          <w:tcPr>
            <w:tcW w:type="dxa" w:w="6066"/>
            <w:vAlign w:val="center"/>
            <w:tcMar>
              <w:top w:w="80" w:type="dxa"/>
              <w:bottom w:w="80" w:type="dxa"/>
              <w:left w:w="80" w:type="dxa"/>
              <w:right w:w="80" w:type="dxa"/>
            </w:tcMar>
            <w:shd w:fill="E8EDF3"/>
          </w:tcPr>
          <w:p>
            <w:pPr>
              <w:spacing w:after="60" w:before="60" w:line="252" w:lineRule="auto"/>
              <w:jc w:val="left"/>
            </w:pPr>
            <w:r>
              <w:rPr>
                <w:b/>
                <w:sz w:val="21"/>
              </w:rPr>
              <w:t>Находка</w:t>
            </w:r>
          </w:p>
        </w:tc>
      </w:tr>
      <w:tr>
        <w:trPr>
          <w:cantSplit/>
        </w:trPr>
        <w:tc>
          <w:tcPr>
            <w:tcW w:type="dxa" w:w="397"/>
            <w:vAlign w:val="center"/>
            <w:tcMar>
              <w:top w:w="80" w:type="dxa"/>
              <w:bottom w:w="80" w:type="dxa"/>
              <w:left w:w="80" w:type="dxa"/>
              <w:right w:w="80" w:type="dxa"/>
            </w:tcMar>
          </w:tcPr>
          <w:p>
            <w:pPr>
              <w:spacing w:after="60" w:before="60" w:line="252" w:lineRule="auto"/>
              <w:jc w:val="center"/>
            </w:pPr>
            <w:r>
              <w:rPr>
                <w:b w:val="0"/>
                <w:sz w:val="21"/>
              </w:rPr>
              <w:t>1</w:t>
            </w:r>
          </w:p>
        </w:tc>
        <w:tc>
          <w:tcPr>
            <w:tcW w:type="dxa" w:w="794"/>
            <w:vAlign w:val="center"/>
            <w:tcMar>
              <w:top w:w="80" w:type="dxa"/>
              <w:bottom w:w="80" w:type="dxa"/>
              <w:left w:w="80" w:type="dxa"/>
              <w:right w:w="80" w:type="dxa"/>
            </w:tcMar>
          </w:tcPr>
          <w:p>
            <w:pPr>
              <w:spacing w:after="60" w:before="60" w:line="252" w:lineRule="auto"/>
              <w:jc w:val="left"/>
            </w:pPr>
            <w:r>
              <w:rPr>
                <w:b w:val="0"/>
                <w:sz w:val="21"/>
              </w:rPr>
              <w:t>R4</w:t>
            </w:r>
          </w:p>
        </w:tc>
        <w:tc>
          <w:tcPr>
            <w:tcW w:type="dxa" w:w="1361"/>
            <w:vAlign w:val="center"/>
            <w:tcMar>
              <w:top w:w="80" w:type="dxa"/>
              <w:bottom w:w="80" w:type="dxa"/>
              <w:left w:w="80" w:type="dxa"/>
              <w:right w:w="80" w:type="dxa"/>
            </w:tcMar>
          </w:tcPr>
          <w:p>
            <w:pPr>
              <w:spacing w:after="60" w:before="60" w:line="252" w:lineRule="auto"/>
              <w:jc w:val="left"/>
            </w:pPr>
            <w:r>
              <w:rPr>
                <w:b w:val="0"/>
                <w:sz w:val="21"/>
              </w:rPr>
              <w:t>ошибка</w:t>
            </w:r>
          </w:p>
        </w:tc>
        <w:tc>
          <w:tcPr>
            <w:tcW w:type="dxa" w:w="964"/>
            <w:vAlign w:val="center"/>
            <w:tcMar>
              <w:top w:w="80" w:type="dxa"/>
              <w:bottom w:w="80" w:type="dxa"/>
              <w:left w:w="80" w:type="dxa"/>
              <w:right w:w="80" w:type="dxa"/>
            </w:tcMar>
          </w:tcPr>
          <w:p>
            <w:pPr>
              <w:spacing w:after="60" w:before="60" w:line="252" w:lineRule="auto"/>
              <w:jc w:val="left"/>
            </w:pPr>
            <w:r>
              <w:rPr>
                <w:b w:val="0"/>
                <w:sz w:val="21"/>
              </w:rPr>
              <w:t>item03</w:t>
            </w:r>
          </w:p>
        </w:tc>
        <w:tc>
          <w:tcPr>
            <w:tcW w:type="dxa" w:w="6066"/>
            <w:vAlign w:val="center"/>
            <w:tcMar>
              <w:top w:w="80" w:type="dxa"/>
              <w:bottom w:w="80" w:type="dxa"/>
              <w:left w:w="80" w:type="dxa"/>
              <w:right w:w="80" w:type="dxa"/>
            </w:tcMar>
          </w:tcPr>
          <w:p>
            <w:pPr>
              <w:spacing w:after="60" w:before="60" w:line="252" w:lineRule="auto"/>
              <w:jc w:val="left"/>
            </w:pPr>
            <w:r>
              <w:rPr>
                <w:b w:val="0"/>
                <w:sz w:val="21"/>
              </w:rPr>
              <w:t>CC-BY-ND-4.0: условие NoDerivatives запрещает производные, а сценарий их создаёт</w:t>
            </w:r>
          </w:p>
        </w:tc>
      </w:tr>
      <w:tr>
        <w:trPr>
          <w:cantSplit/>
        </w:trPr>
        <w:tc>
          <w:tcPr>
            <w:tcW w:type="dxa" w:w="397"/>
            <w:vAlign w:val="center"/>
            <w:tcMar>
              <w:top w:w="80" w:type="dxa"/>
              <w:bottom w:w="80" w:type="dxa"/>
              <w:left w:w="80" w:type="dxa"/>
              <w:right w:w="80" w:type="dxa"/>
            </w:tcMar>
          </w:tcPr>
          <w:p>
            <w:pPr>
              <w:spacing w:after="60" w:before="60" w:line="252" w:lineRule="auto"/>
              <w:jc w:val="center"/>
            </w:pPr>
            <w:r>
              <w:rPr>
                <w:b w:val="0"/>
                <w:sz w:val="21"/>
              </w:rPr>
              <w:t>2</w:t>
            </w:r>
          </w:p>
        </w:tc>
        <w:tc>
          <w:tcPr>
            <w:tcW w:type="dxa" w:w="794"/>
            <w:vAlign w:val="center"/>
            <w:tcMar>
              <w:top w:w="80" w:type="dxa"/>
              <w:bottom w:w="80" w:type="dxa"/>
              <w:left w:w="80" w:type="dxa"/>
              <w:right w:w="80" w:type="dxa"/>
            </w:tcMar>
          </w:tcPr>
          <w:p>
            <w:pPr>
              <w:spacing w:after="60" w:before="60" w:line="252" w:lineRule="auto"/>
              <w:jc w:val="left"/>
            </w:pPr>
            <w:r>
              <w:rPr>
                <w:b w:val="0"/>
                <w:sz w:val="21"/>
              </w:rPr>
              <w:t>R4</w:t>
            </w:r>
          </w:p>
        </w:tc>
        <w:tc>
          <w:tcPr>
            <w:tcW w:type="dxa" w:w="1361"/>
            <w:vAlign w:val="center"/>
            <w:tcMar>
              <w:top w:w="80" w:type="dxa"/>
              <w:bottom w:w="80" w:type="dxa"/>
              <w:left w:w="80" w:type="dxa"/>
              <w:right w:w="80" w:type="dxa"/>
            </w:tcMar>
          </w:tcPr>
          <w:p>
            <w:pPr>
              <w:spacing w:after="60" w:before="60" w:line="252" w:lineRule="auto"/>
              <w:jc w:val="left"/>
            </w:pPr>
            <w:r>
              <w:rPr>
                <w:b w:val="0"/>
                <w:sz w:val="21"/>
              </w:rPr>
              <w:t>ошибка</w:t>
            </w:r>
          </w:p>
        </w:tc>
        <w:tc>
          <w:tcPr>
            <w:tcW w:type="dxa" w:w="964"/>
            <w:vAlign w:val="center"/>
            <w:tcMar>
              <w:top w:w="80" w:type="dxa"/>
              <w:bottom w:w="80" w:type="dxa"/>
              <w:left w:w="80" w:type="dxa"/>
              <w:right w:w="80" w:type="dxa"/>
            </w:tcMar>
          </w:tcPr>
          <w:p>
            <w:pPr>
              <w:spacing w:after="60" w:before="60" w:line="252" w:lineRule="auto"/>
              <w:jc w:val="left"/>
            </w:pPr>
            <w:r>
              <w:rPr>
                <w:b w:val="0"/>
                <w:sz w:val="21"/>
              </w:rPr>
              <w:t>item04</w:t>
            </w:r>
          </w:p>
        </w:tc>
        <w:tc>
          <w:tcPr>
            <w:tcW w:type="dxa" w:w="6066"/>
            <w:vAlign w:val="center"/>
            <w:tcMar>
              <w:top w:w="80" w:type="dxa"/>
              <w:bottom w:w="80" w:type="dxa"/>
              <w:left w:w="80" w:type="dxa"/>
              <w:right w:w="80" w:type="dxa"/>
            </w:tcMar>
          </w:tcPr>
          <w:p>
            <w:pPr>
              <w:spacing w:after="60" w:before="60" w:line="252" w:lineRule="auto"/>
              <w:jc w:val="left"/>
            </w:pPr>
            <w:r>
              <w:rPr>
                <w:b w:val="0"/>
                <w:sz w:val="21"/>
              </w:rPr>
              <w:t>CC-BY-ND-4.0: условие NoDerivatives запрещает производные, а сценарий их создаёт</w:t>
            </w:r>
          </w:p>
        </w:tc>
      </w:tr>
      <w:tr>
        <w:trPr>
          <w:cantSplit/>
        </w:trPr>
        <w:tc>
          <w:tcPr>
            <w:tcW w:type="dxa" w:w="397"/>
            <w:vAlign w:val="center"/>
            <w:tcMar>
              <w:top w:w="80" w:type="dxa"/>
              <w:bottom w:w="80" w:type="dxa"/>
              <w:left w:w="80" w:type="dxa"/>
              <w:right w:w="80" w:type="dxa"/>
            </w:tcMar>
          </w:tcPr>
          <w:p>
            <w:pPr>
              <w:spacing w:after="60" w:before="60" w:line="252" w:lineRule="auto"/>
              <w:jc w:val="center"/>
            </w:pPr>
            <w:r>
              <w:rPr>
                <w:b w:val="0"/>
                <w:sz w:val="21"/>
              </w:rPr>
              <w:t>3</w:t>
            </w:r>
          </w:p>
        </w:tc>
        <w:tc>
          <w:tcPr>
            <w:tcW w:type="dxa" w:w="794"/>
            <w:vAlign w:val="center"/>
            <w:tcMar>
              <w:top w:w="80" w:type="dxa"/>
              <w:bottom w:w="80" w:type="dxa"/>
              <w:left w:w="80" w:type="dxa"/>
              <w:right w:w="80" w:type="dxa"/>
            </w:tcMar>
          </w:tcPr>
          <w:p>
            <w:pPr>
              <w:spacing w:after="60" w:before="60" w:line="252" w:lineRule="auto"/>
              <w:jc w:val="left"/>
            </w:pPr>
            <w:r>
              <w:rPr>
                <w:b w:val="0"/>
                <w:sz w:val="21"/>
              </w:rPr>
              <w:t>R9</w:t>
            </w:r>
          </w:p>
        </w:tc>
        <w:tc>
          <w:tcPr>
            <w:tcW w:type="dxa" w:w="1361"/>
            <w:vAlign w:val="center"/>
            <w:tcMar>
              <w:top w:w="80" w:type="dxa"/>
              <w:bottom w:w="80" w:type="dxa"/>
              <w:left w:w="80" w:type="dxa"/>
              <w:right w:w="80" w:type="dxa"/>
            </w:tcMar>
          </w:tcPr>
          <w:p>
            <w:pPr>
              <w:spacing w:after="60" w:before="60" w:line="252" w:lineRule="auto"/>
              <w:jc w:val="left"/>
            </w:pPr>
            <w:r>
              <w:rPr>
                <w:b w:val="0"/>
                <w:sz w:val="21"/>
              </w:rPr>
              <w:t>предупреждение</w:t>
            </w:r>
          </w:p>
        </w:tc>
        <w:tc>
          <w:tcPr>
            <w:tcW w:type="dxa" w:w="964"/>
            <w:vAlign w:val="center"/>
            <w:tcMar>
              <w:top w:w="80" w:type="dxa"/>
              <w:bottom w:w="80" w:type="dxa"/>
              <w:left w:w="80" w:type="dxa"/>
              <w:right w:w="80" w:type="dxa"/>
            </w:tcMar>
          </w:tcPr>
          <w:p>
            <w:pPr>
              <w:spacing w:after="60" w:before="60" w:line="252" w:lineRule="auto"/>
              <w:jc w:val="left"/>
            </w:pPr>
            <w:r>
              <w:rPr>
                <w:b w:val="0"/>
                <w:sz w:val="21"/>
              </w:rPr>
              <w:t>item10</w:t>
            </w:r>
          </w:p>
        </w:tc>
        <w:tc>
          <w:tcPr>
            <w:tcW w:type="dxa" w:w="6066"/>
            <w:vAlign w:val="center"/>
            <w:tcMar>
              <w:top w:w="80" w:type="dxa"/>
              <w:bottom w:w="80" w:type="dxa"/>
              <w:left w:w="80" w:type="dxa"/>
              <w:right w:w="80" w:type="dxa"/>
            </w:tcMar>
          </w:tcPr>
          <w:p>
            <w:pPr>
              <w:spacing w:after="60" w:before="60" w:line="252" w:lineRule="auto"/>
              <w:jc w:val="left"/>
            </w:pPr>
            <w:r>
              <w:rPr>
                <w:b w:val="0"/>
                <w:sz w:val="21"/>
              </w:rPr>
              <w:t>контрольная сумма совпадает с item01 — дубликат</w:t>
            </w:r>
          </w:p>
        </w:tc>
      </w:tr>
      <w:tr>
        <w:trPr>
          <w:cantSplit/>
        </w:trPr>
        <w:tc>
          <w:tcPr>
            <w:tcW w:type="dxa" w:w="397"/>
            <w:vAlign w:val="center"/>
            <w:tcMar>
              <w:top w:w="80" w:type="dxa"/>
              <w:bottom w:w="80" w:type="dxa"/>
              <w:left w:w="80" w:type="dxa"/>
              <w:right w:w="80" w:type="dxa"/>
            </w:tcMar>
          </w:tcPr>
          <w:p>
            <w:pPr>
              <w:spacing w:after="60" w:before="60" w:line="252" w:lineRule="auto"/>
              <w:jc w:val="center"/>
            </w:pPr>
            <w:r>
              <w:rPr>
                <w:b w:val="0"/>
                <w:sz w:val="21"/>
              </w:rPr>
              <w:t>4</w:t>
            </w:r>
          </w:p>
        </w:tc>
        <w:tc>
          <w:tcPr>
            <w:tcW w:type="dxa" w:w="794"/>
            <w:vAlign w:val="center"/>
            <w:tcMar>
              <w:top w:w="80" w:type="dxa"/>
              <w:bottom w:w="80" w:type="dxa"/>
              <w:left w:w="80" w:type="dxa"/>
              <w:right w:w="80" w:type="dxa"/>
            </w:tcMar>
          </w:tcPr>
          <w:p>
            <w:pPr>
              <w:spacing w:after="60" w:before="60" w:line="252" w:lineRule="auto"/>
              <w:jc w:val="left"/>
            </w:pPr>
            <w:r>
              <w:rPr>
                <w:b w:val="0"/>
                <w:sz w:val="21"/>
              </w:rPr>
              <w:t>R4</w:t>
            </w:r>
          </w:p>
        </w:tc>
        <w:tc>
          <w:tcPr>
            <w:tcW w:type="dxa" w:w="1361"/>
            <w:vAlign w:val="center"/>
            <w:tcMar>
              <w:top w:w="80" w:type="dxa"/>
              <w:bottom w:w="80" w:type="dxa"/>
              <w:left w:w="80" w:type="dxa"/>
              <w:right w:w="80" w:type="dxa"/>
            </w:tcMar>
          </w:tcPr>
          <w:p>
            <w:pPr>
              <w:spacing w:after="60" w:before="60" w:line="252" w:lineRule="auto"/>
              <w:jc w:val="left"/>
            </w:pPr>
            <w:r>
              <w:rPr>
                <w:b w:val="0"/>
                <w:sz w:val="21"/>
              </w:rPr>
              <w:t>ошибка</w:t>
            </w:r>
          </w:p>
        </w:tc>
        <w:tc>
          <w:tcPr>
            <w:tcW w:type="dxa" w:w="964"/>
            <w:vAlign w:val="center"/>
            <w:tcMar>
              <w:top w:w="80" w:type="dxa"/>
              <w:bottom w:w="80" w:type="dxa"/>
              <w:left w:w="80" w:type="dxa"/>
              <w:right w:w="80" w:type="dxa"/>
            </w:tcMar>
          </w:tcPr>
          <w:p>
            <w:pPr>
              <w:spacing w:after="60" w:before="60" w:line="252" w:lineRule="auto"/>
              <w:jc w:val="left"/>
            </w:pPr>
            <w:r>
              <w:rPr>
                <w:b w:val="0"/>
                <w:sz w:val="21"/>
              </w:rPr>
              <w:t>item11</w:t>
            </w:r>
          </w:p>
        </w:tc>
        <w:tc>
          <w:tcPr>
            <w:tcW w:type="dxa" w:w="6066"/>
            <w:vAlign w:val="center"/>
            <w:tcMar>
              <w:top w:w="80" w:type="dxa"/>
              <w:bottom w:w="80" w:type="dxa"/>
              <w:left w:w="80" w:type="dxa"/>
              <w:right w:w="80" w:type="dxa"/>
            </w:tcMar>
          </w:tcPr>
          <w:p>
            <w:pPr>
              <w:spacing w:after="60" w:before="60" w:line="252" w:lineRule="auto"/>
              <w:jc w:val="left"/>
            </w:pPr>
            <w:r>
              <w:rPr>
                <w:b w:val="0"/>
                <w:sz w:val="21"/>
              </w:rPr>
              <w:t>CC-BY-ND-4.0: условие NoDerivatives запрещает производные, а сценарий их создаёт</w:t>
            </w:r>
          </w:p>
        </w:tc>
      </w:tr>
    </w:tbl>
    <w:p>
      <w:pPr>
        <w:spacing w:after="0"/>
      </w:pPr>
    </w:p>
    <w:p>
      <w:pPr>
        <w:pStyle w:val="Heading2"/>
      </w:pPr>
      <w:r>
        <w:t>Решения по объектам ND</w:t>
      </w:r>
    </w:p>
    <w:p>
      <w:pPr>
        <w:jc w:val="both"/>
      </w:pPr>
      <w:r>
        <w:t>item03 — изображение, item04 — аудио, item11 — текст. Все три записи CC-BY-ND-4.0 исключены из выборки для публикуемых производных. Для item03 предполагается замена собственным процедурным фоном либо материалом CC0 или CC-BY с подтверждёнными правами; для item11 — собственным проверенным текстом. Аудио item04 для статической афиши не требуется; для будущего проморолика необходима подходящая замена или разрешение.</w:t>
      </w:r>
    </w:p>
    <w:p>
      <w:pPr>
        <w:jc w:val="both"/>
      </w:pPr>
      <w:r>
        <w:t>Альтернатива исключению — отдельное документированное разрешение правообладателя на адаптацию и коммерческую публикацию. Разрешение не запрашивалось и не получено; лицензии в manifest.csv не менялись. Использование исходного материала без адаптации возможно лишь как отдельно проверенная ветка макета с сохранением атрибуции; в данной работе она не реализована.</w:t>
      </w:r>
    </w:p>
    <w:p>
      <w:pPr>
        <w:pStyle w:val="Heading2"/>
      </w:pPr>
      <w:r>
        <w:t>Решение по предупреждению R9</w:t>
      </w:r>
    </w:p>
    <w:p>
      <w:pPr>
        <w:jc w:val="both"/>
      </w:pPr>
      <w:r>
        <w:t>item10 помещён в карантин: его SHA-256 совпадает с item01, но у item10 указаны Apache-2.0 и Автор-09, а у item01 — MIT и Автор-15. Совпадение хеша не позволяет выбрать верную лицензию и не подтверждает права. item01 сохранён только для учебной проверки. В реальном проекте обе записи пары блокируются до сравнения файлов и подтверждения происхождения. Подробные решения по всем четырём находкам сохранены в audit_decisions.json.</w:t>
      </w:r>
    </w:p>
    <w:p>
      <w:pPr>
        <w:pStyle w:val="Heading2"/>
      </w:pPr>
      <w:r>
        <w:t>Проверка после решений</w:t>
      </w:r>
    </w:p>
    <w:p>
      <w:pPr>
        <w:jc w:val="both"/>
      </w:pPr>
      <w:r>
        <w:t>В manifest_selected.csv оставлены item01, item02, item05, item06, item07, item08, item09, item12. Повторный аудит при исходной policy.json: объектов 8; ошибок 0; предупреждений 0. Исходный manifest.csv и первоначальные результаты аудита сохранены. Отсутствие находок означает соответствие записанных метаданных учебным правилам. Это не юридическая консультация и не разрешение реального выпуска.</w:t>
      </w:r>
    </w:p>
    <w:p>
      <w:pPr>
        <w:pStyle w:val="Heading1"/>
        <w:pageBreakBefore/>
      </w:pPr>
      <w:r>
        <w:t>3 Паспорт набора данных</w:t>
      </w:r>
    </w:p>
    <w:p>
      <w:pPr>
        <w:pStyle w:val="Heading2"/>
      </w:pPr>
      <w:r>
        <w:t>1 Motivation Мотивация</w:t>
      </w:r>
    </w:p>
    <w:p>
      <w:pPr>
        <w:jc w:val="both"/>
      </w:pPr>
      <w:r>
        <w:t>Набор создан для учебного аудита происхождения и условий использования медиа в коммерческой афише фестиваля. Пользователь набора — исполнитель лабораторной работы. Цель — установить конфликты метаданных с политикой, принять решения по объектам и получить прослеживаемую рабочую выборку. Набор не является источником реальных материалов для выпуска афиши.</w:t>
      </w:r>
    </w:p>
    <w:p>
      <w:pPr>
        <w:pStyle w:val="Heading2"/>
      </w:pPr>
      <w:r>
        <w:t>2 Composition Состав</w:t>
      </w:r>
    </w:p>
    <w:p>
      <w:pPr>
        <w:jc w:val="both"/>
      </w:pPr>
      <w:r>
        <w:t>Исходно 12 записей: 4 image, 4 audio, 4 text. Каждая запись содержит id, условное имя файла, media_type, source, date_acquired, license, rights_holder, personal_data, consent, sha256. Реальные PNG, WAV и TXT не приложены: генератор создаёт только CSV и JSON. SHA-256 рассчитан от строки variant3-itemNN, после чего один хеш намеренно скопирован в другую запись; это не контрольная сумма реального медиафайла.</w:t>
      </w:r>
    </w:p>
    <w:p>
      <w:pPr>
        <w:jc w:val="both"/>
      </w:pPr>
      <w:r>
        <w:t>Распределение лицензий: CC-BY-ND-4.0 — 3, CC-BY-4.0 — 3, MIT — 3, Apache-2.0 — 3. У всех 12 лицензии предполагают сохранение сведений об авторстве или лицензионных уведомлений; учебный каталог сводит эти разные обязанности к attribution. CC0 в этом варианте нет. personal_data=no и consent=n-a во всех строках; это свойства синтетического манифеста, а не результат анализа содержимого.</w:t>
      </w:r>
    </w:p>
    <w:p>
      <w:pPr>
        <w:jc w:val="both"/>
      </w:pPr>
      <w:r>
        <w:t>После решений оставлены 8 записей: item01, item02, item05, item06, item07, item08, item09, item12. Состав выборки: 3 image, 2 audio, 3 text; CC-BY-4.0 — 3, MIT — 3, Apache-2.0 — 2. Исключены 3 ND-записи; item10 помещён в карантин. Оставшиеся звуковые записи относятся к учебному мультимедийному набору и сами по себе не нужны для статической афиши.</w:t>
      </w:r>
    </w:p>
    <w:p>
      <w:pPr>
        <w:pStyle w:val="Heading2"/>
      </w:pPr>
      <w:r>
        <w:t>3 Collection Process Процесс сбора</w:t>
      </w:r>
    </w:p>
    <w:p>
      <w:pPr>
        <w:jc w:val="both"/>
      </w:pPr>
      <w:r>
        <w:t>Сбор реальных материалов не выполнялся. lab02_make_variant.py создаёт записи детерминированно: для варианта 3 используется random.Random(1003). Источники https://example.org/archive/itemNN и правообладатели Автор-NN вымышлены. Интервал условных дат в манифесте — 05.01.2026–18.08.2026; фактическое создание учебного набора выполнено 07.10.2026. Эти даты различаются по смыслу и не подменяют друг друга. Все источники, даты, лицензии и правообладатели заполнены. Реальные согласия не собирались, поскольку реальных людей и материалов нет.</w:t>
      </w:r>
    </w:p>
    <w:p>
      <w:pPr>
        <w:pStyle w:val="Heading2"/>
      </w:pPr>
      <w:r>
        <w:t>4 Preprocessing cleaning labeling Обработка и разметка</w:t>
      </w:r>
    </w:p>
    <w:p>
      <w:pPr>
        <w:jc w:val="both"/>
      </w:pPr>
      <w:r>
        <w:t>Исходный manifest.csv сохранён без изменений. Решения отражены в audit_decisions.json и selection_register.csv; рабочая выборка записана отдельно в manifest_selected.csv. item03, item04, item11 исключены по R4; item10 помещён в карантин по R9. Лицензии и авторы не исправлялись по догадке. Медиа не преобразовывались; разметка и нормализация реального содержимого не выполнялись. Повторный аудит применяется к выборке при исходной policy.json.</w:t>
      </w:r>
    </w:p>
    <w:p>
      <w:pPr>
        <w:pStyle w:val="Heading1"/>
        <w:pageBreakBefore/>
      </w:pPr>
      <w:r>
        <w:t>3 Паспорт набора данных продолжение</w:t>
      </w:r>
    </w:p>
    <w:p>
      <w:pPr>
        <w:pStyle w:val="Heading2"/>
      </w:pPr>
      <w:r>
        <w:t>5 Uses Использование</w:t>
      </w:r>
    </w:p>
    <w:p>
      <w:pPr>
        <w:jc w:val="both"/>
      </w:pPr>
      <w:r>
        <w:t>Предполагаемый сценарий: коммерческая афиша фестиваля, печать и продажа билетов, публикация и создание производных; ShareAlike для производных неприемлем. Для учебной проверки используется выборка из 8 записей. Для реального производства каждый материал нужно получить, проверить по первоисточнику и сопроводить предусмотренными уведомлениями. Набор не подходит для обучения модели, анализа людей, оценки эстетического качества или юридического подтверждения прав. Процедурный генератор ЛР 1 не обучается на этих 12 объектах.</w:t>
      </w:r>
    </w:p>
    <w:p>
      <w:pPr>
        <w:pStyle w:val="Heading2"/>
      </w:pPr>
      <w:r>
        <w:t>6 Distribution Распространение</w:t>
      </w:r>
    </w:p>
    <w:p>
      <w:pPr>
        <w:jc w:val="both"/>
      </w:pPr>
      <w:r>
        <w:t>Для лабораторной передаются манифесты и документы аудита. По заданной политике предполагается публикация набора, но публикация реальных медиа в этой работе не выполнялась. При переходе к реальным данным требуется пообъектная ведомость атрибуции и сохранение текстов лицензий и уведомлений. Для MIT сохраняется copyright notice и текст разрешения; для Apache-2.0 проверяются требования раздела 4, включая сохранение NOTICE при его наличии и обозначение изменений; для CC-BY сохраняются предусмотренные сведения об авторстве, ссылка на лицензию и сведения об изменениях. Единую лицензию всему смешанному набору не назначаю. ND-записи и карантинный объект не входят в рабочую выборку.</w:t>
      </w:r>
    </w:p>
    <w:p>
      <w:pPr>
        <w:pStyle w:val="Heading2"/>
      </w:pPr>
      <w:r>
        <w:t>7 Maintenance Сопровождение</w:t>
      </w:r>
    </w:p>
    <w:p>
      <w:pPr>
        <w:jc w:val="both"/>
      </w:pPr>
      <w:r>
        <w:t>Ответственный за учебный набор — Власюк Данил Витальевич, группа Т26ИИКТ-МИК11. При обновлении сохраняются версии манифеста, причины исключения, дата и результаты повторного аудита. Перед каждой передачей проверяются поля, дубликаты, атрибуция и политика. Запрос на удаление рассматривается ответственным: объект временно блокируется, проверяется основание, затем обновляются выборка и журнал решений. Для реального проекта до публикации должен быть назначен канал обращений; он пока не создан. Подтверждение права использования и снятие карантина выполняются только на основании документов, а не прохождения скрипта.</w:t>
      </w:r>
    </w:p>
    <w:p>
      <w:pPr>
        <w:pStyle w:val="Heading2"/>
      </w:pPr>
      <w:r>
        <w:t>Разделение объектов прав</w:t>
      </w:r>
    </w:p>
    <w:p>
      <w:pPr>
        <w:jc w:val="both"/>
      </w:pPr>
      <w:r>
        <w:t>Лицензии входных материалов записаны отдельно в манифесте. Лицензия кода генератора неизвестна и рассматривается в карточке модели. Весов нет, поэтому лицензия весов неприменима. Права на результат генерации и макет афиши не выводятся из лицензии манифеста: требуется проверить права на каждый компонент макета и условия использования кода. Эти три сущности не объединяются в одну лицензию.</w:t>
      </w:r>
    </w:p>
    <w:p>
      <w:pPr>
        <w:pStyle w:val="Heading1"/>
        <w:pageBreakBefore/>
      </w:pPr>
      <w:r>
        <w:t>4 Карточка модели</w:t>
      </w:r>
    </w:p>
    <w:p>
      <w:pPr>
        <w:pStyle w:val="Heading2"/>
      </w:pPr>
      <w:r>
        <w:t>1 Model Details Сведения о модели</w:t>
      </w:r>
    </w:p>
    <w:p>
      <w:pPr>
        <w:jc w:val="both"/>
      </w:pPr>
      <w:r>
        <w:t>Предмет карточки — lab01_generator.py версии 1.0, предоставленный в методическом комплекте ЛР 1. Это процедурный алгоритм многомасштабного шума значений со сглаженной интерполяцией, квантованием яркости и локальным random.Random(seed). Он не обучается; нейросетевых весов и лицензии весов нет. Владелец лабораторного эксперимента и ответственный за карточку — Власюк Данил Витальевич, группа Т26ИИКТ-МИК11; это не означает авторство исходного генератора.</w:t>
      </w:r>
    </w:p>
    <w:p>
      <w:pPr>
        <w:jc w:val="both"/>
      </w:pPr>
      <w:r>
        <w:t>Исходная среда эксперимента ЛР 1: CPython 3.12.12, macOS 26.0.1 arm64, zlib 1.2.12, только стандартная библиотека. Паспорт датирован 24.09.2026 13:39:56 UTC. В ЛР 2 использован сохранённый паспорт, новый эксперимент ЛР 1 не выполнялся. SHA-256 генератора: 8f07d340a5a765a8e44f1fec407489cf00114ba54216aa7539c4e7116680e152; скрипта эксперимента: 69257206dab50ef35de448b45764daad0d4f60dbc98febd8953c6faee28e06b5.</w:t>
      </w:r>
    </w:p>
    <w:p>
      <w:pPr>
        <w:jc w:val="both"/>
      </w:pPr>
      <w:r>
        <w:t>Лицензия кода в материалах ЛР 1 не указана. Самостоятельно назначать чужому коду MIT или другую лицензию нельзя. Учебное применение следует контексту предоставленного задания; возможность внешнего распространения и коммерческой интеграции требует уточнения у автора или преподавателя. Пробел документирован и ограничивает применение.</w:t>
      </w:r>
    </w:p>
    <w:p>
      <w:pPr>
        <w:pStyle w:val="Heading2"/>
      </w:pPr>
      <w:r>
        <w:t>2 Intended Use Назначение</w:t>
      </w:r>
    </w:p>
    <w:p>
      <w:pPr>
        <w:jc w:val="both"/>
      </w:pPr>
      <w:r>
        <w:t>Назначение — изучение воспроизводимости и влияния параметров на статистику текстуры, в варианте 3 — облачный фон афиши. Генератор даёт учебный фон 96 × 96 пикселей и не создаёт полный макет. Использование в печатной продукции требует проверки прав на код и результат, разрешения, читаемости заголовка и качества печати. Система не предназначена для генерации фактических сведений о фестивале, изображений людей или оценки безопасности реальных генеративных моделей.</w:t>
      </w:r>
    </w:p>
    <w:p>
      <w:pPr>
        <w:pStyle w:val="Heading2"/>
      </w:pPr>
      <w:r>
        <w:t>3 Factors Факторы</w:t>
      </w:r>
    </w:p>
    <w:p>
      <w:pPr>
        <w:jc w:val="both"/>
      </w:pPr>
      <w:r>
        <w:t>База: size=96, cell=32, octaves=4, persistence=0.5, quantize=8, interp=smooth. В изменённом условии только cell=64. Серия: seed 101–105, n=5 для каждого условия. При фиксированных параметрах и seed выход детерминирован; размер решётки, число октав, затухание, интерполяция и квантование влияют на статистику. Демографические группы не рассматриваются: генератор не использует сведения о людях.</w:t>
      </w:r>
    </w:p>
    <w:p>
      <w:pPr>
        <w:pStyle w:val="Heading2"/>
      </w:pPr>
      <w:r>
        <w:t>4 Metrics Метрики</w:t>
      </w:r>
    </w:p>
    <w:p>
      <w:pPr>
        <w:jc w:val="both"/>
      </w:pPr>
      <w:r>
        <w:t>Средняя яркость — среднее значение пикселя, делённое на 255. Контраст — стандартное отклонение яркостей внутри изображения с делителем N, также нормированное на 255. Граничная энергия — средний модуль разности горизонтальных соседей, делённый на 255; вертикальные соседи в этой реализации не учитываются. Энтропия — энтропия гистограммы 256 уровней яркости в битах. Между seed вычисляется выборочное стандартное отклонение s с делителем n−1. Критерий фактора: |Δ| &gt; 2s базы. Это учебное правило, не статистический тест и не оценка эстетики.</w:t>
      </w:r>
    </w:p>
    <w:p>
      <w:pPr>
        <w:pStyle w:val="Heading1"/>
        <w:pageBreakBefore/>
      </w:pPr>
      <w:r>
        <w:t>4 Карточка модели продолжение</w:t>
      </w:r>
    </w:p>
    <w:p>
      <w:pPr>
        <w:pStyle w:val="Heading2"/>
      </w:pPr>
      <w:r>
        <w:t>5 Evaluation Data Данные для оценки</w:t>
      </w:r>
    </w:p>
    <w:p>
      <w:pPr>
        <w:jc w:val="both"/>
      </w:pPr>
      <w:r>
        <w:t>Внешнего датасета нет. Оценены две серии по пяти изображений 96 × 96 на одинаковых seed 101–105, всего 10 изображений. Отдельно проверена воспроизводимость на последовательности 101, 101, 1101, 101. Сопоставлялись полные SHA-256 массивов пикселей. Получены EQ_1_2=true, EQ_1_4=true, EQ_1_3=false, EQ_2_4=true. Хеш первого массива: 93fae5913d79728429ddcdf533063672739fd51e5afa6a7ac243e3e6a80d290b.</w:t>
      </w:r>
    </w:p>
    <w:p>
      <w:pPr>
        <w:pStyle w:val="Heading2"/>
      </w:pPr>
      <w:r>
        <w:t>6 Training Data Обучающие данные</w:t>
      </w:r>
    </w:p>
    <w:p>
      <w:pPr>
        <w:jc w:val="both"/>
      </w:pPr>
      <w:r>
        <w:t>Обучение отсутствует, обучающих данных и весов нет. Учебный манифест ЛР 2 используется только для аудита и не подаётся в генератор. Поэтому лицензии манифеста не являются лицензией генератора и не определяют автоматически права на его результат.</w:t>
      </w:r>
    </w:p>
    <w:p>
      <w:pPr>
        <w:pStyle w:val="Heading2"/>
      </w:pPr>
      <w:r>
        <w:t>7 Quantitative Analyses Количественный анализ</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91"/>
        <w:gridCol w:w="1191"/>
        <w:gridCol w:w="1191"/>
        <w:gridCol w:w="1191"/>
        <w:gridCol w:w="1191"/>
        <w:gridCol w:w="1928"/>
      </w:tblGrid>
      <w:tr>
        <w:trPr>
          <w:cantSplit/>
          <w:tblHeader/>
        </w:trPr>
        <w:tc>
          <w:tcPr>
            <w:tcW w:type="dxa" w:w="1701"/>
            <w:vAlign w:val="center"/>
            <w:tcMar>
              <w:top w:w="80" w:type="dxa"/>
              <w:bottom w:w="80" w:type="dxa"/>
              <w:left w:w="80" w:type="dxa"/>
              <w:right w:w="80" w:type="dxa"/>
            </w:tcMar>
            <w:shd w:fill="E8EDF3"/>
          </w:tcPr>
          <w:p>
            <w:pPr>
              <w:spacing w:after="60" w:before="60" w:line="252" w:lineRule="auto"/>
              <w:jc w:val="left"/>
            </w:pPr>
            <w:r>
              <w:rPr>
                <w:b/>
                <w:sz w:val="19"/>
              </w:rPr>
              <w:t>Метрика</w:t>
            </w:r>
          </w:p>
        </w:tc>
        <w:tc>
          <w:tcPr>
            <w:tcW w:type="dxa" w:w="1191"/>
            <w:vAlign w:val="center"/>
            <w:tcMar>
              <w:top w:w="80" w:type="dxa"/>
              <w:bottom w:w="80" w:type="dxa"/>
              <w:left w:w="80" w:type="dxa"/>
              <w:right w:w="80" w:type="dxa"/>
            </w:tcMar>
            <w:shd w:fill="E8EDF3"/>
          </w:tcPr>
          <w:p>
            <w:pPr>
              <w:spacing w:after="60" w:before="60" w:line="252" w:lineRule="auto"/>
              <w:jc w:val="center"/>
            </w:pPr>
            <w:r>
              <w:rPr>
                <w:b/>
                <w:sz w:val="19"/>
              </w:rPr>
              <w:t>База</w:t>
            </w:r>
          </w:p>
        </w:tc>
        <w:tc>
          <w:tcPr>
            <w:tcW w:type="dxa" w:w="1191"/>
            <w:vAlign w:val="center"/>
            <w:tcMar>
              <w:top w:w="80" w:type="dxa"/>
              <w:bottom w:w="80" w:type="dxa"/>
              <w:left w:w="80" w:type="dxa"/>
              <w:right w:w="80" w:type="dxa"/>
            </w:tcMar>
            <w:shd w:fill="E8EDF3"/>
          </w:tcPr>
          <w:p>
            <w:pPr>
              <w:spacing w:after="60" w:before="60" w:line="252" w:lineRule="auto"/>
              <w:jc w:val="center"/>
            </w:pPr>
            <w:r>
              <w:rPr>
                <w:b/>
                <w:sz w:val="19"/>
              </w:rPr>
              <w:t>s базы</w:t>
            </w:r>
          </w:p>
        </w:tc>
        <w:tc>
          <w:tcPr>
            <w:tcW w:type="dxa" w:w="1191"/>
            <w:vAlign w:val="center"/>
            <w:tcMar>
              <w:top w:w="80" w:type="dxa"/>
              <w:bottom w:w="80" w:type="dxa"/>
              <w:left w:w="80" w:type="dxa"/>
              <w:right w:w="80" w:type="dxa"/>
            </w:tcMar>
            <w:shd w:fill="E8EDF3"/>
          </w:tcPr>
          <w:p>
            <w:pPr>
              <w:spacing w:after="60" w:before="60" w:line="252" w:lineRule="auto"/>
              <w:jc w:val="center"/>
            </w:pPr>
            <w:r>
              <w:rPr>
                <w:b/>
                <w:sz w:val="19"/>
              </w:rPr>
              <w:t>Фактор</w:t>
            </w:r>
          </w:p>
        </w:tc>
        <w:tc>
          <w:tcPr>
            <w:tcW w:type="dxa" w:w="1191"/>
            <w:vAlign w:val="center"/>
            <w:tcMar>
              <w:top w:w="80" w:type="dxa"/>
              <w:bottom w:w="80" w:type="dxa"/>
              <w:left w:w="80" w:type="dxa"/>
              <w:right w:w="80" w:type="dxa"/>
            </w:tcMar>
            <w:shd w:fill="E8EDF3"/>
          </w:tcPr>
          <w:p>
            <w:pPr>
              <w:spacing w:after="60" w:before="60" w:line="252" w:lineRule="auto"/>
              <w:jc w:val="center"/>
            </w:pPr>
            <w:r>
              <w:rPr>
                <w:b/>
                <w:sz w:val="19"/>
              </w:rPr>
              <w:t>s фактора</w:t>
            </w:r>
          </w:p>
        </w:tc>
        <w:tc>
          <w:tcPr>
            <w:tcW w:type="dxa" w:w="1191"/>
            <w:vAlign w:val="center"/>
            <w:tcMar>
              <w:top w:w="80" w:type="dxa"/>
              <w:bottom w:w="80" w:type="dxa"/>
              <w:left w:w="80" w:type="dxa"/>
              <w:right w:w="80" w:type="dxa"/>
            </w:tcMar>
            <w:shd w:fill="E8EDF3"/>
          </w:tcPr>
          <w:p>
            <w:pPr>
              <w:spacing w:after="60" w:before="60" w:line="252" w:lineRule="auto"/>
              <w:jc w:val="center"/>
            </w:pPr>
            <w:r>
              <w:rPr>
                <w:b/>
                <w:sz w:val="19"/>
              </w:rPr>
              <w:t>Δ</w:t>
            </w:r>
          </w:p>
        </w:tc>
        <w:tc>
          <w:tcPr>
            <w:tcW w:type="dxa" w:w="1928"/>
            <w:vAlign w:val="center"/>
            <w:tcMar>
              <w:top w:w="80" w:type="dxa"/>
              <w:bottom w:w="80" w:type="dxa"/>
              <w:left w:w="80" w:type="dxa"/>
              <w:right w:w="80" w:type="dxa"/>
            </w:tcMar>
            <w:shd w:fill="E8EDF3"/>
          </w:tcPr>
          <w:p>
            <w:pPr>
              <w:spacing w:after="60" w:before="60" w:line="252" w:lineRule="auto"/>
              <w:jc w:val="center"/>
            </w:pPr>
            <w:r>
              <w:rPr>
                <w:b/>
                <w:sz w:val="19"/>
              </w:rPr>
              <w:t>Порог</w:t>
            </w:r>
          </w:p>
        </w:tc>
      </w:tr>
      <w:tr>
        <w:trPr>
          <w:cantSplit/>
        </w:trPr>
        <w:tc>
          <w:tcPr>
            <w:tcW w:type="dxa" w:w="1701"/>
            <w:vAlign w:val="center"/>
            <w:tcMar>
              <w:top w:w="80" w:type="dxa"/>
              <w:bottom w:w="80" w:type="dxa"/>
              <w:left w:w="80" w:type="dxa"/>
              <w:right w:w="80" w:type="dxa"/>
            </w:tcMar>
          </w:tcPr>
          <w:p>
            <w:pPr>
              <w:spacing w:after="60" w:before="60" w:line="252" w:lineRule="auto"/>
              <w:jc w:val="left"/>
            </w:pPr>
            <w:r>
              <w:rPr>
                <w:b w:val="0"/>
                <w:sz w:val="19"/>
              </w:rPr>
              <w:t>Средняя яркость</w:t>
            </w:r>
          </w:p>
        </w:tc>
        <w:tc>
          <w:tcPr>
            <w:tcW w:type="dxa" w:w="1191"/>
            <w:vAlign w:val="center"/>
            <w:tcMar>
              <w:top w:w="80" w:type="dxa"/>
              <w:bottom w:w="80" w:type="dxa"/>
              <w:left w:w="80" w:type="dxa"/>
              <w:right w:w="80" w:type="dxa"/>
            </w:tcMar>
          </w:tcPr>
          <w:p>
            <w:pPr>
              <w:spacing w:after="60" w:before="60" w:line="252" w:lineRule="auto"/>
              <w:jc w:val="center"/>
            </w:pPr>
            <w:r>
              <w:rPr>
                <w:b w:val="0"/>
                <w:sz w:val="19"/>
              </w:rPr>
              <w:t>0,4782</w:t>
            </w:r>
          </w:p>
        </w:tc>
        <w:tc>
          <w:tcPr>
            <w:tcW w:type="dxa" w:w="1191"/>
            <w:vAlign w:val="center"/>
            <w:tcMar>
              <w:top w:w="80" w:type="dxa"/>
              <w:bottom w:w="80" w:type="dxa"/>
              <w:left w:w="80" w:type="dxa"/>
              <w:right w:w="80" w:type="dxa"/>
            </w:tcMar>
          </w:tcPr>
          <w:p>
            <w:pPr>
              <w:spacing w:after="60" w:before="60" w:line="252" w:lineRule="auto"/>
              <w:jc w:val="center"/>
            </w:pPr>
            <w:r>
              <w:rPr>
                <w:b w:val="0"/>
                <w:sz w:val="19"/>
              </w:rPr>
              <w:t>0,0481</w:t>
            </w:r>
          </w:p>
        </w:tc>
        <w:tc>
          <w:tcPr>
            <w:tcW w:type="dxa" w:w="1191"/>
            <w:vAlign w:val="center"/>
            <w:tcMar>
              <w:top w:w="80" w:type="dxa"/>
              <w:bottom w:w="80" w:type="dxa"/>
              <w:left w:w="80" w:type="dxa"/>
              <w:right w:w="80" w:type="dxa"/>
            </w:tcMar>
          </w:tcPr>
          <w:p>
            <w:pPr>
              <w:spacing w:after="60" w:before="60" w:line="252" w:lineRule="auto"/>
              <w:jc w:val="center"/>
            </w:pPr>
            <w:r>
              <w:rPr>
                <w:b w:val="0"/>
                <w:sz w:val="19"/>
              </w:rPr>
              <w:t>0,5068</w:t>
            </w:r>
          </w:p>
        </w:tc>
        <w:tc>
          <w:tcPr>
            <w:tcW w:type="dxa" w:w="1191"/>
            <w:vAlign w:val="center"/>
            <w:tcMar>
              <w:top w:w="80" w:type="dxa"/>
              <w:bottom w:w="80" w:type="dxa"/>
              <w:left w:w="80" w:type="dxa"/>
              <w:right w:w="80" w:type="dxa"/>
            </w:tcMar>
          </w:tcPr>
          <w:p>
            <w:pPr>
              <w:spacing w:after="60" w:before="60" w:line="252" w:lineRule="auto"/>
              <w:jc w:val="center"/>
            </w:pPr>
            <w:r>
              <w:rPr>
                <w:b w:val="0"/>
                <w:sz w:val="19"/>
              </w:rPr>
              <w:t>0,0318</w:t>
            </w:r>
          </w:p>
        </w:tc>
        <w:tc>
          <w:tcPr>
            <w:tcW w:type="dxa" w:w="1191"/>
            <w:vAlign w:val="center"/>
            <w:tcMar>
              <w:top w:w="80" w:type="dxa"/>
              <w:bottom w:w="80" w:type="dxa"/>
              <w:left w:w="80" w:type="dxa"/>
              <w:right w:w="80" w:type="dxa"/>
            </w:tcMar>
          </w:tcPr>
          <w:p>
            <w:pPr>
              <w:spacing w:after="60" w:before="60" w:line="252" w:lineRule="auto"/>
              <w:jc w:val="center"/>
            </w:pPr>
            <w:r>
              <w:rPr>
                <w:b w:val="0"/>
                <w:sz w:val="19"/>
              </w:rPr>
              <w:t>+0,0287</w:t>
            </w:r>
          </w:p>
        </w:tc>
        <w:tc>
          <w:tcPr>
            <w:tcW w:type="dxa" w:w="1928"/>
            <w:vAlign w:val="center"/>
            <w:tcMar>
              <w:top w:w="80" w:type="dxa"/>
              <w:bottom w:w="80" w:type="dxa"/>
              <w:left w:w="80" w:type="dxa"/>
              <w:right w:w="80" w:type="dxa"/>
            </w:tcMar>
          </w:tcPr>
          <w:p>
            <w:pPr>
              <w:spacing w:after="60" w:before="60" w:line="252" w:lineRule="auto"/>
              <w:jc w:val="center"/>
            </w:pPr>
            <w:r>
              <w:rPr>
                <w:b w:val="0"/>
                <w:sz w:val="19"/>
              </w:rPr>
              <w:t>нет</w:t>
            </w:r>
          </w:p>
        </w:tc>
      </w:tr>
      <w:tr>
        <w:trPr>
          <w:cantSplit/>
        </w:trPr>
        <w:tc>
          <w:tcPr>
            <w:tcW w:type="dxa" w:w="1701"/>
            <w:vAlign w:val="center"/>
            <w:tcMar>
              <w:top w:w="80" w:type="dxa"/>
              <w:bottom w:w="80" w:type="dxa"/>
              <w:left w:w="80" w:type="dxa"/>
              <w:right w:w="80" w:type="dxa"/>
            </w:tcMar>
          </w:tcPr>
          <w:p>
            <w:pPr>
              <w:spacing w:after="60" w:before="60" w:line="252" w:lineRule="auto"/>
              <w:jc w:val="left"/>
            </w:pPr>
            <w:r>
              <w:rPr>
                <w:b w:val="0"/>
                <w:sz w:val="19"/>
              </w:rPr>
              <w:t>Контраст</w:t>
            </w:r>
          </w:p>
        </w:tc>
        <w:tc>
          <w:tcPr>
            <w:tcW w:type="dxa" w:w="1191"/>
            <w:vAlign w:val="center"/>
            <w:tcMar>
              <w:top w:w="80" w:type="dxa"/>
              <w:bottom w:w="80" w:type="dxa"/>
              <w:left w:w="80" w:type="dxa"/>
              <w:right w:w="80" w:type="dxa"/>
            </w:tcMar>
          </w:tcPr>
          <w:p>
            <w:pPr>
              <w:spacing w:after="60" w:before="60" w:line="252" w:lineRule="auto"/>
              <w:jc w:val="center"/>
            </w:pPr>
            <w:r>
              <w:rPr>
                <w:b w:val="0"/>
                <w:sz w:val="19"/>
              </w:rPr>
              <w:t>0,1311</w:t>
            </w:r>
          </w:p>
        </w:tc>
        <w:tc>
          <w:tcPr>
            <w:tcW w:type="dxa" w:w="1191"/>
            <w:vAlign w:val="center"/>
            <w:tcMar>
              <w:top w:w="80" w:type="dxa"/>
              <w:bottom w:w="80" w:type="dxa"/>
              <w:left w:w="80" w:type="dxa"/>
              <w:right w:w="80" w:type="dxa"/>
            </w:tcMar>
          </w:tcPr>
          <w:p>
            <w:pPr>
              <w:spacing w:after="60" w:before="60" w:line="252" w:lineRule="auto"/>
              <w:jc w:val="center"/>
            </w:pPr>
            <w:r>
              <w:rPr>
                <w:b w:val="0"/>
                <w:sz w:val="19"/>
              </w:rPr>
              <w:t>0,0102</w:t>
            </w:r>
          </w:p>
        </w:tc>
        <w:tc>
          <w:tcPr>
            <w:tcW w:type="dxa" w:w="1191"/>
            <w:vAlign w:val="center"/>
            <w:tcMar>
              <w:top w:w="80" w:type="dxa"/>
              <w:bottom w:w="80" w:type="dxa"/>
              <w:left w:w="80" w:type="dxa"/>
              <w:right w:w="80" w:type="dxa"/>
            </w:tcMar>
          </w:tcPr>
          <w:p>
            <w:pPr>
              <w:spacing w:after="60" w:before="60" w:line="252" w:lineRule="auto"/>
              <w:jc w:val="center"/>
            </w:pPr>
            <w:r>
              <w:rPr>
                <w:b w:val="0"/>
                <w:sz w:val="19"/>
              </w:rPr>
              <w:t>0,1045</w:t>
            </w:r>
          </w:p>
        </w:tc>
        <w:tc>
          <w:tcPr>
            <w:tcW w:type="dxa" w:w="1191"/>
            <w:vAlign w:val="center"/>
            <w:tcMar>
              <w:top w:w="80" w:type="dxa"/>
              <w:bottom w:w="80" w:type="dxa"/>
              <w:left w:w="80" w:type="dxa"/>
              <w:right w:w="80" w:type="dxa"/>
            </w:tcMar>
          </w:tcPr>
          <w:p>
            <w:pPr>
              <w:spacing w:after="60" w:before="60" w:line="252" w:lineRule="auto"/>
              <w:jc w:val="center"/>
            </w:pPr>
            <w:r>
              <w:rPr>
                <w:b w:val="0"/>
                <w:sz w:val="19"/>
              </w:rPr>
              <w:t>0,0271</w:t>
            </w:r>
          </w:p>
        </w:tc>
        <w:tc>
          <w:tcPr>
            <w:tcW w:type="dxa" w:w="1191"/>
            <w:vAlign w:val="center"/>
            <w:tcMar>
              <w:top w:w="80" w:type="dxa"/>
              <w:bottom w:w="80" w:type="dxa"/>
              <w:left w:w="80" w:type="dxa"/>
              <w:right w:w="80" w:type="dxa"/>
            </w:tcMar>
          </w:tcPr>
          <w:p>
            <w:pPr>
              <w:spacing w:after="60" w:before="60" w:line="252" w:lineRule="auto"/>
              <w:jc w:val="center"/>
            </w:pPr>
            <w:r>
              <w:rPr>
                <w:b w:val="0"/>
                <w:sz w:val="19"/>
              </w:rPr>
              <w:t>-0,0267</w:t>
            </w:r>
          </w:p>
        </w:tc>
        <w:tc>
          <w:tcPr>
            <w:tcW w:type="dxa" w:w="1928"/>
            <w:vAlign w:val="center"/>
            <w:tcMar>
              <w:top w:w="80" w:type="dxa"/>
              <w:bottom w:w="80" w:type="dxa"/>
              <w:left w:w="80" w:type="dxa"/>
              <w:right w:w="80" w:type="dxa"/>
            </w:tcMar>
          </w:tcPr>
          <w:p>
            <w:pPr>
              <w:spacing w:after="60" w:before="60" w:line="252" w:lineRule="auto"/>
              <w:jc w:val="center"/>
            </w:pPr>
            <w:r>
              <w:rPr>
                <w:b w:val="0"/>
                <w:sz w:val="19"/>
              </w:rPr>
              <w:t>да</w:t>
            </w:r>
          </w:p>
        </w:tc>
      </w:tr>
      <w:tr>
        <w:trPr>
          <w:cantSplit/>
        </w:trPr>
        <w:tc>
          <w:tcPr>
            <w:tcW w:type="dxa" w:w="1701"/>
            <w:vAlign w:val="center"/>
            <w:tcMar>
              <w:top w:w="80" w:type="dxa"/>
              <w:bottom w:w="80" w:type="dxa"/>
              <w:left w:w="80" w:type="dxa"/>
              <w:right w:w="80" w:type="dxa"/>
            </w:tcMar>
          </w:tcPr>
          <w:p>
            <w:pPr>
              <w:spacing w:after="60" w:before="60" w:line="252" w:lineRule="auto"/>
              <w:jc w:val="left"/>
            </w:pPr>
            <w:r>
              <w:rPr>
                <w:b w:val="0"/>
                <w:sz w:val="19"/>
              </w:rPr>
              <w:t>Граничная энергия</w:t>
            </w:r>
          </w:p>
        </w:tc>
        <w:tc>
          <w:tcPr>
            <w:tcW w:type="dxa" w:w="1191"/>
            <w:vAlign w:val="center"/>
            <w:tcMar>
              <w:top w:w="80" w:type="dxa"/>
              <w:bottom w:w="80" w:type="dxa"/>
              <w:left w:w="80" w:type="dxa"/>
              <w:right w:w="80" w:type="dxa"/>
            </w:tcMar>
          </w:tcPr>
          <w:p>
            <w:pPr>
              <w:spacing w:after="60" w:before="60" w:line="252" w:lineRule="auto"/>
              <w:jc w:val="center"/>
            </w:pPr>
            <w:r>
              <w:rPr>
                <w:b w:val="0"/>
                <w:sz w:val="19"/>
              </w:rPr>
              <w:t>0,0097</w:t>
            </w:r>
          </w:p>
        </w:tc>
        <w:tc>
          <w:tcPr>
            <w:tcW w:type="dxa" w:w="1191"/>
            <w:vAlign w:val="center"/>
            <w:tcMar>
              <w:top w:w="80" w:type="dxa"/>
              <w:bottom w:w="80" w:type="dxa"/>
              <w:left w:w="80" w:type="dxa"/>
              <w:right w:w="80" w:type="dxa"/>
            </w:tcMar>
          </w:tcPr>
          <w:p>
            <w:pPr>
              <w:spacing w:after="60" w:before="60" w:line="252" w:lineRule="auto"/>
              <w:jc w:val="center"/>
            </w:pPr>
            <w:r>
              <w:rPr>
                <w:b w:val="0"/>
                <w:sz w:val="19"/>
              </w:rPr>
              <w:t>0,0006</w:t>
            </w:r>
          </w:p>
        </w:tc>
        <w:tc>
          <w:tcPr>
            <w:tcW w:type="dxa" w:w="1191"/>
            <w:vAlign w:val="center"/>
            <w:tcMar>
              <w:top w:w="80" w:type="dxa"/>
              <w:bottom w:w="80" w:type="dxa"/>
              <w:left w:w="80" w:type="dxa"/>
              <w:right w:w="80" w:type="dxa"/>
            </w:tcMar>
          </w:tcPr>
          <w:p>
            <w:pPr>
              <w:spacing w:after="60" w:before="60" w:line="252" w:lineRule="auto"/>
              <w:jc w:val="center"/>
            </w:pPr>
            <w:r>
              <w:rPr>
                <w:b w:val="0"/>
                <w:sz w:val="19"/>
              </w:rPr>
              <w:t>0,0049</w:t>
            </w:r>
          </w:p>
        </w:tc>
        <w:tc>
          <w:tcPr>
            <w:tcW w:type="dxa" w:w="1191"/>
            <w:vAlign w:val="center"/>
            <w:tcMar>
              <w:top w:w="80" w:type="dxa"/>
              <w:bottom w:w="80" w:type="dxa"/>
              <w:left w:w="80" w:type="dxa"/>
              <w:right w:w="80" w:type="dxa"/>
            </w:tcMar>
          </w:tcPr>
          <w:p>
            <w:pPr>
              <w:spacing w:after="60" w:before="60" w:line="252" w:lineRule="auto"/>
              <w:jc w:val="center"/>
            </w:pPr>
            <w:r>
              <w:rPr>
                <w:b w:val="0"/>
                <w:sz w:val="19"/>
              </w:rPr>
              <w:t>0,0009</w:t>
            </w:r>
          </w:p>
        </w:tc>
        <w:tc>
          <w:tcPr>
            <w:tcW w:type="dxa" w:w="1191"/>
            <w:vAlign w:val="center"/>
            <w:tcMar>
              <w:top w:w="80" w:type="dxa"/>
              <w:bottom w:w="80" w:type="dxa"/>
              <w:left w:w="80" w:type="dxa"/>
              <w:right w:w="80" w:type="dxa"/>
            </w:tcMar>
          </w:tcPr>
          <w:p>
            <w:pPr>
              <w:spacing w:after="60" w:before="60" w:line="252" w:lineRule="auto"/>
              <w:jc w:val="center"/>
            </w:pPr>
            <w:r>
              <w:rPr>
                <w:b w:val="0"/>
                <w:sz w:val="19"/>
              </w:rPr>
              <w:t>-0,0048</w:t>
            </w:r>
          </w:p>
        </w:tc>
        <w:tc>
          <w:tcPr>
            <w:tcW w:type="dxa" w:w="1928"/>
            <w:vAlign w:val="center"/>
            <w:tcMar>
              <w:top w:w="80" w:type="dxa"/>
              <w:bottom w:w="80" w:type="dxa"/>
              <w:left w:w="80" w:type="dxa"/>
              <w:right w:w="80" w:type="dxa"/>
            </w:tcMar>
          </w:tcPr>
          <w:p>
            <w:pPr>
              <w:spacing w:after="60" w:before="60" w:line="252" w:lineRule="auto"/>
              <w:jc w:val="center"/>
            </w:pPr>
            <w:r>
              <w:rPr>
                <w:b w:val="0"/>
                <w:sz w:val="19"/>
              </w:rPr>
              <w:t>да</w:t>
            </w:r>
          </w:p>
        </w:tc>
      </w:tr>
      <w:tr>
        <w:trPr>
          <w:cantSplit/>
        </w:trPr>
        <w:tc>
          <w:tcPr>
            <w:tcW w:type="dxa" w:w="1701"/>
            <w:vAlign w:val="center"/>
            <w:tcMar>
              <w:top w:w="80" w:type="dxa"/>
              <w:bottom w:w="80" w:type="dxa"/>
              <w:left w:w="80" w:type="dxa"/>
              <w:right w:w="80" w:type="dxa"/>
            </w:tcMar>
          </w:tcPr>
          <w:p>
            <w:pPr>
              <w:spacing w:after="60" w:before="60" w:line="252" w:lineRule="auto"/>
              <w:jc w:val="left"/>
            </w:pPr>
            <w:r>
              <w:rPr>
                <w:b w:val="0"/>
                <w:sz w:val="19"/>
              </w:rPr>
              <w:t>Энтропия бит</w:t>
            </w:r>
          </w:p>
        </w:tc>
        <w:tc>
          <w:tcPr>
            <w:tcW w:type="dxa" w:w="1191"/>
            <w:vAlign w:val="center"/>
            <w:tcMar>
              <w:top w:w="80" w:type="dxa"/>
              <w:bottom w:w="80" w:type="dxa"/>
              <w:left w:w="80" w:type="dxa"/>
              <w:right w:w="80" w:type="dxa"/>
            </w:tcMar>
          </w:tcPr>
          <w:p>
            <w:pPr>
              <w:spacing w:after="60" w:before="60" w:line="252" w:lineRule="auto"/>
              <w:jc w:val="center"/>
            </w:pPr>
            <w:r>
              <w:rPr>
                <w:b w:val="0"/>
                <w:sz w:val="19"/>
              </w:rPr>
              <w:t>6,9969</w:t>
            </w:r>
          </w:p>
        </w:tc>
        <w:tc>
          <w:tcPr>
            <w:tcW w:type="dxa" w:w="1191"/>
            <w:vAlign w:val="center"/>
            <w:tcMar>
              <w:top w:w="80" w:type="dxa"/>
              <w:bottom w:w="80" w:type="dxa"/>
              <w:left w:w="80" w:type="dxa"/>
              <w:right w:w="80" w:type="dxa"/>
            </w:tcMar>
          </w:tcPr>
          <w:p>
            <w:pPr>
              <w:spacing w:after="60" w:before="60" w:line="252" w:lineRule="auto"/>
              <w:jc w:val="center"/>
            </w:pPr>
            <w:r>
              <w:rPr>
                <w:b w:val="0"/>
                <w:sz w:val="19"/>
              </w:rPr>
              <w:t>0,1264</w:t>
            </w:r>
          </w:p>
        </w:tc>
        <w:tc>
          <w:tcPr>
            <w:tcW w:type="dxa" w:w="1191"/>
            <w:vAlign w:val="center"/>
            <w:tcMar>
              <w:top w:w="80" w:type="dxa"/>
              <w:bottom w:w="80" w:type="dxa"/>
              <w:left w:w="80" w:type="dxa"/>
              <w:right w:w="80" w:type="dxa"/>
            </w:tcMar>
          </w:tcPr>
          <w:p>
            <w:pPr>
              <w:spacing w:after="60" w:before="60" w:line="252" w:lineRule="auto"/>
              <w:jc w:val="center"/>
            </w:pPr>
            <w:r>
              <w:rPr>
                <w:b w:val="0"/>
                <w:sz w:val="19"/>
              </w:rPr>
              <w:t>6,5014</w:t>
            </w:r>
          </w:p>
        </w:tc>
        <w:tc>
          <w:tcPr>
            <w:tcW w:type="dxa" w:w="1191"/>
            <w:vAlign w:val="center"/>
            <w:tcMar>
              <w:top w:w="80" w:type="dxa"/>
              <w:bottom w:w="80" w:type="dxa"/>
              <w:left w:w="80" w:type="dxa"/>
              <w:right w:w="80" w:type="dxa"/>
            </w:tcMar>
          </w:tcPr>
          <w:p>
            <w:pPr>
              <w:spacing w:after="60" w:before="60" w:line="252" w:lineRule="auto"/>
              <w:jc w:val="center"/>
            </w:pPr>
            <w:r>
              <w:rPr>
                <w:b w:val="0"/>
                <w:sz w:val="19"/>
              </w:rPr>
              <w:t>0,3495</w:t>
            </w:r>
          </w:p>
        </w:tc>
        <w:tc>
          <w:tcPr>
            <w:tcW w:type="dxa" w:w="1191"/>
            <w:vAlign w:val="center"/>
            <w:tcMar>
              <w:top w:w="80" w:type="dxa"/>
              <w:bottom w:w="80" w:type="dxa"/>
              <w:left w:w="80" w:type="dxa"/>
              <w:right w:w="80" w:type="dxa"/>
            </w:tcMar>
          </w:tcPr>
          <w:p>
            <w:pPr>
              <w:spacing w:after="60" w:before="60" w:line="252" w:lineRule="auto"/>
              <w:jc w:val="center"/>
            </w:pPr>
            <w:r>
              <w:rPr>
                <w:b w:val="0"/>
                <w:sz w:val="19"/>
              </w:rPr>
              <w:t>-0,4955</w:t>
            </w:r>
          </w:p>
        </w:tc>
        <w:tc>
          <w:tcPr>
            <w:tcW w:type="dxa" w:w="1928"/>
            <w:vAlign w:val="center"/>
            <w:tcMar>
              <w:top w:w="80" w:type="dxa"/>
              <w:bottom w:w="80" w:type="dxa"/>
              <w:left w:w="80" w:type="dxa"/>
              <w:right w:w="80" w:type="dxa"/>
            </w:tcMar>
          </w:tcPr>
          <w:p>
            <w:pPr>
              <w:spacing w:after="60" w:before="60" w:line="252" w:lineRule="auto"/>
              <w:jc w:val="center"/>
            </w:pPr>
            <w:r>
              <w:rPr>
                <w:b w:val="0"/>
                <w:sz w:val="19"/>
              </w:rPr>
              <w:t>да</w:t>
            </w:r>
          </w:p>
        </w:tc>
      </w:tr>
    </w:tbl>
    <w:p>
      <w:pPr>
        <w:spacing w:after="0"/>
      </w:pPr>
    </w:p>
    <w:p>
      <w:pPr>
        <w:jc w:val="both"/>
      </w:pPr>
      <w:r>
        <w:t>Таблица содержит средние и выборочные s из паспорта ЛР 1; значения округлены до четырёх знаков. Δ — среднее фактора минус среднее базы. При удвоении cell контраст, граничная энергия и энтропия уменьшились сильнее учебного порога; для средней яркости порог не превышен. Значения |Δ|/s базы соответственно 0.60, 2.61, 8.48 и 3.92. Вывод ограничен двумя условиями и пятью seed; эстетическую пригодность эти измерения не доказывают.</w:t>
      </w:r>
    </w:p>
    <w:p>
      <w:pPr>
        <w:pStyle w:val="Heading2"/>
      </w:pPr>
      <w:r>
        <w:t>8 Ethical Considerations Этические аспекты</w:t>
      </w:r>
    </w:p>
    <w:p>
      <w:pPr>
        <w:jc w:val="both"/>
      </w:pPr>
      <w:r>
        <w:t>В данном эксперименте нет реальных лиц, персональных данных или внешних изображений. Исходный учебный код не представляется как собственная разработка. Синтетический характер фона следует раскрывать при подготовке реального макета, особенно если иллюстрация может быть воспринята как фотография события. Риски неточного текста и обработки людей относятся к возможному расширению производственного процесса, а не к текущему алгоритму. Права на итоговую афишу зависят также от её текста, шрифтов, логотипов и других компонентов.</w:t>
      </w:r>
    </w:p>
    <w:p>
      <w:pPr>
        <w:pStyle w:val="Heading2"/>
      </w:pPr>
      <w:r>
        <w:t>9 Caveats and Recommendations Ограничения и рекомендации</w:t>
      </w:r>
    </w:p>
    <w:p>
      <w:pPr>
        <w:jc w:val="both"/>
      </w:pPr>
      <w:r>
        <w:t>Ограничения: мало seed; одна процедурная модель; низкое разрешение; метрики яркости не измеряют читаемость и эстетику. Байты PNG зависят от кодирования и zlib, поэтому первично сравнение массива пикселей. Поле ответственного уточнено в этой карточке; лицензия кода остаётся неустановленной, вопрос направляется автору или преподавателю при подготовке внешнего использования, но запрос в данной работе не отправлялся. Рекомендовано закрепить лицензию, проверить фон с реальным заголовком и печатной пробой. При переходе к нейросети потребуется отдельная карточка с ревизией и лицензией весов, происхождением обучающих данных и условиями сервиса. Карточка и аудит — не юридическая консультация.</w:t>
      </w:r>
    </w:p>
    <w:p>
      <w:pPr>
        <w:pStyle w:val="Heading1"/>
        <w:pageBreakBefore/>
      </w:pPr>
      <w:r>
        <w:t>5 Реестр рисков</w:t>
      </w:r>
    </w:p>
    <w:p>
      <w:pPr>
        <w:jc w:val="both"/>
      </w:pPr>
      <w:r>
        <w:t>Область оценки — сценарий подготовки и публикации коммерческой афиши с возможным последующим расширением процесса. R01 и R02 связаны с текущими находками. R03 и R05 относятся к передаче результатов в производство. R04 требует добавления текстовой генерации; текущий процедурный алгоритм текста не создаёт. R06 касается серии дизайнов. R07 — риск добавления новых материалов; в исходном наборе персональных данных нет.</w:t>
      </w:r>
    </w:p>
    <w:p>
      <w:pPr>
        <w:jc w:val="both"/>
      </w:pPr>
      <w:r>
        <w:t>L и I оцениваются экспертно по шкале 1–5, R=L×I. L=1 означает низкую ожидаемую вероятность в заданном контексте, L=5 — очень высокую; I=1 — малое исправление до выпуска, I=5 — серьёзный правовой или репутационный ущерб. Оценки не измерены статистически и относятся к процессу до применения мер. Уже обнаруженные R4 и R9 являются признаками проблем, а риск формулируется как последствие их попадания в производство. Остаточные оценки после мер не рассчитывались.</w:t>
      </w:r>
    </w:p>
    <w:p>
      <w:pPr>
        <w:jc w:val="both"/>
      </w:pPr>
      <w:r>
        <w:t>Ответственные указаны как проектные роли; в учебной работе ведение реестра выполняет Власюк Данил Витальевич. Это не утверждение, что реальный юрист или арт-директор уже назначен. Перед реальным выпуском роли должны быть закреплены. Самый высокий приоритет — R01 (20), затем R02 (16). Обязательные категории варианта Intellectual Property и Information Integrity включены дословно. В реестре 7 рисков и 7 разных категорий. Проверка скрипта валидирует структуру, но не достаточность мер и оценок.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7"/>
        <w:gridCol w:w="5669"/>
        <w:gridCol w:w="1020"/>
        <w:gridCol w:w="1020"/>
        <w:gridCol w:w="1134"/>
      </w:tblGrid>
      <w:tr>
        <w:trPr>
          <w:cantSplit/>
          <w:tblHeader/>
        </w:trPr>
        <w:tc>
          <w:tcPr>
            <w:tcW w:type="dxa" w:w="737"/>
            <w:vAlign w:val="center"/>
            <w:tcMar>
              <w:top w:w="80" w:type="dxa"/>
              <w:bottom w:w="80" w:type="dxa"/>
              <w:left w:w="80" w:type="dxa"/>
              <w:right w:w="80" w:type="dxa"/>
            </w:tcMar>
            <w:shd w:fill="E8EDF3"/>
          </w:tcPr>
          <w:p>
            <w:pPr>
              <w:spacing w:after="60" w:before="60" w:line="252" w:lineRule="auto"/>
              <w:jc w:val="center"/>
            </w:pPr>
            <w:r>
              <w:rPr>
                <w:b/>
                <w:sz w:val="21"/>
              </w:rPr>
              <w:t>Риск</w:t>
            </w:r>
          </w:p>
        </w:tc>
        <w:tc>
          <w:tcPr>
            <w:tcW w:type="dxa" w:w="5669"/>
            <w:vAlign w:val="center"/>
            <w:tcMar>
              <w:top w:w="80" w:type="dxa"/>
              <w:bottom w:w="80" w:type="dxa"/>
              <w:left w:w="80" w:type="dxa"/>
              <w:right w:w="80" w:type="dxa"/>
            </w:tcMar>
            <w:shd w:fill="E8EDF3"/>
          </w:tcPr>
          <w:p>
            <w:pPr>
              <w:spacing w:after="60" w:before="60" w:line="252" w:lineRule="auto"/>
              <w:jc w:val="left"/>
            </w:pPr>
            <w:r>
              <w:rPr>
                <w:b/>
                <w:sz w:val="21"/>
              </w:rPr>
              <w:t>Категория NIST AI 600 1</w:t>
            </w:r>
          </w:p>
        </w:tc>
        <w:tc>
          <w:tcPr>
            <w:tcW w:type="dxa" w:w="1020"/>
            <w:vAlign w:val="center"/>
            <w:tcMar>
              <w:top w:w="80" w:type="dxa"/>
              <w:bottom w:w="80" w:type="dxa"/>
              <w:left w:w="80" w:type="dxa"/>
              <w:right w:w="80" w:type="dxa"/>
            </w:tcMar>
            <w:shd w:fill="E8EDF3"/>
          </w:tcPr>
          <w:p>
            <w:pPr>
              <w:spacing w:after="60" w:before="60" w:line="252" w:lineRule="auto"/>
              <w:jc w:val="center"/>
            </w:pPr>
            <w:r>
              <w:rPr>
                <w:b/>
                <w:sz w:val="21"/>
              </w:rPr>
              <w:t>L</w:t>
            </w:r>
          </w:p>
        </w:tc>
        <w:tc>
          <w:tcPr>
            <w:tcW w:type="dxa" w:w="1020"/>
            <w:vAlign w:val="center"/>
            <w:tcMar>
              <w:top w:w="80" w:type="dxa"/>
              <w:bottom w:w="80" w:type="dxa"/>
              <w:left w:w="80" w:type="dxa"/>
              <w:right w:w="80" w:type="dxa"/>
            </w:tcMar>
            <w:shd w:fill="E8EDF3"/>
          </w:tcPr>
          <w:p>
            <w:pPr>
              <w:spacing w:after="60" w:before="60" w:line="252" w:lineRule="auto"/>
              <w:jc w:val="center"/>
            </w:pPr>
            <w:r>
              <w:rPr>
                <w:b/>
                <w:sz w:val="21"/>
              </w:rPr>
              <w:t>I</w:t>
            </w:r>
          </w:p>
        </w:tc>
        <w:tc>
          <w:tcPr>
            <w:tcW w:type="dxa" w:w="1134"/>
            <w:vAlign w:val="center"/>
            <w:tcMar>
              <w:top w:w="80" w:type="dxa"/>
              <w:bottom w:w="80" w:type="dxa"/>
              <w:left w:w="80" w:type="dxa"/>
              <w:right w:w="80" w:type="dxa"/>
            </w:tcMar>
            <w:shd w:fill="E8EDF3"/>
          </w:tcPr>
          <w:p>
            <w:pPr>
              <w:spacing w:after="60" w:before="60" w:line="252" w:lineRule="auto"/>
              <w:jc w:val="center"/>
            </w:pPr>
            <w:r>
              <w:rPr>
                <w:b/>
                <w:sz w:val="21"/>
              </w:rPr>
              <w:t>R</w:t>
            </w:r>
          </w:p>
        </w:tc>
      </w:tr>
      <w:tr>
        <w:trPr>
          <w:cantSplit/>
        </w:trPr>
        <w:tc>
          <w:tcPr>
            <w:tcW w:type="dxa" w:w="737"/>
            <w:vAlign w:val="center"/>
            <w:tcMar>
              <w:top w:w="80" w:type="dxa"/>
              <w:bottom w:w="80" w:type="dxa"/>
              <w:left w:w="80" w:type="dxa"/>
              <w:right w:w="80" w:type="dxa"/>
            </w:tcMar>
          </w:tcPr>
          <w:p>
            <w:pPr>
              <w:spacing w:after="60" w:before="60" w:line="252" w:lineRule="auto"/>
              <w:jc w:val="center"/>
            </w:pPr>
            <w:r>
              <w:rPr>
                <w:b w:val="0"/>
                <w:sz w:val="21"/>
              </w:rPr>
              <w:t>R01</w:t>
            </w:r>
          </w:p>
        </w:tc>
        <w:tc>
          <w:tcPr>
            <w:tcW w:type="dxa" w:w="5669"/>
            <w:vAlign w:val="center"/>
            <w:tcMar>
              <w:top w:w="80" w:type="dxa"/>
              <w:bottom w:w="80" w:type="dxa"/>
              <w:left w:w="80" w:type="dxa"/>
              <w:right w:w="80" w:type="dxa"/>
            </w:tcMar>
          </w:tcPr>
          <w:p>
            <w:pPr>
              <w:spacing w:after="60" w:before="60" w:line="252" w:lineRule="auto"/>
              <w:jc w:val="left"/>
            </w:pPr>
            <w:r>
              <w:rPr>
                <w:b w:val="0"/>
                <w:sz w:val="21"/>
              </w:rPr>
              <w:t>Intellectual Property</w:t>
            </w:r>
          </w:p>
        </w:tc>
        <w:tc>
          <w:tcPr>
            <w:tcW w:type="dxa" w:w="1020"/>
            <w:vAlign w:val="center"/>
            <w:tcMar>
              <w:top w:w="80" w:type="dxa"/>
              <w:bottom w:w="80" w:type="dxa"/>
              <w:left w:w="80" w:type="dxa"/>
              <w:right w:w="80" w:type="dxa"/>
            </w:tcMar>
          </w:tcPr>
          <w:p>
            <w:pPr>
              <w:spacing w:after="60" w:before="60" w:line="252" w:lineRule="auto"/>
              <w:jc w:val="center"/>
            </w:pPr>
            <w:r>
              <w:rPr>
                <w:b w:val="0"/>
                <w:sz w:val="21"/>
              </w:rPr>
              <w:t>4</w:t>
            </w:r>
          </w:p>
        </w:tc>
        <w:tc>
          <w:tcPr>
            <w:tcW w:type="dxa" w:w="1020"/>
            <w:vAlign w:val="center"/>
            <w:tcMar>
              <w:top w:w="80" w:type="dxa"/>
              <w:bottom w:w="80" w:type="dxa"/>
              <w:left w:w="80" w:type="dxa"/>
              <w:right w:w="80" w:type="dxa"/>
            </w:tcMar>
          </w:tcPr>
          <w:p>
            <w:pPr>
              <w:spacing w:after="60" w:before="60" w:line="252" w:lineRule="auto"/>
              <w:jc w:val="center"/>
            </w:pPr>
            <w:r>
              <w:rPr>
                <w:b w:val="0"/>
                <w:sz w:val="21"/>
              </w:rPr>
              <w:t>5</w:t>
            </w:r>
          </w:p>
        </w:tc>
        <w:tc>
          <w:tcPr>
            <w:tcW w:type="dxa" w:w="1134"/>
            <w:vAlign w:val="center"/>
            <w:tcMar>
              <w:top w:w="80" w:type="dxa"/>
              <w:bottom w:w="80" w:type="dxa"/>
              <w:left w:w="80" w:type="dxa"/>
              <w:right w:w="80" w:type="dxa"/>
            </w:tcMar>
          </w:tcPr>
          <w:p>
            <w:pPr>
              <w:spacing w:after="60" w:before="60" w:line="252" w:lineRule="auto"/>
              <w:jc w:val="center"/>
            </w:pPr>
            <w:r>
              <w:rPr>
                <w:b w:val="0"/>
                <w:sz w:val="21"/>
              </w:rPr>
              <w:t>20</w:t>
            </w:r>
          </w:p>
        </w:tc>
      </w:tr>
      <w:tr>
        <w:trPr>
          <w:cantSplit/>
        </w:trPr>
        <w:tc>
          <w:tcPr>
            <w:tcW w:type="dxa" w:w="737"/>
            <w:vAlign w:val="center"/>
            <w:tcMar>
              <w:top w:w="80" w:type="dxa"/>
              <w:bottom w:w="80" w:type="dxa"/>
              <w:left w:w="80" w:type="dxa"/>
              <w:right w:w="80" w:type="dxa"/>
            </w:tcMar>
          </w:tcPr>
          <w:p>
            <w:pPr>
              <w:spacing w:after="60" w:before="60" w:line="252" w:lineRule="auto"/>
              <w:jc w:val="center"/>
            </w:pPr>
            <w:r>
              <w:rPr>
                <w:b w:val="0"/>
                <w:sz w:val="21"/>
              </w:rPr>
              <w:t>R02</w:t>
            </w:r>
          </w:p>
        </w:tc>
        <w:tc>
          <w:tcPr>
            <w:tcW w:type="dxa" w:w="5669"/>
            <w:vAlign w:val="center"/>
            <w:tcMar>
              <w:top w:w="80" w:type="dxa"/>
              <w:bottom w:w="80" w:type="dxa"/>
              <w:left w:w="80" w:type="dxa"/>
              <w:right w:w="80" w:type="dxa"/>
            </w:tcMar>
          </w:tcPr>
          <w:p>
            <w:pPr>
              <w:spacing w:after="60" w:before="60" w:line="252" w:lineRule="auto"/>
              <w:jc w:val="left"/>
            </w:pPr>
            <w:r>
              <w:rPr>
                <w:b w:val="0"/>
                <w:sz w:val="21"/>
              </w:rPr>
              <w:t>Value Chain and Component Integration</w:t>
            </w:r>
          </w:p>
        </w:tc>
        <w:tc>
          <w:tcPr>
            <w:tcW w:type="dxa" w:w="1020"/>
            <w:vAlign w:val="center"/>
            <w:tcMar>
              <w:top w:w="80" w:type="dxa"/>
              <w:bottom w:w="80" w:type="dxa"/>
              <w:left w:w="80" w:type="dxa"/>
              <w:right w:w="80" w:type="dxa"/>
            </w:tcMar>
          </w:tcPr>
          <w:p>
            <w:pPr>
              <w:spacing w:after="60" w:before="60" w:line="252" w:lineRule="auto"/>
              <w:jc w:val="center"/>
            </w:pPr>
            <w:r>
              <w:rPr>
                <w:b w:val="0"/>
                <w:sz w:val="21"/>
              </w:rPr>
              <w:t>4</w:t>
            </w:r>
          </w:p>
        </w:tc>
        <w:tc>
          <w:tcPr>
            <w:tcW w:type="dxa" w:w="1020"/>
            <w:vAlign w:val="center"/>
            <w:tcMar>
              <w:top w:w="80" w:type="dxa"/>
              <w:bottom w:w="80" w:type="dxa"/>
              <w:left w:w="80" w:type="dxa"/>
              <w:right w:w="80" w:type="dxa"/>
            </w:tcMar>
          </w:tcPr>
          <w:p>
            <w:pPr>
              <w:spacing w:after="60" w:before="60" w:line="252" w:lineRule="auto"/>
              <w:jc w:val="center"/>
            </w:pPr>
            <w:r>
              <w:rPr>
                <w:b w:val="0"/>
                <w:sz w:val="21"/>
              </w:rPr>
              <w:t>4</w:t>
            </w:r>
          </w:p>
        </w:tc>
        <w:tc>
          <w:tcPr>
            <w:tcW w:type="dxa" w:w="1134"/>
            <w:vAlign w:val="center"/>
            <w:tcMar>
              <w:top w:w="80" w:type="dxa"/>
              <w:bottom w:w="80" w:type="dxa"/>
              <w:left w:w="80" w:type="dxa"/>
              <w:right w:w="80" w:type="dxa"/>
            </w:tcMar>
          </w:tcPr>
          <w:p>
            <w:pPr>
              <w:spacing w:after="60" w:before="60" w:line="252" w:lineRule="auto"/>
              <w:jc w:val="center"/>
            </w:pPr>
            <w:r>
              <w:rPr>
                <w:b w:val="0"/>
                <w:sz w:val="21"/>
              </w:rPr>
              <w:t>16</w:t>
            </w:r>
          </w:p>
        </w:tc>
      </w:tr>
      <w:tr>
        <w:trPr>
          <w:cantSplit/>
        </w:trPr>
        <w:tc>
          <w:tcPr>
            <w:tcW w:type="dxa" w:w="737"/>
            <w:vAlign w:val="center"/>
            <w:tcMar>
              <w:top w:w="80" w:type="dxa"/>
              <w:bottom w:w="80" w:type="dxa"/>
              <w:left w:w="80" w:type="dxa"/>
              <w:right w:w="80" w:type="dxa"/>
            </w:tcMar>
          </w:tcPr>
          <w:p>
            <w:pPr>
              <w:spacing w:after="60" w:before="60" w:line="252" w:lineRule="auto"/>
              <w:jc w:val="center"/>
            </w:pPr>
            <w:r>
              <w:rPr>
                <w:b w:val="0"/>
                <w:sz w:val="21"/>
              </w:rPr>
              <w:t>R03</w:t>
            </w:r>
          </w:p>
        </w:tc>
        <w:tc>
          <w:tcPr>
            <w:tcW w:type="dxa" w:w="5669"/>
            <w:vAlign w:val="center"/>
            <w:tcMar>
              <w:top w:w="80" w:type="dxa"/>
              <w:bottom w:w="80" w:type="dxa"/>
              <w:left w:w="80" w:type="dxa"/>
              <w:right w:w="80" w:type="dxa"/>
            </w:tcMar>
          </w:tcPr>
          <w:p>
            <w:pPr>
              <w:spacing w:after="60" w:before="60" w:line="252" w:lineRule="auto"/>
              <w:jc w:val="left"/>
            </w:pPr>
            <w:r>
              <w:rPr>
                <w:b w:val="0"/>
                <w:sz w:val="21"/>
              </w:rPr>
              <w:t>Information Integrity</w:t>
            </w:r>
          </w:p>
        </w:tc>
        <w:tc>
          <w:tcPr>
            <w:tcW w:type="dxa" w:w="1020"/>
            <w:vAlign w:val="center"/>
            <w:tcMar>
              <w:top w:w="80" w:type="dxa"/>
              <w:bottom w:w="80" w:type="dxa"/>
              <w:left w:w="80" w:type="dxa"/>
              <w:right w:w="80" w:type="dxa"/>
            </w:tcMar>
          </w:tcPr>
          <w:p>
            <w:pPr>
              <w:spacing w:after="60" w:before="60" w:line="252" w:lineRule="auto"/>
              <w:jc w:val="center"/>
            </w:pPr>
            <w:r>
              <w:rPr>
                <w:b w:val="0"/>
                <w:sz w:val="21"/>
              </w:rPr>
              <w:t>3</w:t>
            </w:r>
          </w:p>
        </w:tc>
        <w:tc>
          <w:tcPr>
            <w:tcW w:type="dxa" w:w="1020"/>
            <w:vAlign w:val="center"/>
            <w:tcMar>
              <w:top w:w="80" w:type="dxa"/>
              <w:bottom w:w="80" w:type="dxa"/>
              <w:left w:w="80" w:type="dxa"/>
              <w:right w:w="80" w:type="dxa"/>
            </w:tcMar>
          </w:tcPr>
          <w:p>
            <w:pPr>
              <w:spacing w:after="60" w:before="60" w:line="252" w:lineRule="auto"/>
              <w:jc w:val="center"/>
            </w:pPr>
            <w:r>
              <w:rPr>
                <w:b w:val="0"/>
                <w:sz w:val="21"/>
              </w:rPr>
              <w:t>4</w:t>
            </w:r>
          </w:p>
        </w:tc>
        <w:tc>
          <w:tcPr>
            <w:tcW w:type="dxa" w:w="1134"/>
            <w:vAlign w:val="center"/>
            <w:tcMar>
              <w:top w:w="80" w:type="dxa"/>
              <w:bottom w:w="80" w:type="dxa"/>
              <w:left w:w="80" w:type="dxa"/>
              <w:right w:w="80" w:type="dxa"/>
            </w:tcMar>
          </w:tcPr>
          <w:p>
            <w:pPr>
              <w:spacing w:after="60" w:before="60" w:line="252" w:lineRule="auto"/>
              <w:jc w:val="center"/>
            </w:pPr>
            <w:r>
              <w:rPr>
                <w:b w:val="0"/>
                <w:sz w:val="21"/>
              </w:rPr>
              <w:t>12</w:t>
            </w:r>
          </w:p>
        </w:tc>
      </w:tr>
      <w:tr>
        <w:trPr>
          <w:cantSplit/>
        </w:trPr>
        <w:tc>
          <w:tcPr>
            <w:tcW w:type="dxa" w:w="737"/>
            <w:vAlign w:val="center"/>
            <w:tcMar>
              <w:top w:w="80" w:type="dxa"/>
              <w:bottom w:w="80" w:type="dxa"/>
              <w:left w:w="80" w:type="dxa"/>
              <w:right w:w="80" w:type="dxa"/>
            </w:tcMar>
          </w:tcPr>
          <w:p>
            <w:pPr>
              <w:spacing w:after="60" w:before="60" w:line="252" w:lineRule="auto"/>
              <w:jc w:val="center"/>
            </w:pPr>
            <w:r>
              <w:rPr>
                <w:b w:val="0"/>
                <w:sz w:val="21"/>
              </w:rPr>
              <w:t>R04</w:t>
            </w:r>
          </w:p>
        </w:tc>
        <w:tc>
          <w:tcPr>
            <w:tcW w:type="dxa" w:w="5669"/>
            <w:vAlign w:val="center"/>
            <w:tcMar>
              <w:top w:w="80" w:type="dxa"/>
              <w:bottom w:w="80" w:type="dxa"/>
              <w:left w:w="80" w:type="dxa"/>
              <w:right w:w="80" w:type="dxa"/>
            </w:tcMar>
          </w:tcPr>
          <w:p>
            <w:pPr>
              <w:spacing w:after="60" w:before="60" w:line="252" w:lineRule="auto"/>
              <w:jc w:val="left"/>
            </w:pPr>
            <w:r>
              <w:rPr>
                <w:b w:val="0"/>
                <w:sz w:val="21"/>
              </w:rPr>
              <w:t>Confabulation</w:t>
            </w:r>
          </w:p>
        </w:tc>
        <w:tc>
          <w:tcPr>
            <w:tcW w:type="dxa" w:w="1020"/>
            <w:vAlign w:val="center"/>
            <w:tcMar>
              <w:top w:w="80" w:type="dxa"/>
              <w:bottom w:w="80" w:type="dxa"/>
              <w:left w:w="80" w:type="dxa"/>
              <w:right w:w="80" w:type="dxa"/>
            </w:tcMar>
          </w:tcPr>
          <w:p>
            <w:pPr>
              <w:spacing w:after="60" w:before="60" w:line="252" w:lineRule="auto"/>
              <w:jc w:val="center"/>
            </w:pPr>
            <w:r>
              <w:rPr>
                <w:b w:val="0"/>
                <w:sz w:val="21"/>
              </w:rPr>
              <w:t>3</w:t>
            </w:r>
          </w:p>
        </w:tc>
        <w:tc>
          <w:tcPr>
            <w:tcW w:type="dxa" w:w="1020"/>
            <w:vAlign w:val="center"/>
            <w:tcMar>
              <w:top w:w="80" w:type="dxa"/>
              <w:bottom w:w="80" w:type="dxa"/>
              <w:left w:w="80" w:type="dxa"/>
              <w:right w:w="80" w:type="dxa"/>
            </w:tcMar>
          </w:tcPr>
          <w:p>
            <w:pPr>
              <w:spacing w:after="60" w:before="60" w:line="252" w:lineRule="auto"/>
              <w:jc w:val="center"/>
            </w:pPr>
            <w:r>
              <w:rPr>
                <w:b w:val="0"/>
                <w:sz w:val="21"/>
              </w:rPr>
              <w:t>4</w:t>
            </w:r>
          </w:p>
        </w:tc>
        <w:tc>
          <w:tcPr>
            <w:tcW w:type="dxa" w:w="1134"/>
            <w:vAlign w:val="center"/>
            <w:tcMar>
              <w:top w:w="80" w:type="dxa"/>
              <w:bottom w:w="80" w:type="dxa"/>
              <w:left w:w="80" w:type="dxa"/>
              <w:right w:w="80" w:type="dxa"/>
            </w:tcMar>
          </w:tcPr>
          <w:p>
            <w:pPr>
              <w:spacing w:after="60" w:before="60" w:line="252" w:lineRule="auto"/>
              <w:jc w:val="center"/>
            </w:pPr>
            <w:r>
              <w:rPr>
                <w:b w:val="0"/>
                <w:sz w:val="21"/>
              </w:rPr>
              <w:t>12</w:t>
            </w:r>
          </w:p>
        </w:tc>
      </w:tr>
      <w:tr>
        <w:trPr>
          <w:cantSplit/>
        </w:trPr>
        <w:tc>
          <w:tcPr>
            <w:tcW w:type="dxa" w:w="737"/>
            <w:vAlign w:val="center"/>
            <w:tcMar>
              <w:top w:w="80" w:type="dxa"/>
              <w:bottom w:w="80" w:type="dxa"/>
              <w:left w:w="80" w:type="dxa"/>
              <w:right w:w="80" w:type="dxa"/>
            </w:tcMar>
          </w:tcPr>
          <w:p>
            <w:pPr>
              <w:spacing w:after="60" w:before="60" w:line="252" w:lineRule="auto"/>
              <w:jc w:val="center"/>
            </w:pPr>
            <w:r>
              <w:rPr>
                <w:b w:val="0"/>
                <w:sz w:val="21"/>
              </w:rPr>
              <w:t>R05</w:t>
            </w:r>
          </w:p>
        </w:tc>
        <w:tc>
          <w:tcPr>
            <w:tcW w:type="dxa" w:w="5669"/>
            <w:vAlign w:val="center"/>
            <w:tcMar>
              <w:top w:w="80" w:type="dxa"/>
              <w:bottom w:w="80" w:type="dxa"/>
              <w:left w:w="80" w:type="dxa"/>
              <w:right w:w="80" w:type="dxa"/>
            </w:tcMar>
          </w:tcPr>
          <w:p>
            <w:pPr>
              <w:spacing w:after="60" w:before="60" w:line="252" w:lineRule="auto"/>
              <w:jc w:val="left"/>
            </w:pPr>
            <w:r>
              <w:rPr>
                <w:b w:val="0"/>
                <w:sz w:val="21"/>
              </w:rPr>
              <w:t>Human-AI Configuration</w:t>
            </w:r>
          </w:p>
        </w:tc>
        <w:tc>
          <w:tcPr>
            <w:tcW w:type="dxa" w:w="1020"/>
            <w:vAlign w:val="center"/>
            <w:tcMar>
              <w:top w:w="80" w:type="dxa"/>
              <w:bottom w:w="80" w:type="dxa"/>
              <w:left w:w="80" w:type="dxa"/>
              <w:right w:w="80" w:type="dxa"/>
            </w:tcMar>
          </w:tcPr>
          <w:p>
            <w:pPr>
              <w:spacing w:after="60" w:before="60" w:line="252" w:lineRule="auto"/>
              <w:jc w:val="center"/>
            </w:pPr>
            <w:r>
              <w:rPr>
                <w:b w:val="0"/>
                <w:sz w:val="21"/>
              </w:rPr>
              <w:t>3</w:t>
            </w:r>
          </w:p>
        </w:tc>
        <w:tc>
          <w:tcPr>
            <w:tcW w:type="dxa" w:w="1020"/>
            <w:vAlign w:val="center"/>
            <w:tcMar>
              <w:top w:w="80" w:type="dxa"/>
              <w:bottom w:w="80" w:type="dxa"/>
              <w:left w:w="80" w:type="dxa"/>
              <w:right w:w="80" w:type="dxa"/>
            </w:tcMar>
          </w:tcPr>
          <w:p>
            <w:pPr>
              <w:spacing w:after="60" w:before="60" w:line="252" w:lineRule="auto"/>
              <w:jc w:val="center"/>
            </w:pPr>
            <w:r>
              <w:rPr>
                <w:b w:val="0"/>
                <w:sz w:val="21"/>
              </w:rPr>
              <w:t>3</w:t>
            </w:r>
          </w:p>
        </w:tc>
        <w:tc>
          <w:tcPr>
            <w:tcW w:type="dxa" w:w="1134"/>
            <w:vAlign w:val="center"/>
            <w:tcMar>
              <w:top w:w="80" w:type="dxa"/>
              <w:bottom w:w="80" w:type="dxa"/>
              <w:left w:w="80" w:type="dxa"/>
              <w:right w:w="80" w:type="dxa"/>
            </w:tcMar>
          </w:tcPr>
          <w:p>
            <w:pPr>
              <w:spacing w:after="60" w:before="60" w:line="252" w:lineRule="auto"/>
              <w:jc w:val="center"/>
            </w:pPr>
            <w:r>
              <w:rPr>
                <w:b w:val="0"/>
                <w:sz w:val="21"/>
              </w:rPr>
              <w:t>9</w:t>
            </w:r>
          </w:p>
        </w:tc>
      </w:tr>
      <w:tr>
        <w:trPr>
          <w:cantSplit/>
        </w:trPr>
        <w:tc>
          <w:tcPr>
            <w:tcW w:type="dxa" w:w="737"/>
            <w:vAlign w:val="center"/>
            <w:tcMar>
              <w:top w:w="80" w:type="dxa"/>
              <w:bottom w:w="80" w:type="dxa"/>
              <w:left w:w="80" w:type="dxa"/>
              <w:right w:w="80" w:type="dxa"/>
            </w:tcMar>
          </w:tcPr>
          <w:p>
            <w:pPr>
              <w:spacing w:after="60" w:before="60" w:line="252" w:lineRule="auto"/>
              <w:jc w:val="center"/>
            </w:pPr>
            <w:r>
              <w:rPr>
                <w:b w:val="0"/>
                <w:sz w:val="21"/>
              </w:rPr>
              <w:t>R06</w:t>
            </w:r>
          </w:p>
        </w:tc>
        <w:tc>
          <w:tcPr>
            <w:tcW w:type="dxa" w:w="5669"/>
            <w:vAlign w:val="center"/>
            <w:tcMar>
              <w:top w:w="80" w:type="dxa"/>
              <w:bottom w:w="80" w:type="dxa"/>
              <w:left w:w="80" w:type="dxa"/>
              <w:right w:w="80" w:type="dxa"/>
            </w:tcMar>
          </w:tcPr>
          <w:p>
            <w:pPr>
              <w:spacing w:after="60" w:before="60" w:line="252" w:lineRule="auto"/>
              <w:jc w:val="left"/>
            </w:pPr>
            <w:r>
              <w:rPr>
                <w:b w:val="0"/>
                <w:sz w:val="21"/>
              </w:rPr>
              <w:t>Harmful Bias or Homogenization</w:t>
            </w:r>
          </w:p>
        </w:tc>
        <w:tc>
          <w:tcPr>
            <w:tcW w:type="dxa" w:w="1020"/>
            <w:vAlign w:val="center"/>
            <w:tcMar>
              <w:top w:w="80" w:type="dxa"/>
              <w:bottom w:w="80" w:type="dxa"/>
              <w:left w:w="80" w:type="dxa"/>
              <w:right w:w="80" w:type="dxa"/>
            </w:tcMar>
          </w:tcPr>
          <w:p>
            <w:pPr>
              <w:spacing w:after="60" w:before="60" w:line="252" w:lineRule="auto"/>
              <w:jc w:val="center"/>
            </w:pPr>
            <w:r>
              <w:rPr>
                <w:b w:val="0"/>
                <w:sz w:val="21"/>
              </w:rPr>
              <w:t>2</w:t>
            </w:r>
          </w:p>
        </w:tc>
        <w:tc>
          <w:tcPr>
            <w:tcW w:type="dxa" w:w="1020"/>
            <w:vAlign w:val="center"/>
            <w:tcMar>
              <w:top w:w="80" w:type="dxa"/>
              <w:bottom w:w="80" w:type="dxa"/>
              <w:left w:w="80" w:type="dxa"/>
              <w:right w:w="80" w:type="dxa"/>
            </w:tcMar>
          </w:tcPr>
          <w:p>
            <w:pPr>
              <w:spacing w:after="60" w:before="60" w:line="252" w:lineRule="auto"/>
              <w:jc w:val="center"/>
            </w:pPr>
            <w:r>
              <w:rPr>
                <w:b w:val="0"/>
                <w:sz w:val="21"/>
              </w:rPr>
              <w:t>3</w:t>
            </w:r>
          </w:p>
        </w:tc>
        <w:tc>
          <w:tcPr>
            <w:tcW w:type="dxa" w:w="1134"/>
            <w:vAlign w:val="center"/>
            <w:tcMar>
              <w:top w:w="80" w:type="dxa"/>
              <w:bottom w:w="80" w:type="dxa"/>
              <w:left w:w="80" w:type="dxa"/>
              <w:right w:w="80" w:type="dxa"/>
            </w:tcMar>
          </w:tcPr>
          <w:p>
            <w:pPr>
              <w:spacing w:after="60" w:before="60" w:line="252" w:lineRule="auto"/>
              <w:jc w:val="center"/>
            </w:pPr>
            <w:r>
              <w:rPr>
                <w:b w:val="0"/>
                <w:sz w:val="21"/>
              </w:rPr>
              <w:t>6</w:t>
            </w:r>
          </w:p>
        </w:tc>
      </w:tr>
      <w:tr>
        <w:trPr>
          <w:cantSplit/>
        </w:trPr>
        <w:tc>
          <w:tcPr>
            <w:tcW w:type="dxa" w:w="737"/>
            <w:vAlign w:val="center"/>
            <w:tcMar>
              <w:top w:w="80" w:type="dxa"/>
              <w:bottom w:w="80" w:type="dxa"/>
              <w:left w:w="80" w:type="dxa"/>
              <w:right w:w="80" w:type="dxa"/>
            </w:tcMar>
          </w:tcPr>
          <w:p>
            <w:pPr>
              <w:spacing w:after="60" w:before="60" w:line="252" w:lineRule="auto"/>
              <w:jc w:val="center"/>
            </w:pPr>
            <w:r>
              <w:rPr>
                <w:b w:val="0"/>
                <w:sz w:val="21"/>
              </w:rPr>
              <w:t>R07</w:t>
            </w:r>
          </w:p>
        </w:tc>
        <w:tc>
          <w:tcPr>
            <w:tcW w:type="dxa" w:w="5669"/>
            <w:vAlign w:val="center"/>
            <w:tcMar>
              <w:top w:w="80" w:type="dxa"/>
              <w:bottom w:w="80" w:type="dxa"/>
              <w:left w:w="80" w:type="dxa"/>
              <w:right w:w="80" w:type="dxa"/>
            </w:tcMar>
          </w:tcPr>
          <w:p>
            <w:pPr>
              <w:spacing w:after="60" w:before="60" w:line="252" w:lineRule="auto"/>
              <w:jc w:val="left"/>
            </w:pPr>
            <w:r>
              <w:rPr>
                <w:b w:val="0"/>
                <w:sz w:val="21"/>
              </w:rPr>
              <w:t>Data Privacy</w:t>
            </w:r>
          </w:p>
        </w:tc>
        <w:tc>
          <w:tcPr>
            <w:tcW w:type="dxa" w:w="1020"/>
            <w:vAlign w:val="center"/>
            <w:tcMar>
              <w:top w:w="80" w:type="dxa"/>
              <w:bottom w:w="80" w:type="dxa"/>
              <w:left w:w="80" w:type="dxa"/>
              <w:right w:w="80" w:type="dxa"/>
            </w:tcMar>
          </w:tcPr>
          <w:p>
            <w:pPr>
              <w:spacing w:after="60" w:before="60" w:line="252" w:lineRule="auto"/>
              <w:jc w:val="center"/>
            </w:pPr>
            <w:r>
              <w:rPr>
                <w:b w:val="0"/>
                <w:sz w:val="21"/>
              </w:rPr>
              <w:t>1</w:t>
            </w:r>
          </w:p>
        </w:tc>
        <w:tc>
          <w:tcPr>
            <w:tcW w:type="dxa" w:w="1020"/>
            <w:vAlign w:val="center"/>
            <w:tcMar>
              <w:top w:w="80" w:type="dxa"/>
              <w:bottom w:w="80" w:type="dxa"/>
              <w:left w:w="80" w:type="dxa"/>
              <w:right w:w="80" w:type="dxa"/>
            </w:tcMar>
          </w:tcPr>
          <w:p>
            <w:pPr>
              <w:spacing w:after="60" w:before="60" w:line="252" w:lineRule="auto"/>
              <w:jc w:val="center"/>
            </w:pPr>
            <w:r>
              <w:rPr>
                <w:b w:val="0"/>
                <w:sz w:val="21"/>
              </w:rPr>
              <w:t>4</w:t>
            </w:r>
          </w:p>
        </w:tc>
        <w:tc>
          <w:tcPr>
            <w:tcW w:type="dxa" w:w="1134"/>
            <w:vAlign w:val="center"/>
            <w:tcMar>
              <w:top w:w="80" w:type="dxa"/>
              <w:bottom w:w="80" w:type="dxa"/>
              <w:left w:w="80" w:type="dxa"/>
              <w:right w:w="80" w:type="dxa"/>
            </w:tcMar>
          </w:tcPr>
          <w:p>
            <w:pPr>
              <w:spacing w:after="60" w:before="60" w:line="252" w:lineRule="auto"/>
              <w:jc w:val="center"/>
            </w:pPr>
            <w:r>
              <w:rPr>
                <w:b w:val="0"/>
                <w:sz w:val="21"/>
              </w:rPr>
              <w:t>4</w:t>
            </w:r>
          </w:p>
        </w:tc>
      </w:tr>
    </w:tbl>
    <w:p>
      <w:pPr>
        <w:spacing w:after="0"/>
      </w:pPr>
    </w:p>
    <w:p>
      <w:pPr>
        <w:pStyle w:val="Heading2"/>
      </w:pPr>
      <w:r>
        <w:t>R01 Intellectual Property</w:t>
      </w:r>
    </w:p>
    <w:p>
      <w:pPr>
        <w:jc w:val="both"/>
      </w:pPr>
      <w:r>
        <w:t>Публикация адаптации ND-материала в коммерческой афише. L=4, I=5, R=20.</w:t>
      </w:r>
    </w:p>
    <w:p>
      <w:pPr>
        <w:jc w:val="both"/>
      </w:pPr>
      <w:r>
        <w:t>Мера: Исключить item03, item04, item11 из выборки; допуск только по отдельному разрешению на нужный способ использования. Ответственный: куратор данных и юрист проекта.</w:t>
      </w:r>
    </w:p>
    <w:p>
      <w:pPr>
        <w:jc w:val="both"/>
      </w:pPr>
      <w:r>
        <w:t>Признак наступления: R4 в аудите либо обнаружение исключённого id в макете.</w:t>
      </w:r>
    </w:p>
    <w:p>
      <w:pPr>
        <w:pStyle w:val="Heading1"/>
        <w:pageBreakBefore/>
      </w:pPr>
      <w:r>
        <w:t>5 Реестр рисков продолжение</w:t>
      </w:r>
    </w:p>
    <w:p>
      <w:pPr>
        <w:pStyle w:val="Heading2"/>
      </w:pPr>
      <w:r>
        <w:t>R02 Value Chain and Component Integration</w:t>
      </w:r>
    </w:p>
    <w:p>
      <w:pPr>
        <w:jc w:val="both"/>
      </w:pPr>
      <w:r>
        <w:t>Ошибочные права или происхождение дубликата с противоречивыми метаданными. L=4, I=4, R=16.</w:t>
      </w:r>
    </w:p>
    <w:p>
      <w:pPr>
        <w:jc w:val="both"/>
      </w:pPr>
      <w:r>
        <w:t>Мера: Карантин item10; сохранить исходные записи; перед реальным выпуском заблокировать пару item01 и item10 и проверить файлы и первоисточники. Ответственный: куратор данных.</w:t>
      </w:r>
    </w:p>
    <w:p>
      <w:pPr>
        <w:jc w:val="both"/>
      </w:pPr>
      <w:r>
        <w:t>Признак наступления: Один SHA-256 у записей с разными лицензиями или правообладателями.</w:t>
      </w:r>
    </w:p>
    <w:p>
      <w:pPr>
        <w:pStyle w:val="Heading2"/>
      </w:pPr>
      <w:r>
        <w:t>R03 Information Integrity</w:t>
      </w:r>
    </w:p>
    <w:p>
      <w:pPr>
        <w:jc w:val="both"/>
      </w:pPr>
      <w:r>
        <w:t>Синтетический фон или будущая иллюстрация воспринимается как документальная фотография фестиваля. L=3, I=4, R=12.</w:t>
      </w:r>
    </w:p>
    <w:p>
      <w:pPr>
        <w:jc w:val="both"/>
      </w:pPr>
      <w:r>
        <w:t>Мера: Редакторская проверка контекста и раскрытие синтетического происхождения иллюстрации; утверждение макета до печати. Ответственный: редактор афиши.</w:t>
      </w:r>
    </w:p>
    <w:p>
      <w:pPr>
        <w:jc w:val="both"/>
      </w:pPr>
      <w:r>
        <w:t>Признак наступления: В макете синтетическая иллюстрация названа фотографией прошедшего фестиваля.</w:t>
      </w:r>
    </w:p>
    <w:p>
      <w:pPr>
        <w:pStyle w:val="Heading2"/>
      </w:pPr>
      <w:r>
        <w:t>R04 Confabulation</w:t>
      </w:r>
    </w:p>
    <w:p>
      <w:pPr>
        <w:jc w:val="both"/>
      </w:pPr>
      <w:r>
        <w:t>При расширении процесса текстовой генерацией в афише появляется вымышленная дата или место. L=3, I=4, R=12.</w:t>
      </w:r>
    </w:p>
    <w:p>
      <w:pPr>
        <w:jc w:val="both"/>
      </w:pPr>
      <w:r>
        <w:t>Мера: Сверять фактические поля с утверждённым заданием организатора; вычитка вторым человеком. Ответственный: редактор и организатор.</w:t>
      </w:r>
    </w:p>
    <w:p>
      <w:pPr>
        <w:jc w:val="both"/>
      </w:pPr>
      <w:r>
        <w:t>Признак наступления: Дата или адрес в макете расходятся с утверждённым заданием.</w:t>
      </w:r>
    </w:p>
    <w:p>
      <w:pPr>
        <w:pStyle w:val="Heading1"/>
        <w:pageBreakBefore/>
      </w:pPr>
      <w:r>
        <w:t>5 Реестр рисков продолжение</w:t>
      </w:r>
    </w:p>
    <w:p>
      <w:pPr>
        <w:pStyle w:val="Heading2"/>
      </w:pPr>
      <w:r>
        <w:t>R05 Human-AI Configuration</w:t>
      </w:r>
    </w:p>
    <w:p>
      <w:pPr>
        <w:jc w:val="both"/>
      </w:pPr>
      <w:r>
        <w:t>Дизайнер принимает метрики текстуры или отсутствие ошибок аудита за гарантию пригодности. L=3, I=3, R=9.</w:t>
      </w:r>
    </w:p>
    <w:p>
      <w:pPr>
        <w:jc w:val="both"/>
      </w:pPr>
      <w:r>
        <w:t>Мера: Отделить автоматические показатели от решения о выпуске; проверить читаемость заголовка и основания прав. Ответственный: ответственный за выпуск.</w:t>
      </w:r>
    </w:p>
    <w:p>
      <w:pPr>
        <w:jc w:val="both"/>
      </w:pPr>
      <w:r>
        <w:t>Признак наступления: Макет передан в печать без записи проверки читаемости и прав при ссылке только на результат скрипта.</w:t>
      </w:r>
    </w:p>
    <w:p>
      <w:pPr>
        <w:pStyle w:val="Heading2"/>
      </w:pPr>
      <w:r>
        <w:t>R06 Harmful Bias or Homogenization</w:t>
      </w:r>
    </w:p>
    <w:p>
      <w:pPr>
        <w:jc w:val="both"/>
      </w:pPr>
      <w:r>
        <w:t>Повторение одного процедурного стиля уменьшает разнообразие серии афиш. L=2, I=3, R=6.</w:t>
      </w:r>
    </w:p>
    <w:p>
      <w:pPr>
        <w:jc w:val="both"/>
      </w:pPr>
      <w:r>
        <w:t>Мера: Сравнить серию и варианты композиции; дополнить процедурный фон другими проверенными приёмами по решению арт-директора. Ответственный: арт-директор.</w:t>
      </w:r>
    </w:p>
    <w:p>
      <w:pPr>
        <w:jc w:val="both"/>
      </w:pPr>
      <w:r>
        <w:t>Признак наступления: Серия отклонена на просмотре из-за одинаковых фона и композиции всех макетов.</w:t>
      </w:r>
    </w:p>
    <w:p>
      <w:pPr>
        <w:pStyle w:val="Heading2"/>
      </w:pPr>
      <w:r>
        <w:t>R07 Data Privacy</w:t>
      </w:r>
    </w:p>
    <w:p>
      <w:pPr>
        <w:jc w:val="both"/>
      </w:pPr>
      <w:r>
        <w:t>При добавлении реальных фотографий появляется узнаваемое лицо без подтверждённого основания публикации. L=1, I=4, R=4.</w:t>
      </w:r>
    </w:p>
    <w:p>
      <w:pPr>
        <w:jc w:val="both"/>
      </w:pPr>
      <w:r>
        <w:t>Мера: При каждом обновлении повторять аудит personal_data и consent; проверять охват согласия и срок; блокировать непроверенные материалы. Ответственный: куратор данных и юрист проекта.</w:t>
      </w:r>
    </w:p>
    <w:p>
      <w:pPr>
        <w:jc w:val="both"/>
      </w:pPr>
      <w:r>
        <w:t>Признак наступления: В обновлённом наборе personal_data=yes без документа-согласия либо документ не охватывает публикацию.</w:t>
      </w:r>
    </w:p>
    <w:p>
      <w:pPr>
        <w:pStyle w:val="Heading2"/>
      </w:pPr>
      <w:r>
        <w:t>Результат проверки</w:t>
      </w:r>
    </w:p>
    <w:p>
      <w:pPr>
        <w:jc w:val="both"/>
      </w:pPr>
      <w:r>
        <w:t>python src/lab02_risks.py --csv artifacts/v03/risk_register.csv --out artifacts/v03/risk_ranking.md завершился с кодом 0 и RESULT: PASS. Категории совпадают с перечнем скрипта. Дополнительно проверены уникальность идентификаторов и наличие обязательных Intellectual Property и Information Integrity; штатный валидатор обязательность категорий конкретного варианта сам не проверяет. Проверка не подтверждает, что оценки статистически измерены или меры реализованы в реальном проекте.</w:t>
      </w:r>
    </w:p>
    <w:p>
      <w:pPr>
        <w:pStyle w:val="Heading1"/>
        <w:pageBreakBefore/>
      </w:pPr>
      <w:r>
        <w:t>6 Анализ ограничений и спорных решений</w:t>
      </w:r>
    </w:p>
    <w:p>
      <w:pPr>
        <w:pStyle w:val="Heading2"/>
      </w:pPr>
      <w:r>
        <w:t>Граница автоматического аудита</w:t>
      </w:r>
    </w:p>
    <w:p>
      <w:pPr>
        <w:jc w:val="both"/>
      </w:pPr>
      <w:r>
        <w:t>Скрипт видит строки CSV, но не открывает источник, медиафайл, лицензионное уведомление или согласие. Он не устанавливает полномочия правообладателя, наличие людей в содержимом, достаточность согласия, срок или территорию разрешения. Поэтому корректность записи лицензии и права на конкретный объект требуют первоисточника и документов. Хеши здесь условны; R9 нельзя трактовать как доказанную идентичность реальных файлов.</w:t>
      </w:r>
    </w:p>
    <w:p>
      <w:pPr>
        <w:jc w:val="both"/>
      </w:pPr>
      <w:r>
        <w:t>Для реального проекта требуются оригиналы файлов и их хеши, сохранённая страница или документ лицензии с датой проверки, подтверждение полномочий автора, сведения об атрибуции и договор или разрешение на нужный способ использования. Для пары item01/item10 нужно установить, почему различаются лицензия и правообладатель. Самостоятельное удаление одной строки не решает правовой конфликт.</w:t>
      </w:r>
    </w:p>
    <w:p>
      <w:pPr>
        <w:pStyle w:val="Heading2"/>
      </w:pPr>
      <w:r>
        <w:t>Упрощение правила ND</w:t>
      </w:r>
    </w:p>
    <w:p>
      <w:pPr>
        <w:jc w:val="both"/>
      </w:pPr>
      <w:r>
        <w:t>Сообщение R4 формулируется как запрет производных. В CC BY-ND 4.0 раздел 2(a)(1)(B) допускает создание и воспроизведение Adapted Material, но не его Share. В нашем сценарии присутствует именно публикация производной афиши, поэтому конфликт сохраняется. Для внутреннего непубликуемого прототипа blanket-срабатывание R4 может переоценивать запрет и требует отдельного разбора [2].</w:t>
      </w:r>
    </w:p>
    <w:p>
      <w:pPr>
        <w:jc w:val="both"/>
      </w:pPr>
      <w:r>
        <w:t>Раздел 2(a)(4) разрешает необходимые технические изменения формата, которые сами по себе не создают Adapted Material [2]. Поэтому обычная смена формата или техническое сжатие не должны автоматически приравниваться к адаптации. Кадрирование, коллаж, изменение художественного содержания и способ включения в макет оцениваются по обстоятельствам и применимому праву. Простое указание автора не снимает запрет распространения адаптации.</w:t>
      </w:r>
    </w:p>
    <w:p>
      <w:pPr>
        <w:pStyle w:val="Heading2"/>
      </w:pPr>
      <w:r>
        <w:t>Какие вопросы решены инженерно</w:t>
      </w:r>
    </w:p>
    <w:p>
      <w:pPr>
        <w:jc w:val="both"/>
      </w:pPr>
      <w:r>
        <w:t>Инженерно выполнены создание набора, аудит, сохранение исходных метаданных, исключение ND-записей, карантин item10, повторная проверка и структурная валидация рисков. Юридического участия требуют квалификация конкретного макета как адаптации, достаточность отдельного разрешения, права реального автора и основания коммерческого использования кода. Изменение сценария на некоммерческий не снимает ND при публикации адаптаций.</w:t>
      </w:r>
    </w:p>
    <w:p>
      <w:pPr>
        <w:pStyle w:val="Heading2"/>
      </w:pPr>
      <w:r>
        <w:t>Предложение по улучшению правил</w:t>
      </w:r>
    </w:p>
    <w:p>
      <w:pPr>
        <w:jc w:val="both"/>
      </w:pPr>
      <w:r>
        <w:t>Для R4 следует разделить создание адаптации и её распространение: при ND, derivatives=true и redistribution=true выдавать конфликт публикации; без передачи адаптации — информационную находку с проверкой иных оснований. Для R9 нужно отдельно отмечать несовпадение лицензионных метаданных дубликатов и блокировать обе записи до проверки. Полезны также проверка уникальности id, целостности полей, источника лицензии и обязательных категорий варианта. В предоставленные скрипты изменения не вносились, чтобы сохранить учебную методику.</w:t>
      </w:r>
    </w:p>
    <w:p>
      <w:pPr>
        <w:pStyle w:val="Heading1"/>
        <w:pageBreakBefore/>
      </w:pPr>
      <w:r>
        <w:t>7 Вывод о пригодности набора</w:t>
      </w:r>
    </w:p>
    <w:p>
      <w:pPr>
        <w:jc w:val="both"/>
      </w:pPr>
      <w:r>
        <w:t>Исходный набор из 12 записей не соответствует заданной политике производных публикуемых материалов: три объекта CC-BY-ND-4.0 дают ошибки R4. Предупреждение R9 по item10 также требует решения из-за противоречивых сведений о правах дубликата. ND-записи исключены, item10 помещён в карантин, а исходные сведения сохранены.</w:t>
      </w:r>
    </w:p>
    <w:p>
      <w:pPr>
        <w:jc w:val="both"/>
      </w:pPr>
      <w:r>
        <w:t>Для учебного сценария выборка из 8 записей проходит повторный аудит без ошибок и предупреждений. Политика не менялась, новые лицензии, даты или разрешения не придуманы. Установлена пообъектная процедура допуска. Однако для реального производства требуется подтвердить права по всем первоисточникам; отдельная проверка нужна для item01 и item10, даже если одна запись убрана из выборки.</w:t>
      </w:r>
    </w:p>
    <w:p>
      <w:pPr>
        <w:jc w:val="both"/>
      </w:pPr>
      <w:r>
        <w:t>Паспорт данных содержит 7 заполненных разделов; карточка процедурного генератора — 9. Для генератора нет обучения и весов, а отсутствие лицензии кода задокументировано как ограничение. Ответственный за эксперимент и документацию указан, без присвоения авторства учебного кода. Метрики ЛР 1 перенесены из сохранённого паспорта и не представлены как новый эксперимент.</w:t>
      </w:r>
    </w:p>
    <w:p>
      <w:pPr>
        <w:jc w:val="both"/>
      </w:pPr>
      <w:r>
        <w:t>Реестр содержит 7 рисков из 7 категорий NIST, включая обязательные Intellectual Property и Information Integrity. Проверка дала RESULT: PASS. Наибольшая оценка у риска публикации ND-адаптации — 20; далее риск ошибочного происхождения дубликата — 16. Для каждого риска указаны мера, роль ответственного и наблюдаемый признак.</w:t>
      </w:r>
    </w:p>
    <w:p>
      <w:pPr>
        <w:jc w:val="both"/>
      </w:pPr>
      <w:r>
        <w:t>Цель лабораторной выполнена в пределах учебной модели. Документы и отсутствие автоматических находок не подтверждают юридическую чистоту реального набора. Работа не является юридической консультацией; решение о реальном выпуске принимает ответственный с участием специалиста по правам.</w:t>
      </w:r>
    </w:p>
    <w:p>
      <w:pPr>
        <w:pStyle w:val="Heading2"/>
      </w:pPr>
      <w:r>
        <w:t>Происхождение кода и выполненные действия</w:t>
      </w:r>
    </w:p>
    <w:p>
      <w:pPr>
        <w:jc w:val="both"/>
      </w:pPr>
      <w:r>
        <w:t>Пять скриптов ЛР 2 предоставлены методическим комплектом и сохранены без изменения. В ходе выполнения создан вариант 3, заранее записаны ожидания, проведены два аудита, оформлены решения, две карточки и реестр, выполнена проверка рисков, подготовлены отчёт и архив. Реальные медиаматериалы не собирались, афиша не публиковалась, запросы правообладателям не отправлялись.</w:t>
      </w:r>
    </w:p>
    <w:p>
      <w:pPr>
        <w:pStyle w:val="Heading2"/>
      </w:pPr>
      <w:r>
        <w:t>Комплект для сдачи</w:t>
      </w:r>
    </w:p>
    <w:p>
      <w:pPr>
        <w:jc w:val="both"/>
      </w:pPr>
      <w:r>
        <w:t>Отчёт находится в reports/ЛР02_Вариант_3_Отчёт.docx. Архив ЛР02_Вариант_3_Сдача.zip содержит папку LR2 с исходными скриптами, входным паспортом ЛР 1, манифестами, политикой, исходным аудитом, решениями, паспортом данных, карточкой модели, реестром рисков, журналом и проверками. Карта файлов и команда повторной проверки приведены в README.md. Архив находится рядом с папкой LR2 в проекте.</w:t>
      </w:r>
    </w:p>
    <w:p>
      <w:pPr>
        <w:pStyle w:val="Heading1"/>
        <w:pageBreakBefore/>
      </w:pPr>
      <w:r>
        <w:t>8 Ход работы и воспроизведение</w:t>
      </w:r>
    </w:p>
    <w:p>
      <w:pPr>
        <w:jc w:val="both"/>
      </w:pPr>
      <w:r>
        <w:t>Команды ниже выполняются из папки LR2. Требуется Python 3.10 или новее. Учебные вычисления не используют сторонних пакетов. При повторном выполнении ожидания первоначального запуска не заменяются и не датируются заново.</w:t>
      </w:r>
    </w:p>
    <w:p>
      <w:pPr>
        <w:spacing w:line="240" w:lineRule="auto" w:after="80"/>
      </w:pPr>
      <w:r>
        <w:rPr>
          <w:rFonts w:ascii="Courier New" w:hAnsi="Courier New"/>
          <w:sz w:val="17"/>
        </w:rPr>
        <w:t>python src/lab02_make_variant.py --variant 3 --out artifacts/v03</w:t>
      </w:r>
    </w:p>
    <w:p>
      <w:pPr>
        <w:spacing w:line="240" w:lineRule="auto" w:after="80"/>
      </w:pPr>
      <w:r>
        <w:rPr>
          <w:rFonts w:ascii="Courier New" w:hAnsi="Courier New"/>
          <w:sz w:val="17"/>
        </w:rPr>
        <w:t>python src/lab02_audit.py --manifest artifacts/v03/manifest.csv --policy artifacts/v03/policy.json --out artifacts/v03</w:t>
      </w:r>
    </w:p>
    <w:p>
      <w:pPr>
        <w:spacing w:line="240" w:lineRule="auto" w:after="80"/>
      </w:pPr>
      <w:r>
        <w:rPr>
          <w:rFonts w:ascii="Courier New" w:hAnsi="Courier New"/>
          <w:sz w:val="17"/>
        </w:rPr>
        <w:t>python src/lab02_model_card.py --passport inputs/lr01_variant03_passport.json --owner "Власюк Данил Витальевич" --out artifacts/v03/model_card_draft.md</w:t>
      </w:r>
    </w:p>
    <w:p>
      <w:pPr>
        <w:spacing w:line="240" w:lineRule="auto" w:after="80"/>
      </w:pPr>
      <w:r>
        <w:rPr>
          <w:rFonts w:ascii="Courier New" w:hAnsi="Courier New"/>
          <w:sz w:val="17"/>
        </w:rPr>
        <w:t>python src/lab02_risks.py --template artifacts/v03/risk_register_template.csv</w:t>
      </w:r>
    </w:p>
    <w:p>
      <w:pPr>
        <w:spacing w:line="240" w:lineRule="auto" w:after="80"/>
      </w:pPr>
      <w:r>
        <w:rPr>
          <w:rFonts w:ascii="Courier New" w:hAnsi="Courier New"/>
          <w:sz w:val="17"/>
        </w:rPr>
        <w:t>python scripts/prepare_results.py</w:t>
      </w:r>
    </w:p>
    <w:p>
      <w:pPr>
        <w:spacing w:line="240" w:lineRule="auto" w:after="80"/>
      </w:pPr>
      <w:r>
        <w:rPr>
          <w:rFonts w:ascii="Courier New" w:hAnsi="Courier New"/>
          <w:sz w:val="17"/>
        </w:rPr>
        <w:t>python src/lab02_audit.py --manifest artifacts/v03/manifest_selected.csv --policy artifacts/v03/policy.json --out artifacts/v03/selected_audit</w:t>
      </w:r>
    </w:p>
    <w:p>
      <w:pPr>
        <w:spacing w:line="240" w:lineRule="auto" w:after="80"/>
      </w:pPr>
      <w:r>
        <w:rPr>
          <w:rFonts w:ascii="Courier New" w:hAnsi="Courier New"/>
          <w:sz w:val="17"/>
        </w:rPr>
        <w:t>python src/lab02_risks.py --csv artifacts/v03/risk_register.csv --out artifacts/v03/risk_ranking.md</w:t>
      </w:r>
    </w:p>
    <w:p>
      <w:pPr>
        <w:spacing w:line="240" w:lineRule="auto" w:after="80"/>
      </w:pPr>
      <w:r>
        <w:rPr>
          <w:rFonts w:ascii="Courier New" w:hAnsi="Courier New"/>
          <w:sz w:val="17"/>
        </w:rPr>
        <w:t>python scripts/verify_submission.py</w:t>
      </w:r>
    </w:p>
    <w:p>
      <w:pPr>
        <w:jc w:val="both"/>
      </w:pPr>
      <w:r>
        <w:t>Карточка из штатного скрипта служит заготовкой; окончательная model_card.md дополнена определениями метрик, двумя условиями эксперимента, ответственным и ограничением лицензии кода. data_card.md — итоговый паспорт данных; автоматически созданные заготовки сохранены как свидетельство работы скриптов.</w:t>
      </w:r>
    </w:p>
    <w:p>
      <w:pPr>
        <w:jc w:val="both"/>
      </w:pPr>
      <w:r>
        <w:t>Исходные выводы и коды завершения сохранены в reports/run_log.json; полный вывод проверки реестра — в reports/risk_validation.log. SHA-256 скриптов и входов находится в reports/source_sha256.json. Скрипт verify_submission.py создаёт вариант заново во временной папке, сравнивает данные, пересчитывает аудит и проверяет покрытия решений и категорий. Отчёт Word при этом не изменяется.</w:t>
      </w:r>
    </w:p>
    <w:p>
      <w:pPr>
        <w:pStyle w:val="Heading2"/>
      </w:pPr>
      <w:r>
        <w:t>Основные файлы артефактов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6180"/>
      </w:tblGrid>
      <w:tr>
        <w:trPr>
          <w:cantSplit/>
          <w:tblHeader/>
        </w:trPr>
        <w:tc>
          <w:tcPr>
            <w:tcW w:type="dxa" w:w="3402"/>
            <w:vAlign w:val="center"/>
            <w:tcMar>
              <w:top w:w="80" w:type="dxa"/>
              <w:bottom w:w="80" w:type="dxa"/>
              <w:left w:w="80" w:type="dxa"/>
              <w:right w:w="80" w:type="dxa"/>
            </w:tcMar>
            <w:shd w:fill="E8EDF3"/>
          </w:tcPr>
          <w:p>
            <w:pPr>
              <w:spacing w:after="60" w:before="60" w:line="252" w:lineRule="auto"/>
              <w:jc w:val="left"/>
            </w:pPr>
            <w:r>
              <w:rPr>
                <w:b/>
                <w:sz w:val="21"/>
              </w:rPr>
              <w:t>Назначение</w:t>
            </w:r>
          </w:p>
        </w:tc>
        <w:tc>
          <w:tcPr>
            <w:tcW w:type="dxa" w:w="6180"/>
            <w:vAlign w:val="center"/>
            <w:tcMar>
              <w:top w:w="80" w:type="dxa"/>
              <w:bottom w:w="80" w:type="dxa"/>
              <w:left w:w="80" w:type="dxa"/>
              <w:right w:w="80" w:type="dxa"/>
            </w:tcMar>
            <w:shd w:fill="E8EDF3"/>
          </w:tcPr>
          <w:p>
            <w:pPr>
              <w:spacing w:after="60" w:before="60" w:line="252" w:lineRule="auto"/>
              <w:jc w:val="left"/>
            </w:pPr>
            <w:r>
              <w:rPr>
                <w:b/>
                <w:sz w:val="21"/>
              </w:rPr>
              <w:t>Файл относительно LR2</w:t>
            </w:r>
          </w:p>
        </w:tc>
      </w:tr>
      <w:tr>
        <w:trPr>
          <w:cantSplit/>
        </w:trPr>
        <w:tc>
          <w:tcPr>
            <w:tcW w:type="dxa" w:w="3402"/>
            <w:vAlign w:val="center"/>
            <w:tcMar>
              <w:top w:w="80" w:type="dxa"/>
              <w:bottom w:w="80" w:type="dxa"/>
              <w:left w:w="80" w:type="dxa"/>
              <w:right w:w="80" w:type="dxa"/>
            </w:tcMar>
          </w:tcPr>
          <w:p>
            <w:pPr>
              <w:spacing w:after="60" w:before="60" w:line="252" w:lineRule="auto"/>
              <w:jc w:val="left"/>
            </w:pPr>
            <w:r>
              <w:rPr>
                <w:b w:val="0"/>
                <w:sz w:val="21"/>
              </w:rPr>
              <w:t>Прогноз до первого аудита</w:t>
            </w:r>
          </w:p>
        </w:tc>
        <w:tc>
          <w:tcPr>
            <w:tcW w:type="dxa" w:w="6180"/>
            <w:vAlign w:val="center"/>
            <w:tcMar>
              <w:top w:w="80" w:type="dxa"/>
              <w:bottom w:w="80" w:type="dxa"/>
              <w:left w:w="80" w:type="dxa"/>
              <w:right w:w="80" w:type="dxa"/>
            </w:tcMar>
          </w:tcPr>
          <w:p>
            <w:pPr>
              <w:spacing w:after="60" w:before="60" w:line="252" w:lineRule="auto"/>
              <w:jc w:val="left"/>
            </w:pPr>
            <w:r>
              <w:rPr>
                <w:b w:val="0"/>
                <w:sz w:val="21"/>
              </w:rPr>
              <w:t>reports/expectations_before_audit.md</w:t>
            </w:r>
          </w:p>
        </w:tc>
      </w:tr>
      <w:tr>
        <w:trPr>
          <w:cantSplit/>
        </w:trPr>
        <w:tc>
          <w:tcPr>
            <w:tcW w:type="dxa" w:w="3402"/>
            <w:vAlign w:val="center"/>
            <w:tcMar>
              <w:top w:w="80" w:type="dxa"/>
              <w:bottom w:w="80" w:type="dxa"/>
              <w:left w:w="80" w:type="dxa"/>
              <w:right w:w="80" w:type="dxa"/>
            </w:tcMar>
          </w:tcPr>
          <w:p>
            <w:pPr>
              <w:spacing w:after="60" w:before="60" w:line="252" w:lineRule="auto"/>
              <w:jc w:val="left"/>
            </w:pPr>
            <w:r>
              <w:rPr>
                <w:b w:val="0"/>
                <w:sz w:val="21"/>
              </w:rPr>
              <w:t>Вход и политика</w:t>
            </w:r>
          </w:p>
        </w:tc>
        <w:tc>
          <w:tcPr>
            <w:tcW w:type="dxa" w:w="6180"/>
            <w:vAlign w:val="center"/>
            <w:tcMar>
              <w:top w:w="80" w:type="dxa"/>
              <w:bottom w:w="80" w:type="dxa"/>
              <w:left w:w="80" w:type="dxa"/>
              <w:right w:w="80" w:type="dxa"/>
            </w:tcMar>
          </w:tcPr>
          <w:p>
            <w:pPr>
              <w:spacing w:after="60" w:before="60" w:line="252" w:lineRule="auto"/>
              <w:jc w:val="left"/>
            </w:pPr>
            <w:r>
              <w:rPr>
                <w:b w:val="0"/>
                <w:sz w:val="21"/>
              </w:rPr>
              <w:t>artifacts/v03/manifest.csv и policy.json</w:t>
            </w:r>
          </w:p>
        </w:tc>
      </w:tr>
      <w:tr>
        <w:trPr>
          <w:cantSplit/>
        </w:trPr>
        <w:tc>
          <w:tcPr>
            <w:tcW w:type="dxa" w:w="3402"/>
            <w:vAlign w:val="center"/>
            <w:tcMar>
              <w:top w:w="80" w:type="dxa"/>
              <w:bottom w:w="80" w:type="dxa"/>
              <w:left w:w="80" w:type="dxa"/>
              <w:right w:w="80" w:type="dxa"/>
            </w:tcMar>
          </w:tcPr>
          <w:p>
            <w:pPr>
              <w:spacing w:after="60" w:before="60" w:line="252" w:lineRule="auto"/>
              <w:jc w:val="left"/>
            </w:pPr>
            <w:r>
              <w:rPr>
                <w:b w:val="0"/>
                <w:sz w:val="21"/>
              </w:rPr>
              <w:t>Аудит с решениями</w:t>
            </w:r>
          </w:p>
        </w:tc>
        <w:tc>
          <w:tcPr>
            <w:tcW w:type="dxa" w:w="6180"/>
            <w:vAlign w:val="center"/>
            <w:tcMar>
              <w:top w:w="80" w:type="dxa"/>
              <w:bottom w:w="80" w:type="dxa"/>
              <w:left w:w="80" w:type="dxa"/>
              <w:right w:w="80" w:type="dxa"/>
            </w:tcMar>
          </w:tcPr>
          <w:p>
            <w:pPr>
              <w:spacing w:after="60" w:before="60" w:line="252" w:lineRule="auto"/>
              <w:jc w:val="left"/>
            </w:pPr>
            <w:r>
              <w:rPr>
                <w:b w:val="0"/>
                <w:sz w:val="21"/>
              </w:rPr>
              <w:t>artifacts/v03/audit_report.md и audit_decisions.json</w:t>
            </w:r>
          </w:p>
        </w:tc>
      </w:tr>
      <w:tr>
        <w:trPr>
          <w:cantSplit/>
        </w:trPr>
        <w:tc>
          <w:tcPr>
            <w:tcW w:type="dxa" w:w="3402"/>
            <w:vAlign w:val="center"/>
            <w:tcMar>
              <w:top w:w="80" w:type="dxa"/>
              <w:bottom w:w="80" w:type="dxa"/>
              <w:left w:w="80" w:type="dxa"/>
              <w:right w:w="80" w:type="dxa"/>
            </w:tcMar>
          </w:tcPr>
          <w:p>
            <w:pPr>
              <w:spacing w:after="60" w:before="60" w:line="252" w:lineRule="auto"/>
              <w:jc w:val="left"/>
            </w:pPr>
            <w:r>
              <w:rPr>
                <w:b w:val="0"/>
                <w:sz w:val="21"/>
              </w:rPr>
              <w:t>Выборка и её аудит</w:t>
            </w:r>
          </w:p>
        </w:tc>
        <w:tc>
          <w:tcPr>
            <w:tcW w:type="dxa" w:w="6180"/>
            <w:vAlign w:val="center"/>
            <w:tcMar>
              <w:top w:w="80" w:type="dxa"/>
              <w:bottom w:w="80" w:type="dxa"/>
              <w:left w:w="80" w:type="dxa"/>
              <w:right w:w="80" w:type="dxa"/>
            </w:tcMar>
          </w:tcPr>
          <w:p>
            <w:pPr>
              <w:spacing w:after="60" w:before="60" w:line="252" w:lineRule="auto"/>
              <w:jc w:val="left"/>
            </w:pPr>
            <w:r>
              <w:rPr>
                <w:b w:val="0"/>
                <w:sz w:val="21"/>
              </w:rPr>
              <w:t>artifacts/v03/manifest_selected.csv и selected_audit/audit_report.json</w:t>
            </w:r>
          </w:p>
        </w:tc>
      </w:tr>
      <w:tr>
        <w:trPr>
          <w:cantSplit/>
        </w:trPr>
        <w:tc>
          <w:tcPr>
            <w:tcW w:type="dxa" w:w="3402"/>
            <w:vAlign w:val="center"/>
            <w:tcMar>
              <w:top w:w="80" w:type="dxa"/>
              <w:bottom w:w="80" w:type="dxa"/>
              <w:left w:w="80" w:type="dxa"/>
              <w:right w:w="80" w:type="dxa"/>
            </w:tcMar>
          </w:tcPr>
          <w:p>
            <w:pPr>
              <w:spacing w:after="60" w:before="60" w:line="252" w:lineRule="auto"/>
              <w:jc w:val="left"/>
            </w:pPr>
            <w:r>
              <w:rPr>
                <w:b w:val="0"/>
                <w:sz w:val="21"/>
              </w:rPr>
              <w:t>Паспорт набора</w:t>
            </w:r>
          </w:p>
        </w:tc>
        <w:tc>
          <w:tcPr>
            <w:tcW w:type="dxa" w:w="6180"/>
            <w:vAlign w:val="center"/>
            <w:tcMar>
              <w:top w:w="80" w:type="dxa"/>
              <w:bottom w:w="80" w:type="dxa"/>
              <w:left w:w="80" w:type="dxa"/>
              <w:right w:w="80" w:type="dxa"/>
            </w:tcMar>
          </w:tcPr>
          <w:p>
            <w:pPr>
              <w:spacing w:after="60" w:before="60" w:line="252" w:lineRule="auto"/>
              <w:jc w:val="left"/>
            </w:pPr>
            <w:r>
              <w:rPr>
                <w:b w:val="0"/>
                <w:sz w:val="21"/>
              </w:rPr>
              <w:t>artifacts/v03/data_card.md</w:t>
            </w:r>
          </w:p>
        </w:tc>
      </w:tr>
      <w:tr>
        <w:trPr>
          <w:cantSplit/>
        </w:trPr>
        <w:tc>
          <w:tcPr>
            <w:tcW w:type="dxa" w:w="3402"/>
            <w:vAlign w:val="center"/>
            <w:tcMar>
              <w:top w:w="80" w:type="dxa"/>
              <w:bottom w:w="80" w:type="dxa"/>
              <w:left w:w="80" w:type="dxa"/>
              <w:right w:w="80" w:type="dxa"/>
            </w:tcMar>
          </w:tcPr>
          <w:p>
            <w:pPr>
              <w:spacing w:after="60" w:before="60" w:line="252" w:lineRule="auto"/>
              <w:jc w:val="left"/>
            </w:pPr>
            <w:r>
              <w:rPr>
                <w:b w:val="0"/>
                <w:sz w:val="21"/>
              </w:rPr>
              <w:t>Карточка модели</w:t>
            </w:r>
          </w:p>
        </w:tc>
        <w:tc>
          <w:tcPr>
            <w:tcW w:type="dxa" w:w="6180"/>
            <w:vAlign w:val="center"/>
            <w:tcMar>
              <w:top w:w="80" w:type="dxa"/>
              <w:bottom w:w="80" w:type="dxa"/>
              <w:left w:w="80" w:type="dxa"/>
              <w:right w:w="80" w:type="dxa"/>
            </w:tcMar>
          </w:tcPr>
          <w:p>
            <w:pPr>
              <w:spacing w:after="60" w:before="60" w:line="252" w:lineRule="auto"/>
              <w:jc w:val="left"/>
            </w:pPr>
            <w:r>
              <w:rPr>
                <w:b w:val="0"/>
                <w:sz w:val="21"/>
              </w:rPr>
              <w:t>artifacts/v03/model_card.md</w:t>
            </w:r>
          </w:p>
        </w:tc>
      </w:tr>
      <w:tr>
        <w:trPr>
          <w:cantSplit/>
        </w:trPr>
        <w:tc>
          <w:tcPr>
            <w:tcW w:type="dxa" w:w="3402"/>
            <w:vAlign w:val="center"/>
            <w:tcMar>
              <w:top w:w="80" w:type="dxa"/>
              <w:bottom w:w="80" w:type="dxa"/>
              <w:left w:w="80" w:type="dxa"/>
              <w:right w:w="80" w:type="dxa"/>
            </w:tcMar>
          </w:tcPr>
          <w:p>
            <w:pPr>
              <w:spacing w:after="60" w:before="60" w:line="252" w:lineRule="auto"/>
              <w:jc w:val="left"/>
            </w:pPr>
            <w:r>
              <w:rPr>
                <w:b w:val="0"/>
                <w:sz w:val="21"/>
              </w:rPr>
              <w:t>Реестр и ранжирование</w:t>
            </w:r>
          </w:p>
        </w:tc>
        <w:tc>
          <w:tcPr>
            <w:tcW w:type="dxa" w:w="6180"/>
            <w:vAlign w:val="center"/>
            <w:tcMar>
              <w:top w:w="80" w:type="dxa"/>
              <w:bottom w:w="80" w:type="dxa"/>
              <w:left w:w="80" w:type="dxa"/>
              <w:right w:w="80" w:type="dxa"/>
            </w:tcMar>
          </w:tcPr>
          <w:p>
            <w:pPr>
              <w:spacing w:after="60" w:before="60" w:line="252" w:lineRule="auto"/>
              <w:jc w:val="left"/>
            </w:pPr>
            <w:r>
              <w:rPr>
                <w:b w:val="0"/>
                <w:sz w:val="21"/>
              </w:rPr>
              <w:t>artifacts/v03/risk_register.csv и risk_ranking.md</w:t>
            </w:r>
          </w:p>
        </w:tc>
      </w:tr>
      <w:tr>
        <w:trPr>
          <w:cantSplit/>
        </w:trPr>
        <w:tc>
          <w:tcPr>
            <w:tcW w:type="dxa" w:w="3402"/>
            <w:vAlign w:val="center"/>
            <w:tcMar>
              <w:top w:w="80" w:type="dxa"/>
              <w:bottom w:w="80" w:type="dxa"/>
              <w:left w:w="80" w:type="dxa"/>
              <w:right w:w="80" w:type="dxa"/>
            </w:tcMar>
          </w:tcPr>
          <w:p>
            <w:pPr>
              <w:spacing w:after="60" w:before="60" w:line="252" w:lineRule="auto"/>
              <w:jc w:val="left"/>
            </w:pPr>
            <w:r>
              <w:rPr>
                <w:b w:val="0"/>
                <w:sz w:val="21"/>
              </w:rPr>
              <w:t>Проверка и журнал</w:t>
            </w:r>
          </w:p>
        </w:tc>
        <w:tc>
          <w:tcPr>
            <w:tcW w:type="dxa" w:w="6180"/>
            <w:vAlign w:val="center"/>
            <w:tcMar>
              <w:top w:w="80" w:type="dxa"/>
              <w:bottom w:w="80" w:type="dxa"/>
              <w:left w:w="80" w:type="dxa"/>
              <w:right w:w="80" w:type="dxa"/>
            </w:tcMar>
          </w:tcPr>
          <w:p>
            <w:pPr>
              <w:spacing w:after="60" w:before="60" w:line="252" w:lineRule="auto"/>
              <w:jc w:val="left"/>
            </w:pPr>
            <w:r>
              <w:rPr>
                <w:b w:val="0"/>
                <w:sz w:val="21"/>
              </w:rPr>
              <w:t>reports/verification.json и run_log.json</w:t>
            </w:r>
          </w:p>
        </w:tc>
      </w:tr>
    </w:tbl>
    <w:p>
      <w:pPr>
        <w:spacing w:after="0"/>
      </w:pPr>
    </w:p>
    <w:p>
      <w:pPr>
        <w:pStyle w:val="Heading1"/>
        <w:pageBreakBefore/>
      </w:pPr>
      <w:r>
        <w:t>9 Ответы на контрольные вопросы</w:t>
      </w:r>
    </w:p>
    <w:p>
      <w:pPr>
        <w:pStyle w:val="Heading2"/>
      </w:pPr>
      <w:r>
        <w:t>1 Три разных объекта прав</w:t>
      </w:r>
    </w:p>
    <w:p>
      <w:pPr>
        <w:jc w:val="both"/>
      </w:pPr>
      <w:r>
        <w:t>Лицензия входных данных определяет способы использования материалов; лицензия весов — способы использования и распространения параметров обученной модели; права на результат зависят от условий инструмента, состава результата и применимого права. Ошибка — считать результат свободным только потому, что вход был открытым. Здесь весов нет, а лицензия кода неизвестна.</w:t>
      </w:r>
    </w:p>
    <w:p>
      <w:pPr>
        <w:pStyle w:val="Heading2"/>
      </w:pPr>
      <w:r>
        <w:t>2 Условия Creative Commons</w:t>
      </w:r>
    </w:p>
    <w:p>
      <w:pPr>
        <w:jc w:val="both"/>
      </w:pPr>
      <w:r>
        <w:t>BY требует предусмотренной атрибуции; SA — совместимых условий распространения адаптации; NC ограничивает коммерческое использование; ND не разрешает распространение адаптации. Для коммерческой афиши NC создаёт конфликт с коммерческим сценарием, ND — с публикацией адаптации. SA в заданной учебной политике также требует решения [2, 3].</w:t>
      </w:r>
    </w:p>
    <w:p>
      <w:pPr>
        <w:pStyle w:val="Heading2"/>
      </w:pPr>
      <w:r>
        <w:t>3 Нестандартная запись лицензии</w:t>
      </w:r>
    </w:p>
    <w:p>
      <w:pPr>
        <w:jc w:val="both"/>
      </w:pPr>
      <w:r>
        <w:t>«CC BY 4» не является точным идентификатором из учебного каталога. Без первоисточника нельзя исключить ошибку или другое условие. Стандартная запись — CC-BY-4.0. Нужно запросить подтверждение лицензии, а не автоматически переименовать запись.</w:t>
      </w:r>
    </w:p>
    <w:p>
      <w:pPr>
        <w:pStyle w:val="Heading2"/>
      </w:pPr>
      <w:r>
        <w:t>4 Две находки по одному объекту</w:t>
      </w:r>
    </w:p>
    <w:p>
      <w:pPr>
        <w:jc w:val="both"/>
      </w:pPr>
      <w:r>
        <w:t>В демонстрационном варианте CC-BY-NC-SA-4.0 нарушает коммерческое условие R3 и вызывает предупреждение R5 при неприемлемом ShareAlike. Исключение объекта снимает обе проблемы для выборки. В нашем варианте основной конфликт — R4, поэтому эта пара правил не срабатывает.</w:t>
      </w:r>
    </w:p>
    <w:p>
      <w:pPr>
        <w:pStyle w:val="Heading2"/>
      </w:pPr>
      <w:r>
        <w:t>5 Ошибка и предупреждение</w:t>
      </w:r>
    </w:p>
    <w:p>
      <w:pPr>
        <w:jc w:val="both"/>
      </w:pPr>
      <w:r>
        <w:t>Ошибка фиксирует конфликт с правилами учебной политики, предупреждение — проблему, требующую решения и проверки. R9 по item10 нельзя оставить без решения: совпадающий хеш сопровождается разными сведениями о правах. Выбран карантин.</w:t>
      </w:r>
    </w:p>
    <w:p>
      <w:pPr>
        <w:pStyle w:val="Heading1"/>
        <w:pageBreakBefore/>
      </w:pPr>
      <w:r>
        <w:t>9 Ответы на контрольные вопросы продолжение</w:t>
      </w:r>
    </w:p>
    <w:p>
      <w:pPr>
        <w:pStyle w:val="Heading2"/>
      </w:pPr>
      <w:r>
        <w:t>6 Согласия при публикации</w:t>
      </w:r>
    </w:p>
    <w:p>
      <w:pPr>
        <w:jc w:val="both"/>
      </w:pPr>
      <w:r>
        <w:t>Для четырёх записей с персональными данными, где одна без согласия, две с документом и одна с n-a: при публикации 2 ошибки R6 и 2 предупреждения R7; без публикации 2 ошибки R6 и 0 предупреждений R7. Это учитывает только указанные дефекты.</w:t>
      </w:r>
    </w:p>
    <w:p>
      <w:pPr>
        <w:pStyle w:val="Heading2"/>
      </w:pPr>
      <w:r>
        <w:t>7 Расчёт риска</w:t>
      </w:r>
    </w:p>
    <w:p>
      <w:pPr>
        <w:jc w:val="both"/>
      </w:pPr>
      <w:r>
        <w:t>При L=3 и I=5 оценка R=15. Пара L=4, I=3 даёт 12, а L=2, I=5 — 10; выше ранжируется первая. Равенство произведений не означает одинаковую природу последствий.</w:t>
      </w:r>
    </w:p>
    <w:p>
      <w:pPr>
        <w:pStyle w:val="Heading2"/>
      </w:pPr>
      <w:r>
        <w:t>8 Пробелы паспорта ЛР 1</w:t>
      </w:r>
    </w:p>
    <w:p>
      <w:pPr>
        <w:jc w:val="both"/>
      </w:pPr>
      <w:r>
        <w:t>Из паспорта нельзя вывести лицензию чужого кода и ответственного. В карточке ответственным указан исполнитель лабораторной работы; лицензия остаётся неустановленной до ответа автора или преподавателя. Это показывает, что технических параметров недостаточно для документации ответственности и прав.</w:t>
      </w:r>
    </w:p>
    <w:p>
      <w:pPr>
        <w:pStyle w:val="Heading2"/>
      </w:pPr>
      <w:r>
        <w:t>9 Наблюдаемый признак</w:t>
      </w:r>
    </w:p>
    <w:p>
      <w:pPr>
        <w:jc w:val="both"/>
      </w:pPr>
      <w:r>
        <w:t>Без признака нельзя установить, что риск наступил, и запустить меру. Для Data Privacy наблюдаемое событие — обнаружена запись personal_data=yes без документа-согласия либо документ не покрывает публикацию. Формулировка «возможна утечка» событие не задаёт.</w:t>
      </w:r>
    </w:p>
    <w:p>
      <w:pPr>
        <w:pStyle w:val="Heading2"/>
      </w:pPr>
      <w:r>
        <w:t>10 Пределы скрипта</w:t>
      </w:r>
    </w:p>
    <w:p>
      <w:pPr>
        <w:jc w:val="both"/>
      </w:pPr>
      <w:r>
        <w:t>Аудит не подтверждает права, согласия и подлинность содержимого. Нужны оригинал файла, первоисточник лицензии, сведения об авторе и основаниях разрешения, а при спорной адаптации — правовая оценка конкретного макета. Отсутствие ошибок по CSV не равно проверке этих документов.</w:t>
      </w:r>
    </w:p>
    <w:p>
      <w:pPr>
        <w:pStyle w:val="Heading1"/>
        <w:pageBreakBefore/>
      </w:pPr>
      <w:r>
        <w:t>Источники</w:t>
      </w:r>
    </w:p>
    <w:p>
      <w:pPr>
        <w:jc w:val="both"/>
      </w:pPr>
      <w:r>
        <w:t>[1] Методические указания «Лабораторная работа № 2. Карточка модели, лицензии, происхождение данных и анализ рисков», предоставленные DOCX и ZIP; разделы 3–5, вариант 3 в разделе 7, требования к отчёту в разделе 8. Пять учебных скриптов — тот же комплект.</w:t>
      </w:r>
    </w:p>
    <w:p>
      <w:pPr>
        <w:jc w:val="both"/>
      </w:pPr>
      <w:r>
        <w:t>[2] Creative Commons. Attribution NoDerivatives 4.0 International. Юридический текст, разделы 2(a)(1)(B), 2(a)(4), 3(a). Проверено 07.10.2026 в Dia. https://creativecommons.org/licenses/by-nd/4.0/legalcode.en</w:t>
      </w:r>
    </w:p>
    <w:p>
      <w:pPr>
        <w:jc w:val="both"/>
      </w:pPr>
      <w:r>
        <w:t>[3] Creative Commons. Attribution 4.0 International. Условия атрибуции и изменений; проверено 07.10.2026. https://creativecommons.org/licenses/by/4.0/</w:t>
      </w:r>
    </w:p>
    <w:p>
      <w:pPr>
        <w:jc w:val="both"/>
      </w:pPr>
      <w:r>
        <w:t>[4] Apache Software Foundation. Apache License Version 2.0. Раздел 4; проверено 07.10.2026. https://www.apache.org/licenses/LICENSE-2.0</w:t>
      </w:r>
    </w:p>
    <w:p>
      <w:pPr>
        <w:jc w:val="both"/>
      </w:pPr>
      <w:r>
        <w:t>[5] SPDX. MIT License. Текст лицензии и идентификатор; проверено 07.10.2026. https://spdx.org/licenses/MIT.html</w:t>
      </w:r>
    </w:p>
    <w:p>
      <w:pPr>
        <w:jc w:val="both"/>
      </w:pPr>
      <w:r>
        <w:t>[6] NIST AI 600-1. Artificial Intelligence Risk Management Framework Generative Artificial Intelligence Profile, 2024. Перечень категорий взят из предоставленных методических указаний и lab02_common.py. Первичный документ: https://doi.org/10.6028/NIST.AI.600-1</w:t>
      </w:r>
    </w:p>
    <w:p>
      <w:pPr>
        <w:jc w:val="both"/>
      </w:pPr>
      <w:r>
        <w:t>[7] Gebru T. и др. Datasheets for Datasets. arXiv:1803.09010, 2018. Семь разделов паспорта применены по шаблону методических указаний. https://arxiv.org/abs/1803.09010</w:t>
      </w:r>
    </w:p>
    <w:p>
      <w:pPr>
        <w:jc w:val="both"/>
      </w:pPr>
      <w:r>
        <w:t>[8] Mitchell M. и др. Model Cards for Model Reporting. arXiv:1810.03993, 2018. Девять разделов карточки применены по шаблону методических указаний. https://arxiv.org/abs/1810.03993</w:t>
      </w:r>
    </w:p>
    <w:p>
      <w:pPr>
        <w:jc w:val="both"/>
      </w:pPr>
      <w:r>
        <w:t>[9] Паспорт и результаты ЛР 1, вариант 3, 24.09.2026. Входные копии: inputs/lr01_variant03_passport.json и inputs/lr01_variant03_results.json; исходный генератор и скрипт эксперимента — inputs/lr01_src/. Числовые данные карточки модели взяты из этого паспорта.</w:t>
      </w:r>
    </w:p>
    <w:sectPr w:rsidR="00FC693F" w:rsidRPr="0006063C" w:rsidSect="00034616">
      <w:footerReference w:type="default" r:id="rId9"/>
      <w:pgSz w:w="11906" w:h="16838"/>
      <w:pgMar w:top="1020" w:right="1020" w:bottom="1020"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Times New Roman" w:hAnsi="Times New Roman" w:eastAsia="Times New Roman" w:cs="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cstheme="majorBidi"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00"/>
      <w:contextualSpacing/>
    </w:pPr>
    <w:rPr>
      <w:rFonts w:cstheme="majorBidi" w:ascii="Times New Roman" w:hAnsi="Times New Roman" w:eastAsia="Times New Roman" w:cs="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2 Карточка модели лицензии происхождение данных и анализ рисков</dc:title>
  <dc:subject>ЛР 2 вариант 3</dc:subject>
  <dc:creator>Власюк Данил Витальевич</dc:creator>
  <cp:keywords/>
  <dc:description>generated by python-docx</dc:description>
  <cp:lastModifiedBy/>
  <cp:revision>1</cp:revision>
  <dcterms:created xsi:type="dcterms:W3CDTF">2013-12-23T23:15:00Z</dcterms:created>
  <dcterms:modified xsi:type="dcterms:W3CDTF">2013-12-23T23:15:00Z</dcterms:modified>
  <cp:category/>
</cp:coreProperties>
</file>