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2" w:lineRule="auto"/>
        <w:jc w:val="center"/>
      </w:pPr>
      <w:r>
        <w:rPr>
          <w:rFonts w:ascii="Arial" w:hAnsi="Arial" w:eastAsia="Arial"/>
          <w:b/>
          <w:color w:val="000000"/>
          <w:sz w:val="20"/>
        </w:rPr>
        <w:t>Донской государственный технический университет</w:t>
      </w:r>
    </w:p>
    <w:p>
      <w:pPr>
        <w:pStyle w:val="Title"/>
        <w:spacing w:after="100"/>
        <w:jc w:val="center"/>
      </w:pPr>
      <w:r>
        <w:t>Краткий учебный план дисциплины</w:t>
      </w:r>
    </w:p>
    <w:p>
      <w:pPr>
        <w:spacing w:after="60" w:line="252" w:lineRule="auto"/>
        <w:jc w:val="center"/>
      </w:pPr>
      <w:r>
        <w:rPr>
          <w:rFonts w:ascii="Arial" w:hAnsi="Arial" w:eastAsia="Arial"/>
          <w:b/>
          <w:color w:val="000000"/>
          <w:sz w:val="30"/>
        </w:rPr>
        <w:t>Введение в машинное обучение</w:t>
      </w:r>
    </w:p>
    <w:p>
      <w:pPr>
        <w:spacing w:after="240" w:line="252" w:lineRule="auto"/>
        <w:jc w:val="center"/>
      </w:pPr>
      <w:r>
        <w:rPr>
          <w:rFonts w:ascii="Arial" w:hAnsi="Arial" w:eastAsia="Arial"/>
          <w:b w:val="0"/>
          <w:color w:val="000000"/>
          <w:sz w:val="19"/>
        </w:rPr>
        <w:t>Рабочая версия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520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7560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Уровень обучения</w:t>
            </w:r>
          </w:p>
        </w:tc>
        <w:tc>
          <w:tcPr>
            <w:tcW w:type="dxa" w:w="756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3 курс бакалавриата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Период</w:t>
            </w:r>
          </w:p>
        </w:tc>
        <w:tc>
          <w:tcPr>
            <w:tcW w:type="dxa" w:w="756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Октябрь–декабрь; экзамен в январе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Формат</w:t>
            </w:r>
          </w:p>
        </w:tc>
        <w:tc>
          <w:tcPr>
            <w:tcW w:type="dxa" w:w="756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Онлайн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Объём</w:t>
            </w:r>
          </w:p>
        </w:tc>
        <w:tc>
          <w:tcPr>
            <w:tcW w:type="dxa" w:w="756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15 лекций и 15 практических занятий по 2 академических часа; всего 60 академических часов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Итоговый контроль</w:t>
            </w:r>
          </w:p>
        </w:tc>
        <w:tc>
          <w:tcPr>
            <w:tcW w:type="dxa" w:w="756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Экзамен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Основные инструменты</w:t>
            </w:r>
          </w:p>
        </w:tc>
        <w:tc>
          <w:tcPr>
            <w:tcW w:type="dxa" w:w="756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Python, NumPy, Pandas, Matplotlib, scikit-learn, CatBoost, Jupyter Notebook, GitHub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Цель дисциплины</w:t>
      </w:r>
    </w:p>
    <w:p>
      <w:pPr>
        <w:spacing w:after="80" w:line="259" w:lineRule="auto"/>
      </w:pPr>
      <w:r>
        <w:rPr>
          <w:rFonts w:ascii="Arial" w:hAnsi="Arial" w:eastAsia="Arial"/>
          <w:b w:val="0"/>
          <w:color w:val="000000"/>
          <w:sz w:val="21"/>
        </w:rPr>
        <w:t>Сформировать у студентов фундаментальное понимание классического машинного обучения и базовые навыки решения задач на табличных данных — от постановки задачи и построения baseline до валидации, сравнения моделей и объяснения результатов.</w:t>
      </w:r>
    </w:p>
    <w:p>
      <w:pPr>
        <w:pStyle w:val="Heading1"/>
        <w:keepNext/>
      </w:pPr>
      <w:r>
        <w:t>Планируемые результаты обучения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понимать назначение основных алгоритмов классического машинного обучения и объяснять их работу;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корректно разделять данные, выбирать метрики и проводить валидацию моделей;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обучать и сравнивать модели с помощью scikit-learn;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выявлять переобучение, дисбаланс классов и утечки данных;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проводить воспроизводимый ML-эксперимент и формулировать выводы;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отвечать на базовые вопросы по Classical ML на собеседовании уровня Junior Data Scientist или ML Intern.</w:t>
      </w:r>
    </w:p>
    <w:p>
      <w:pPr>
        <w:pStyle w:val="Heading1"/>
        <w:keepNext/>
      </w:pPr>
      <w:r>
        <w:t>Организация учебной недели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1512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Занятие</w:t>
            </w:r>
          </w:p>
        </w:tc>
        <w:tc>
          <w:tcPr>
            <w:tcW w:type="dxa" w:w="2880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Назначение</w:t>
            </w:r>
          </w:p>
        </w:tc>
        <w:tc>
          <w:tcPr>
            <w:tcW w:type="dxa" w:w="5688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Типовая структура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Лекция</w:t>
            </w:r>
          </w:p>
        </w:tc>
        <w:tc>
          <w:tcPr>
            <w:tcW w:type="dxa" w:w="288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Формирование понимания темы</w:t>
            </w:r>
          </w:p>
        </w:tc>
        <w:tc>
          <w:tcPr>
            <w:tcW w:type="dxa" w:w="5688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Задача → интуиция → визуализация → математика → алгоритм → код → эксперимент → вопрос собеседования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Практика</w:t>
            </w:r>
          </w:p>
        </w:tc>
        <w:tc>
          <w:tcPr>
            <w:tcW w:type="dxa" w:w="288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Закрепление и применение материала</w:t>
            </w:r>
          </w:p>
        </w:tc>
        <w:tc>
          <w:tcPr>
            <w:tcW w:type="dxa" w:w="5688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Разминка → совместный пример → самостоятельное решение → эксперимент → разбор ошибок → вывод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Самостоятельная работа</w:t>
            </w:r>
          </w:p>
        </w:tc>
        <w:tc>
          <w:tcPr>
            <w:tcW w:type="dxa" w:w="288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Проверка индивидуального понимания</w:t>
            </w:r>
          </w:p>
        </w:tc>
        <w:tc>
          <w:tcPr>
            <w:tcW w:type="dxa" w:w="5688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Домашние задания, Kaggle, итоговый проект и подготовка к квизам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Календарно тематический план</w:t>
      </w:r>
    </w:p>
    <w:p>
      <w:pPr>
        <w:spacing w:after="100" w:line="252" w:lineRule="auto"/>
      </w:pPr>
      <w:r>
        <w:rPr>
          <w:rFonts w:ascii="Arial" w:hAnsi="Arial" w:eastAsia="Arial"/>
          <w:b w:val="0"/>
          <w:color w:val="000000"/>
          <w:sz w:val="20"/>
        </w:rPr>
        <w:t>Одна лекция и одна практическая пара в неделю.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792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Неделя</w:t>
            </w:r>
          </w:p>
        </w:tc>
        <w:tc>
          <w:tcPr>
            <w:tcW w:type="dxa" w:w="1944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Тема</w:t>
            </w:r>
          </w:p>
        </w:tc>
        <w:tc>
          <w:tcPr>
            <w:tcW w:type="dxa" w:w="3672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Содержание лекции</w:t>
            </w:r>
          </w:p>
        </w:tc>
        <w:tc>
          <w:tcPr>
            <w:tcW w:type="dxa" w:w="3672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Содержание практики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194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Введение в ML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Задачи ML, объект, признаки, target, supervised и unsupervised learning, общий ML pipeline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Настройка Jupyter, загрузка данных, первый train/test split, baseline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194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Данные и эксперимент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Типы признаков, EDA, train/validation/test, loss и metric, основы data leakage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EDA датасета, dummy baseline, таблица экспериментов, пример leakage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194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KNN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Расстояния, число соседей, scaling, curse of dimensionality, устройство fit и predict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KNN на NumPy, выбор k, scaling, сравнение со sklearn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94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Gradient Descent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Loss, производная, градиент, learning rate, batch, SGD и mini-batch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Реализация Gradient Descent, loss curve, эксперименты с learning rate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94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Linear Regression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Линейная модель, MSE, аналитическое и градиентное решения, MAE, RMSE, R²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Linear Regression from scratch, метрики, выбросы, анализ коэффициентов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194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Регуляризация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Polynomial Features, сложность модели, Ridge, Lasso, ElasticNet, bias и variance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Полиномиальная регрессия, Ridge/Lasso, исследование alpha и переобучения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194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Logistic Regression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Sigmoid, вероятность, Maximum Likelihood, LogLoss, decision boundary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Sigmoid и LogLoss, Logistic Regression from scratch, predict_proba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194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Метрики классификации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Confusion matrix, precision, recall, F1, ROC-AUC, PR-AUC, threshold, imbalance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Расчёт метрик, ROC/PR curves, выбор threshold, class weights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194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Decision Tree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Жадное построение, Gini, entropy, information gain, сложность дерева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Поиск best split, визуализация дерева, влияние max_depth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194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Validation и tuning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K-Fold, Stratified K-Fold, learning curves, Grid Search и Randomized Search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Cross-validation, Pipeline, GridSearchCV, начало Kaggle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194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Bagging и Random Forest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Bootstrap, bagging, случайные признаки, OOB, Extra Trees, feature importance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Сравнение Tree, Bagging, Random Forest и Extra Trees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194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Gradient Boosting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Последовательное исправление ошибок, отрицательный градиент, XGBoost, LightGBM, CatBoost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Упрощённый boosting, CatBoost, early stopping, продолжение Kaggle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13</w:t>
            </w:r>
          </w:p>
        </w:tc>
        <w:tc>
          <w:tcPr>
            <w:tcW w:type="dxa" w:w="194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SVM и kernels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Гиперплоскость, margin, support vectors, hinge loss, C, kernel trick, gamma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Линейный и RBF SVM, эксперименты с C, gamma и scaling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14</w:t>
            </w:r>
          </w:p>
        </w:tc>
        <w:tc>
          <w:tcPr>
            <w:tcW w:type="dxa" w:w="194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Признаки и Pipeline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Feature engineering, ColumnTransformer, Pipeline, leakage, importance, основы SHAP</w:t>
            </w:r>
          </w:p>
        </w:tc>
        <w:tc>
          <w:tcPr>
            <w:tcW w:type="dxa" w:w="367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Pipeline для смешанных данных, Leakage Challenge, ablation study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194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Unsupervised Learning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K-Means, DBSCAN, PCA, ограничения кластеризации, итоговая карта курса</w:t>
            </w:r>
          </w:p>
        </w:tc>
        <w:tc>
          <w:tcPr>
            <w:tcW w:type="dxa" w:w="367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K-Means from scratch, сравнение с DBSCAN, PCA, консультация по проекту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Рейтинговая система</w:t>
      </w:r>
    </w:p>
    <w:p>
      <w:pPr>
        <w:spacing w:after="100" w:line="252" w:lineRule="auto"/>
      </w:pPr>
      <w:r>
        <w:rPr>
          <w:rFonts w:ascii="Arial" w:hAnsi="Arial" w:eastAsia="Arial"/>
          <w:b w:val="0"/>
          <w:color w:val="000000"/>
          <w:sz w:val="21"/>
        </w:rPr>
        <w:t>Итоговый рейтинг формируется из результатов работы в течение семестра и экзамена.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2952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Вид работы</w:t>
            </w:r>
          </w:p>
        </w:tc>
        <w:tc>
          <w:tcPr>
            <w:tcW w:type="dxa" w:w="1080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Баллы</w:t>
            </w:r>
          </w:p>
        </w:tc>
        <w:tc>
          <w:tcPr>
            <w:tcW w:type="dxa" w:w="6048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Что оценивается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Практические занятия</w:t>
            </w:r>
          </w:p>
        </w:tc>
        <w:tc>
          <w:tcPr>
            <w:tcW w:type="dxa" w:w="108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6048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Выполнение заданий, корректный результат, вывод и объяснение решения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7 домашних заданий</w:t>
            </w:r>
          </w:p>
        </w:tc>
        <w:tc>
          <w:tcPr>
            <w:tcW w:type="dxa" w:w="108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048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Индивидуальные работы по основным разделам курса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4 ML-квиза</w:t>
            </w:r>
          </w:p>
        </w:tc>
        <w:tc>
          <w:tcPr>
            <w:tcW w:type="dxa" w:w="108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6048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Короткие проверки понимания ключевых понятий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5 мини-собеседований</w:t>
            </w:r>
          </w:p>
        </w:tc>
        <w:tc>
          <w:tcPr>
            <w:tcW w:type="dxa" w:w="108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6048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Устные ответы по основным алгоритмам и ML-ситуациям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Kaggle</w:t>
            </w:r>
          </w:p>
        </w:tc>
        <w:tc>
          <w:tcPr>
            <w:tcW w:type="dxa" w:w="108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6048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Валидация, модели, эксперименты, feature engineering и итоговый отчёт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Итоговый проект</w:t>
            </w:r>
          </w:p>
        </w:tc>
        <w:tc>
          <w:tcPr>
            <w:tcW w:type="dxa" w:w="108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6048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Полный ML pipeline и краткая защита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Экзамен</w:t>
            </w:r>
          </w:p>
        </w:tc>
        <w:tc>
          <w:tcPr>
            <w:tcW w:type="dxa" w:w="108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6048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Алгоритм, прикладная ML-ситуация и анализ результатов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DCE6F1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Итого</w:t>
            </w:r>
          </w:p>
        </w:tc>
        <w:tc>
          <w:tcPr>
            <w:tcW w:type="dxa" w:w="1080"/>
            <w:vAlign w:val="center"/>
            <w:shd w:fill="DCE6F1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100</w:t>
            </w:r>
          </w:p>
        </w:tc>
        <w:tc>
          <w:tcPr>
            <w:tcW w:type="dxa" w:w="6048"/>
            <w:vAlign w:val="center"/>
            <w:shd w:fill="DCE6F1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Максимальный основной рейтинг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Домашние задания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1152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Работа</w:t>
            </w:r>
          </w:p>
        </w:tc>
        <w:tc>
          <w:tcPr>
            <w:tcW w:type="dxa" w:w="7704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Тема</w:t>
            </w:r>
          </w:p>
        </w:tc>
        <w:tc>
          <w:tcPr>
            <w:tcW w:type="dxa" w:w="1224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Баллы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HW1</w:t>
            </w:r>
          </w:p>
        </w:tc>
        <w:tc>
          <w:tcPr>
            <w:tcW w:type="dxa" w:w="770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Первый корректный ML-эксперимент</w:t>
            </w:r>
          </w:p>
        </w:tc>
        <w:tc>
          <w:tcPr>
            <w:tcW w:type="dxa" w:w="122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HW2</w:t>
            </w:r>
          </w:p>
        </w:tc>
        <w:tc>
          <w:tcPr>
            <w:tcW w:type="dxa" w:w="770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KNN from scratch и scaling</w:t>
            </w:r>
          </w:p>
        </w:tc>
        <w:tc>
          <w:tcPr>
            <w:tcW w:type="dxa" w:w="122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HW3</w:t>
            </w:r>
          </w:p>
        </w:tc>
        <w:tc>
          <w:tcPr>
            <w:tcW w:type="dxa" w:w="770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Linear Regression, Gradient Descent и регуляризация</w:t>
            </w:r>
          </w:p>
        </w:tc>
        <w:tc>
          <w:tcPr>
            <w:tcW w:type="dxa" w:w="122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HW4</w:t>
            </w:r>
          </w:p>
        </w:tc>
        <w:tc>
          <w:tcPr>
            <w:tcW w:type="dxa" w:w="770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Logistic Regression, метрики и threshold</w:t>
            </w:r>
          </w:p>
        </w:tc>
        <w:tc>
          <w:tcPr>
            <w:tcW w:type="dxa" w:w="122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HW5</w:t>
            </w:r>
          </w:p>
        </w:tc>
        <w:tc>
          <w:tcPr>
            <w:tcW w:type="dxa" w:w="770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Decision Tree, Cross-Validation и Random Forest</w:t>
            </w:r>
          </w:p>
        </w:tc>
        <w:tc>
          <w:tcPr>
            <w:tcW w:type="dxa" w:w="122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HW6</w:t>
            </w:r>
          </w:p>
        </w:tc>
        <w:tc>
          <w:tcPr>
            <w:tcW w:type="dxa" w:w="770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Feature Engineering, Pipeline и Leakage Challenge</w:t>
            </w:r>
          </w:p>
        </w:tc>
        <w:tc>
          <w:tcPr>
            <w:tcW w:type="dxa" w:w="1224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HW7</w:t>
            </w:r>
          </w:p>
        </w:tc>
        <w:tc>
          <w:tcPr>
            <w:tcW w:type="dxa" w:w="770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Clustering и PCA</w:t>
            </w:r>
          </w:p>
        </w:tc>
        <w:tc>
          <w:tcPr>
            <w:tcW w:type="dxa" w:w="1224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4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Основные правила оценивания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Практика оценивается за выполненную работу, а не только за присутствие.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Домашние задания выполняются индивидуально и сдаются через персональные GitHub-репозитории.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Студент должен уметь объяснить любой фрагмент сданного решения.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Использование AI-инструментов допускается при раскрытии способа использования и самостоятельной проверке результата.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Можно получить до 5 бонусных баллов; итоговый рейтинг не может превышать 100 баллов.</w:t>
      </w:r>
    </w:p>
    <w:p>
      <w:pPr>
        <w:pStyle w:val="ListBullet"/>
        <w:spacing w:after="20" w:line="252" w:lineRule="auto"/>
      </w:pPr>
      <w:r>
        <w:rPr>
          <w:rFonts w:ascii="Arial" w:hAnsi="Arial" w:eastAsia="Arial"/>
          <w:b w:val="0"/>
          <w:color w:val="000000"/>
          <w:sz w:val="21"/>
        </w:rPr>
        <w:t>Рекомендуемый обязательный минимум за экзамен — 8 из 20 баллов.</w:t>
      </w:r>
    </w:p>
    <w:p>
      <w:pPr>
        <w:pStyle w:val="Heading1"/>
        <w:keepNext/>
      </w:pPr>
      <w:r>
        <w:t>Шкала итоговой оценки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160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Баллы</w:t>
            </w:r>
          </w:p>
        </w:tc>
        <w:tc>
          <w:tcPr>
            <w:tcW w:type="dxa" w:w="7920"/>
            <w:vAlign w:val="center"/>
            <w:shd w:fill="17365D"/>
            <w:tcMar>
              <w:top w:w="110" w:type="dxa"/>
              <w:start w:w="100" w:type="dxa"/>
              <w:bottom w:w="11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Оценка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85–100</w:t>
            </w:r>
          </w:p>
        </w:tc>
        <w:tc>
          <w:tcPr>
            <w:tcW w:type="dxa" w:w="792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Отлично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71–84</w:t>
            </w:r>
          </w:p>
        </w:tc>
        <w:tc>
          <w:tcPr>
            <w:tcW w:type="dxa" w:w="792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Хорошо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60–70</w:t>
            </w:r>
          </w:p>
        </w:tc>
        <w:tc>
          <w:tcPr>
            <w:tcW w:type="dxa" w:w="7920"/>
            <w:vAlign w:val="center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Удовлетворительно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0–59</w:t>
            </w:r>
          </w:p>
        </w:tc>
        <w:tc>
          <w:tcPr>
            <w:tcW w:type="dxa" w:w="7920"/>
            <w:vAlign w:val="center"/>
            <w:shd w:fill="EAF2F8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7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Неудовлетворительно</w:t>
            </w:r>
          </w:p>
        </w:tc>
      </w:tr>
    </w:tbl>
    <w:p>
      <w:pPr>
        <w:spacing w:after="20"/>
      </w:pPr>
    </w:p>
    <w:p>
      <w:pPr>
        <w:spacing w:before="120" w:after="0" w:line="252" w:lineRule="auto"/>
      </w:pPr>
      <w:r>
        <w:rPr>
          <w:rFonts w:ascii="Arial" w:hAnsi="Arial" w:eastAsia="Arial"/>
          <w:b w:val="0"/>
          <w:color w:val="000000"/>
          <w:sz w:val="19"/>
        </w:rPr>
        <w:t>Методический ориентир курса — «Тренировки по ML 1.0» Яндекса. Материалы курса адаптируются к университетскому формату и уровню подготовки студентов; структура и задания не копируются дословно.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color w:val="5A5A5A"/>
        <w:sz w:val="17"/>
      </w:rPr>
      <w:t xml:space="preserve">Страница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 w:eastAsia="Arial"/>
        <w:b w:val="0"/>
        <w:color w:val="505050"/>
        <w:sz w:val="17"/>
      </w:rPr>
      <w:t>ДГТУ  |  Введение в машинное обучение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Краткий учебный план дисциплины Введение в машинное обучение</dc:title>
  <dc:subject>Учебный план дисциплины ДГТУ</dc:subject>
  <dc:creator>ДГТУ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