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E2761"/>
          </w:tcPr>
          <w:p>
            <w:pPr>
              <w:spacing w:before="40" w:after="0"/>
            </w:pPr>
            <w:r/>
            <w:r>
              <w:rPr>
                <w:b/>
                <w:color w:val="FFFFFF"/>
                <w:sz w:val="32"/>
              </w:rPr>
              <w:t>PROJECT CANVAS</w:t>
            </w:r>
          </w:p>
          <w:p>
            <w:pPr>
              <w:spacing w:after="60"/>
            </w:pPr>
            <w:r>
              <w:rPr>
                <w:color w:val="CADCFC"/>
                <w:sz w:val="20"/>
              </w:rPr>
              <w:t>Eurovision 2015–2025  ·  Marta Prandin  ·  Albert School Data Projects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C84B6E"/>
                <w:sz w:val="22"/>
              </w:rPr>
              <w:t xml:space="preserve">1  </w:t>
            </w:r>
            <w:r>
              <w:rPr>
                <w:b/>
                <w:color w:val="1A1A1A"/>
                <w:sz w:val="22"/>
              </w:rPr>
              <w:t>Title &amp; pitch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Eurovision Voting Blocs, 2015–2025.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Songs matter — but neighbours vote for neighbours.</w:t>
            </w:r>
          </w:p>
        </w:tc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1E2761"/>
                <w:sz w:val="22"/>
              </w:rPr>
              <w:t xml:space="preserve">2  </w:t>
            </w:r>
            <w:r>
              <w:rPr>
                <w:b/>
                <w:color w:val="1A1A1A"/>
                <w:sz w:val="22"/>
              </w:rPr>
              <w:t>SMART question + hypotheses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Q: Across Eurovision finals 2015–2025, do song features and country-region predict final rank, and is there voting-bloc bias?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H1: English-language songs rank ≥3 places higher.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H2: Each region gives ≥3 bonus points to its own.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H3: Televote bias &gt; jury bias × 1.5.</w:t>
            </w:r>
          </w:p>
        </w:tc>
      </w:tr>
    </w:tbl>
    <w:p>
      <w:pPr>
        <w:spacing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F2A93B"/>
                <w:sz w:val="22"/>
              </w:rPr>
              <w:t xml:space="preserve">3  </w:t>
            </w:r>
            <w:r>
              <w:rPr>
                <w:b/>
                <w:color w:val="1A1A1A"/>
                <w:sz w:val="22"/>
              </w:rPr>
              <w:t>Audience &amp; decision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A music journalist writing the annual Eurovision preview.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Decides: which 2-3 storylines lead the article.</w:t>
            </w:r>
          </w:p>
        </w:tc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1E2761"/>
                <w:sz w:val="22"/>
              </w:rPr>
              <w:t xml:space="preserve">4  </w:t>
            </w:r>
            <w:r>
              <w:rPr>
                <w:b/>
                <w:color w:val="1A1A1A"/>
                <w:sz w:val="22"/>
              </w:rPr>
              <w:t>Data sources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Kaggle CSV (1975–2024) — primary.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Wikipedia year-pages — fills 2025 gap.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eurovision.tv — fallback only.</w:t>
            </w:r>
          </w:p>
        </w:tc>
      </w:tr>
    </w:tbl>
    <w:p>
      <w:pPr>
        <w:spacing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C84B6E"/>
                <w:sz w:val="22"/>
              </w:rPr>
              <w:t xml:space="preserve">5  </w:t>
            </w:r>
            <w:r>
              <w:rPr>
                <w:b/>
                <w:color w:val="1A1A1A"/>
                <w:sz w:val="22"/>
              </w:rPr>
              <w:t>Variables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country, year, song, artist, language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tempo, key, running_order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jury_points, televote_points, final_rank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voter→performer pair scores (~11k rows)</w:t>
            </w:r>
          </w:p>
        </w:tc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b/>
                <w:color w:val="F2A93B"/>
                <w:sz w:val="22"/>
              </w:rPr>
              <w:t xml:space="preserve">6  </w:t>
            </w:r>
            <w:r>
              <w:rPr>
                <w:b/>
                <w:sz w:val="22"/>
              </w:rPr>
              <w:t>Sketch of final chart</w:t>
            </w:r>
          </w:p>
          <w:p>
            <w:pPr>
              <w:spacing w:after="40"/>
            </w:pPr>
            <w:r>
              <w:rPr>
                <w:i/>
                <w:color w:val="555555"/>
                <w:sz w:val="18"/>
              </w:rPr>
              <w:t>Bar per country, grouped by region. Bonus points to neighbours. (Redraw on paper for class.)</w:t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24000" cy="19417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sketc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0" cy="19417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1E2761"/>
                <w:sz w:val="22"/>
              </w:rPr>
              <w:t xml:space="preserve">7  </w:t>
            </w:r>
            <w:r>
              <w:rPr>
                <w:b/>
                <w:color w:val="1A1A1A"/>
                <w:sz w:val="22"/>
              </w:rPr>
              <w:t>Risks &amp; mitigations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Layout breaks → switch to Wikipedia tables.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No tempo data → drop tempo, keep language + region.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Sample too small (n≈280) → bootstrap CIs, drop H3.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Time slipping → cut features, ship the bloc story.</w:t>
            </w:r>
          </w:p>
        </w:tc>
        <w:tc>
          <w:tcPr>
            <w:tcW w:type="dxa" w:w="515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40" w:line="240" w:lineRule="auto"/>
            </w:pPr>
            <w:r/>
            <w:r>
              <w:rPr>
                <w:b/>
                <w:color w:val="C84B6E"/>
                <w:sz w:val="22"/>
              </w:rPr>
              <w:t xml:space="preserve">8  </w:t>
            </w:r>
            <w:r>
              <w:rPr>
                <w:b/>
                <w:color w:val="1A1A1A"/>
                <w:sz w:val="22"/>
              </w:rPr>
              <w:t>Definition of done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Notebook runs end-to-end on a fresh machine.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3 polished charts (language, blocs, jury vs televote).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10-min talk + 1 paragraph per hypothesis.</w:t>
            </w:r>
          </w:p>
          <w:p>
            <w:pPr>
              <w:spacing w:after="20" w:line="283" w:lineRule="auto"/>
            </w:pPr>
            <w:r>
              <w:rPr>
                <w:color w:val="1A1A1A"/>
                <w:sz w:val="20"/>
              </w:rPr>
              <w:t>•  Public GitHub repo with README + raw data.</w:t>
            </w:r>
          </w:p>
        </w:tc>
      </w:tr>
    </w:tbl>
    <w:p>
      <w:pPr>
        <w:spacing w:before="120"/>
      </w:pPr>
      <w:r>
        <w:rPr>
          <w:i/>
          <w:color w:val="555555"/>
          <w:sz w:val="17"/>
        </w:rPr>
        <w:t>Note: field 6 will be redrawn on paper. Image above = planning sketch.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3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