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2815" w14:textId="77777777" w:rsidR="00927AB9" w:rsidRPr="00927AB9" w:rsidRDefault="00927AB9" w:rsidP="00927AB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Członkowie grupy (Imię, nazwisko, nr albumu</w:t>
      </w:r>
      <w:proofErr w:type="gram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):   </w:t>
      </w:r>
      <w:proofErr w:type="gram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                                </w:t>
      </w: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ab/>
        <w:t xml:space="preserve">        </w:t>
      </w: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ab/>
        <w:t>ćwiczenia 13</w:t>
      </w:r>
    </w:p>
    <w:p w14:paraId="022D70B2" w14:textId="77777777" w:rsidR="00927AB9" w:rsidRPr="00927AB9" w:rsidRDefault="00927AB9" w:rsidP="00927AB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 w:eastAsia="ru-RU"/>
        </w:rPr>
        <w:t>Marta Bahdzevich mb108649</w:t>
      </w:r>
    </w:p>
    <w:p w14:paraId="2448FF95" w14:textId="77777777" w:rsidR="00927AB9" w:rsidRPr="00927AB9" w:rsidRDefault="00927AB9" w:rsidP="00927AB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 w:eastAsia="ru-RU"/>
        </w:rPr>
        <w:t xml:space="preserve">Tatsiana </w:t>
      </w:r>
      <w:proofErr w:type="gramStart"/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 w:eastAsia="ru-RU"/>
        </w:rPr>
        <w:t>Vilcheuskaya  tv</w:t>
      </w:r>
      <w:proofErr w:type="gramEnd"/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 w:eastAsia="ru-RU"/>
        </w:rPr>
        <w:t>109686  </w:t>
      </w:r>
    </w:p>
    <w:p w14:paraId="1F81C356" w14:textId="77777777" w:rsidR="00927AB9" w:rsidRPr="00927AB9" w:rsidRDefault="00927AB9" w:rsidP="00927A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Na przykładzie wybranej KTN określ jej podejście /strategię w zakresie B+R.</w:t>
      </w:r>
    </w:p>
    <w:p w14:paraId="502F7A4E" w14:textId="77777777" w:rsidR="00927AB9" w:rsidRPr="00927AB9" w:rsidRDefault="00927AB9" w:rsidP="00927A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W tym celu:</w:t>
      </w:r>
    </w:p>
    <w:p w14:paraId="4873E7CA" w14:textId="77777777" w:rsidR="00927AB9" w:rsidRPr="00927AB9" w:rsidRDefault="00927AB9" w:rsidP="00927AB9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1.</w:t>
      </w:r>
      <w:r w:rsidRPr="00927AB9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shd w:val="clear" w:color="auto" w:fill="FFFFFF"/>
          <w:lang w:val="pl-PL" w:eastAsia="ru-RU"/>
        </w:rPr>
        <w:t xml:space="preserve">     </w:t>
      </w: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Wybierz KTN i syntetycznie przedstaw działalność firmy (rok założenia, kraj macierzysty, kierunki ekspansji, rodzaj działalności, strategia konkurencji, oferta produktowa, pozycja rynkowa)</w:t>
      </w:r>
    </w:p>
    <w:p w14:paraId="219007FA" w14:textId="77777777" w:rsidR="00927AB9" w:rsidRPr="00927AB9" w:rsidRDefault="00927AB9" w:rsidP="00927A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Nestle - szwajcarska międzynarodowa korporacja, największy na świecie producent żywności. Siedzibą firmy znajduje się w szwajcarskim mieście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Vevey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. Historia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Nestlé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rozpoczyna się w 1866 </w:t>
      </w:r>
      <w:proofErr w:type="gram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r .Nestle</w:t>
      </w:r>
      <w:proofErr w:type="gram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jest określana jako najbardziej międzynarodowa z międzynarodowych firm. Marka Nestle jest tak powszechna w Stanach Zjednoczonych, że większość konsumentów uważa ją za amerykańską firmę. Szwajcarski Gigant ustanowił operacje produkcyjne na wszystkich głównych rynkach z koncentracją mocy produkcyjnych w Europie, Ameryce Północnej i Ameryce Łacińskiej. Tylko część sprzedaży Nestle odbywa się na rynku krajowym. Nestle ma ponad 400 fabryk w 60 krajach, zatrudniając prawie ćwierć miliona pracowników. Firma jest liderem w branży spożywczej w rankingu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Diversity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and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Inclusion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Index.</w:t>
      </w: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EFEFE"/>
          <w:lang w:val="pl-PL" w:eastAsia="ru-RU"/>
        </w:rPr>
        <w:t>Firma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EFEFE"/>
          <w:lang w:val="pl-PL" w:eastAsia="ru-RU"/>
        </w:rPr>
        <w:t xml:space="preserve">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EFEFE"/>
          <w:lang w:val="pl-PL" w:eastAsia="ru-RU"/>
        </w:rPr>
        <w:t>Nestlé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EFEFE"/>
          <w:lang w:val="pl-PL" w:eastAsia="ru-RU"/>
        </w:rPr>
        <w:t xml:space="preserve"> została doceniona za promowania idei równego traktowania i wdrażania polityki zarządzania różnorodnością w organizacji. Koncern zajął wysokie trzynaste miejsce i pierwsze wśród firm spożywczych w rankingu Thomson Reuters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EFEFE"/>
          <w:lang w:val="pl-PL" w:eastAsia="ru-RU"/>
        </w:rPr>
        <w:t>Diversity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EFEFE"/>
          <w:lang w:val="pl-PL" w:eastAsia="ru-RU"/>
        </w:rPr>
        <w:t xml:space="preserve"> and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EFEFE"/>
          <w:lang w:val="pl-PL" w:eastAsia="ru-RU"/>
        </w:rPr>
        <w:t>Inclusion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EFEFE"/>
          <w:lang w:val="pl-PL" w:eastAsia="ru-RU"/>
        </w:rPr>
        <w:t xml:space="preserve"> Index (D&amp;I), oceniającym przedsiębiorstwa pod względem polityki na rzecz </w:t>
      </w:r>
      <w:proofErr w:type="spellStart"/>
      <w:proofErr w:type="gram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EFEFE"/>
          <w:lang w:val="pl-PL" w:eastAsia="ru-RU"/>
        </w:rPr>
        <w:t>pracowników.</w:t>
      </w: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Portfolio</w:t>
      </w:r>
      <w:proofErr w:type="spellEnd"/>
      <w:proofErr w:type="gram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produktów obejmuje prawie wszystkie kategorie żywności i napojów, oferując produkty i usługi na wszystkich etapach życia, w każdej chwili dnia, pomagając ludziom dbać o siebie i swoje rodziny. Mianowicie:</w:t>
      </w:r>
    </w:p>
    <w:p w14:paraId="2D8EC243" w14:textId="77777777" w:rsidR="00927AB9" w:rsidRPr="00927AB9" w:rsidRDefault="00927AB9" w:rsidP="00927A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Żywność dla niemowląt(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Cerelac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, Gerber,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Naturnes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); Woda(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Acqua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Panna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Perrier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S.Pellegrino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);Płatek(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Cheerios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Fitness ,  Lion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Nesquik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Cereal);Czekolada i wyroby cukiernicze(Aero, KitKat,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Milkybar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Nestlé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Les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Recettes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de l ' Atelier,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Quality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Street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Smarties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i wybór naszych lokalnych marek cukierniczych); Kawa(Kawa w niebieskiej butelce,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Nescafé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, NESCAFÉ Dolce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Gusto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Nespresso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, kawa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Starbucks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w domu);Produkty kulinarne, chłodzone i mrożone (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Buitoni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Herta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Hot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Pockets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Lean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Cuisine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Maggi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Stouffer's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Thomy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)Produkty mleczne(Goździki,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Coffee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-Mate, La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Laitière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, Nido);Napój(Milo,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Nesquick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Nestea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);Usługi cateringowe(Szef kuchni, szef kuchni, Maggi, Milo, Minor 's,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Nescafé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Nestea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Sjora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, Lean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Cuisine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Stouffer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' s);Żywienie medyczne(Asortyment żywieniowy dla aktywnego trybu życia, asortyment żywienia leczniczego);Lód(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Dreyer's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Extrême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Häagen-Dazs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Mövenpick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Nestlé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Ice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Cream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);Opieka nad zwierzętami(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Alpo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Bakers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Complete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Beneful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Cat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Chow , Dog Chow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Fancy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Feast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Felix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Friskies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Gourmet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Purina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,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Purina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ONE , Pro Plan)</w:t>
      </w:r>
    </w:p>
    <w:p w14:paraId="58BF3FE8" w14:textId="77777777" w:rsidR="00927AB9" w:rsidRPr="00927AB9" w:rsidRDefault="00927AB9" w:rsidP="00927A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br/>
      </w:r>
    </w:p>
    <w:p w14:paraId="3C0390A2" w14:textId="77777777" w:rsidR="00927AB9" w:rsidRPr="00927AB9" w:rsidRDefault="00927AB9" w:rsidP="00927AB9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2.</w:t>
      </w:r>
      <w:r w:rsidRPr="00927AB9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shd w:val="clear" w:color="auto" w:fill="FFFFFF"/>
          <w:lang w:val="pl-PL" w:eastAsia="ru-RU"/>
        </w:rPr>
        <w:t xml:space="preserve">     </w:t>
      </w: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Wskaż 2 obszary (przykłady) innowacji tej KTN, syntetycznie wyjaśnij na czym one polegają, w tym celu: jaka jest innowacja twarda czy miękka</w:t>
      </w:r>
    </w:p>
    <w:p w14:paraId="6FD05929" w14:textId="77777777" w:rsidR="00927AB9" w:rsidRPr="00927AB9" w:rsidRDefault="00927AB9" w:rsidP="00927AB9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a.</w:t>
      </w:r>
      <w:r w:rsidRPr="00927AB9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FFFFFF"/>
          <w:lang w:val="pl-PL" w:eastAsia="ru-RU"/>
        </w:rPr>
        <w:t xml:space="preserve">      </w:t>
      </w: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określ rodzaj innowacji z uwagi na przedmiot lub obszar wprowadzenia,  </w:t>
      </w:r>
    </w:p>
    <w:p w14:paraId="26F97095" w14:textId="77777777" w:rsidR="00927AB9" w:rsidRPr="00927AB9" w:rsidRDefault="00927AB9" w:rsidP="00927AB9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b.</w:t>
      </w:r>
      <w:r w:rsidRPr="00927AB9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FFFFFF"/>
          <w:lang w:val="pl-PL" w:eastAsia="ru-RU"/>
        </w:rPr>
        <w:t xml:space="preserve">     </w:t>
      </w: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 podaj kraj/region przeznaczenia innowacji- ekspansji</w:t>
      </w:r>
    </w:p>
    <w:p w14:paraId="4A60D32E" w14:textId="77777777" w:rsidR="00927AB9" w:rsidRPr="00927AB9" w:rsidRDefault="00927AB9" w:rsidP="00927AB9">
      <w:pPr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lastRenderedPageBreak/>
        <w:t>“</w:t>
      </w:r>
      <w:proofErr w:type="spellStart"/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Nestlé</w:t>
      </w:r>
      <w:proofErr w:type="spellEnd"/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 xml:space="preserve">” wprowadza nowy program żywieniowy dla osób ze stanem </w:t>
      </w:r>
      <w:proofErr w:type="spellStart"/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przedcukrzycowym</w:t>
      </w:r>
      <w:proofErr w:type="spellEnd"/>
    </w:p>
    <w:p w14:paraId="7F925763" w14:textId="77777777" w:rsidR="00927AB9" w:rsidRPr="00927AB9" w:rsidRDefault="00927AB9" w:rsidP="00927A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proofErr w:type="gram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a)Pod</w:t>
      </w:r>
      <w:proofErr w:type="gram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względem obszaru program żywieniowy dla osób z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prediabetią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można zaklasyfikować jako innowacja produktowa. Firma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Nestlé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Health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Science uruchomiła swój pierwszy program leczenia stanu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przedcukrzycowego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w Malezji. Program obejmuje nowy suplement diety, który można dodawać do posiłków w ramach zdrowej diety, aby utrzymać prawidłowe stężenie glukozy we krwi po posiłkach. Towarzysząca mu platforma cyfrowa ocenia ryzyko cukrzycy i zapewnia spersonalizowane porady dotyczące planu żywieniowego, który jest korzystny dla osób z </w:t>
      </w:r>
      <w:proofErr w:type="spellStart"/>
      <w:proofErr w:type="gram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prediabetes.Cyfrowa</w:t>
      </w:r>
      <w:proofErr w:type="spellEnd"/>
      <w:proofErr w:type="gram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platforma internetowa została stworzona przez naukowców zajmujących się żywieniem i ekspertów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Nestlé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. Stosuje ona zasady żywieniowe, które monitorują parametry najważniejsze w przypadku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prediabetes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, takie jak ładunek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glikemiczny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, spożycie kalorii i sodu, aby zaproponować przepisy z obszernego, własnego centrum przepisów. Przepisy te są następnie algorytmicznie łączone w tygodniowe plany posiłków dla osób w stanie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przedcukrzycowym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, zgodnie z lokalnymi wytycznymi i zaleceniami dotyczącymi zdrowej i zbilansowanej diety.</w:t>
      </w:r>
    </w:p>
    <w:p w14:paraId="2C2F5C57" w14:textId="77777777" w:rsidR="00927AB9" w:rsidRPr="00927AB9" w:rsidRDefault="00927AB9" w:rsidP="00927A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proofErr w:type="gram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b)Program</w:t>
      </w:r>
      <w:proofErr w:type="gram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ten jest dostępny na całym świecie. Krajem startowym jest Malezja.</w:t>
      </w:r>
    </w:p>
    <w:p w14:paraId="2FF63452" w14:textId="77777777" w:rsidR="00927AB9" w:rsidRPr="00927AB9" w:rsidRDefault="00927AB9" w:rsidP="00927A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2)</w:t>
      </w:r>
      <w:proofErr w:type="spellStart"/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Nestlé</w:t>
      </w:r>
      <w:proofErr w:type="spellEnd"/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 xml:space="preserve"> uruchomiło Globalny atlas żywienia i zdrowia (GNHA)</w:t>
      </w:r>
    </w:p>
    <w:p w14:paraId="134208E8" w14:textId="77777777" w:rsidR="00927AB9" w:rsidRPr="00927AB9" w:rsidRDefault="00927AB9" w:rsidP="00927A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proofErr w:type="gram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a)Ze</w:t>
      </w:r>
      <w:proofErr w:type="gram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względu na obszar atlas zdrowia można odnieść do innowacji organizacyjno-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managerskiej.Nestlé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i Friedman School of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Nutrition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Science and Policy wspólnie uruchomiły Globalny atlas żywienia i zdrowia (GNHA). Global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Nutrition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and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Health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Atlas (GNHA), nowa platforma internetowa, która integruje i zapewnia bezpłatny dostęp do globalnych danych dotyczących żywienia i zdrowia w ponad 190 krajach, została uruchomiona wspólnie przez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Tufts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University.</w:t>
      </w:r>
    </w:p>
    <w:p w14:paraId="675C5AF6" w14:textId="77777777" w:rsidR="00927AB9" w:rsidRPr="00927AB9" w:rsidRDefault="00927AB9" w:rsidP="00927A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Platforma jest przyjaznym dla użytkownika, publicznie dostępnym zasobem, który ma ułatwić dzielenie się danymi dotyczącymi żywienia i zdrowia.</w:t>
      </w:r>
    </w:p>
    <w:p w14:paraId="5D1A6F6C" w14:textId="77777777" w:rsidR="00927AB9" w:rsidRPr="00927AB9" w:rsidRDefault="00927AB9" w:rsidP="00927A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Dane podzielono na sześć kluczowych wymiarów: demografia, spożycie żywności, stan odżywienia, stan zdrowia, ekonomika zdrowia i zrównoważony rozwój żywieniowy. Użytkownicy mogą łatwo nawigować, analizować i wizualizować różne wskaźniki w tych sześciu wymiarach.</w:t>
      </w:r>
    </w:p>
    <w:p w14:paraId="5A317D31" w14:textId="77777777" w:rsidR="00927AB9" w:rsidRPr="00927AB9" w:rsidRDefault="00927AB9" w:rsidP="00927A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proofErr w:type="gram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b)Platforma</w:t>
      </w:r>
      <w:proofErr w:type="gram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internetowa integruje i zapewnia bezpłatny dostęp do globalnych danych dotyczących żywienia i zdrowia w ponad 190 krajach. W ten sposób obszar ten można uznać za globalny.</w:t>
      </w:r>
    </w:p>
    <w:p w14:paraId="379C9D6A" w14:textId="77777777" w:rsidR="00927AB9" w:rsidRPr="00927AB9" w:rsidRDefault="00927AB9" w:rsidP="00927A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3.  W odniesieniu do każdego z podanych w pkt 2 przykładów innowacji podaj jaki charakter innowacji one reprezentują, tj.:</w:t>
      </w:r>
    </w:p>
    <w:p w14:paraId="0E4FB278" w14:textId="77777777" w:rsidR="00927AB9" w:rsidRPr="00927AB9" w:rsidRDefault="00927AB9" w:rsidP="00927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</w:p>
    <w:p w14:paraId="227E5999" w14:textId="77777777" w:rsidR="00927AB9" w:rsidRPr="00927AB9" w:rsidRDefault="00927AB9" w:rsidP="00927AB9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 w:eastAsia="ru-RU"/>
        </w:rPr>
      </w:pPr>
      <w:r w:rsidRPr="00927AB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val="pl-PL" w:eastAsia="ru-RU"/>
        </w:rPr>
        <w:t xml:space="preserve">Program żywieniowy dla osób z </w:t>
      </w:r>
      <w:proofErr w:type="spellStart"/>
      <w:r w:rsidRPr="00927AB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FFFFF"/>
          <w:lang w:val="pl-PL" w:eastAsia="ru-RU"/>
        </w:rPr>
        <w:t>prediabetes</w:t>
      </w:r>
      <w:proofErr w:type="spellEnd"/>
    </w:p>
    <w:p w14:paraId="643FF84E" w14:textId="77777777" w:rsidR="00927AB9" w:rsidRPr="00927AB9" w:rsidRDefault="00927AB9" w:rsidP="00927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</w:p>
    <w:p w14:paraId="0525AB3F" w14:textId="77777777" w:rsidR="00927AB9" w:rsidRPr="00927AB9" w:rsidRDefault="00927AB9" w:rsidP="00927AB9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a.</w:t>
      </w:r>
      <w:r w:rsidRPr="00927AB9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FFFFFF"/>
          <w:lang w:val="pl-PL" w:eastAsia="ru-RU"/>
        </w:rPr>
        <w:t xml:space="preserve">      </w:t>
      </w: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zamknięte czy otwarte</w:t>
      </w:r>
    </w:p>
    <w:p w14:paraId="11273A60" w14:textId="77777777" w:rsidR="00927AB9" w:rsidRPr="00927AB9" w:rsidRDefault="00927AB9" w:rsidP="00927AB9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 xml:space="preserve">Wszystkie decyzje dotyczące tego programu w firmie Nestle były podejmowane bez udziału osób trzecich. To </w:t>
      </w:r>
      <w:proofErr w:type="gram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znaczy</w:t>
      </w:r>
      <w:proofErr w:type="gram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 xml:space="preserve"> że innowacja ma charakter zamknięty.</w:t>
      </w:r>
    </w:p>
    <w:p w14:paraId="28F727FA" w14:textId="77777777" w:rsidR="00927AB9" w:rsidRPr="00927AB9" w:rsidRDefault="00927AB9" w:rsidP="00927AB9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b.</w:t>
      </w:r>
      <w:r w:rsidRPr="00927AB9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FFFFFF"/>
          <w:lang w:val="pl-PL" w:eastAsia="ru-RU"/>
        </w:rPr>
        <w:t xml:space="preserve">     </w:t>
      </w: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 wskaż podstawowe źródło finansowania każdej z nich (lub źródło powstania koncepcji-pomysłu innowacyjnego).</w:t>
      </w:r>
    </w:p>
    <w:p w14:paraId="2CC57704" w14:textId="77777777" w:rsidR="00927AB9" w:rsidRPr="00927AB9" w:rsidRDefault="00927AB9" w:rsidP="00927AB9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lastRenderedPageBreak/>
        <w:t xml:space="preserve">Program ten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uruchomiła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firma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Nestlé Health Science. </w:t>
      </w:r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 xml:space="preserve">Cyfrowa platforma internetowa została stworzona przez naukowców i ekspertów ds. żywienia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Nestlé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 xml:space="preserve">, w tym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Yu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 xml:space="preserve"> Cheng, Global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Head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 xml:space="preserve"> of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Metabolic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 xml:space="preserve">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Health</w:t>
      </w:r>
      <w:proofErr w:type="spellEnd"/>
    </w:p>
    <w:p w14:paraId="2E739C16" w14:textId="77777777" w:rsidR="00927AB9" w:rsidRPr="00927AB9" w:rsidRDefault="00927AB9" w:rsidP="00927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</w:p>
    <w:p w14:paraId="2437C459" w14:textId="77777777" w:rsidR="00927AB9" w:rsidRPr="00927AB9" w:rsidRDefault="00927AB9" w:rsidP="00927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l-PL" w:eastAsia="ru-RU"/>
        </w:rPr>
        <w:t>Światowy atlas żywienia i zdrowia (GNHA)</w:t>
      </w:r>
    </w:p>
    <w:p w14:paraId="0A744155" w14:textId="77777777" w:rsidR="00927AB9" w:rsidRPr="00927AB9" w:rsidRDefault="00927AB9" w:rsidP="00927AB9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a.</w:t>
      </w:r>
      <w:r w:rsidRPr="00927AB9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FFFFFF"/>
          <w:lang w:val="pl-PL" w:eastAsia="ru-RU"/>
        </w:rPr>
        <w:t xml:space="preserve">     </w:t>
      </w:r>
      <w:r w:rsidRPr="00927AB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val="pl-PL" w:eastAsia="ru-RU"/>
        </w:rPr>
        <w:t> </w:t>
      </w:r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zamknięte czy otwarte</w:t>
      </w:r>
    </w:p>
    <w:p w14:paraId="28FB19CB" w14:textId="77777777" w:rsidR="00927AB9" w:rsidRPr="00927AB9" w:rsidRDefault="00927AB9" w:rsidP="00927AB9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 xml:space="preserve">Dana innowacja jest otwarta. </w:t>
      </w:r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Nestlé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i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Friedman School of Nutrition Science and Policy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wspólnie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zainicjowały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program. Program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został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uruchomiony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wspólnie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przez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Friedman School of Nutrition Science and Policy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na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Tufts University.</w:t>
      </w:r>
    </w:p>
    <w:p w14:paraId="44195843" w14:textId="77777777" w:rsidR="00927AB9" w:rsidRPr="00927AB9" w:rsidRDefault="00927AB9" w:rsidP="00927AB9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b.</w:t>
      </w:r>
      <w:r w:rsidRPr="00927AB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lang w:val="pl-PL" w:eastAsia="ru-RU"/>
        </w:rPr>
        <w:t xml:space="preserve">     </w:t>
      </w:r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 wskaż podstawowe źródło finansowania każdej z nich (lub źródło powstania koncepcji-pomysłu innowacyjnego).</w:t>
      </w:r>
    </w:p>
    <w:p w14:paraId="1B5BE22D" w14:textId="77777777" w:rsidR="00927AB9" w:rsidRPr="00927AB9" w:rsidRDefault="00927AB9" w:rsidP="00927AB9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 xml:space="preserve">Źródłami powstania tego pomysłu byli Elena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Naumova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 xml:space="preserve">, kierownik Katedry danych żywieniowych w Friedman School i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Elin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 xml:space="preserve"> Van Der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Beek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 xml:space="preserve">, szef Instytutu Nauk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Medycznych"Nestle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".</w:t>
      </w:r>
    </w:p>
    <w:p w14:paraId="2F00980A" w14:textId="77777777" w:rsidR="00927AB9" w:rsidRPr="00927AB9" w:rsidRDefault="00927AB9" w:rsidP="00927A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</w:p>
    <w:p w14:paraId="44D57A3E" w14:textId="77777777" w:rsidR="00927AB9" w:rsidRPr="00927AB9" w:rsidRDefault="00927AB9" w:rsidP="00927A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4. </w:t>
      </w:r>
      <w:proofErr w:type="spellStart"/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Inowacja</w:t>
      </w:r>
      <w:proofErr w:type="spellEnd"/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 xml:space="preserve"> 1- “</w:t>
      </w:r>
      <w:proofErr w:type="spellStart"/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Nestlé</w:t>
      </w:r>
      <w:proofErr w:type="spellEnd"/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 xml:space="preserve">” wprowadza nowy program żywieniowy dla osób ze stanem </w:t>
      </w:r>
      <w:proofErr w:type="spellStart"/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przedcukrzycowym</w:t>
      </w:r>
      <w:proofErr w:type="spellEnd"/>
    </w:p>
    <w:p w14:paraId="4CBF88B8" w14:textId="77777777" w:rsidR="00927AB9" w:rsidRPr="00927AB9" w:rsidRDefault="00927AB9" w:rsidP="00927A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Wskaż, który z tych dwóch projektów innowacyjnych jest na wskazanym rynku korzystniejszy dla KTN uwzględniając jego: </w:t>
      </w:r>
    </w:p>
    <w:p w14:paraId="6AECDFC5" w14:textId="77777777" w:rsidR="00927AB9" w:rsidRPr="00927AB9" w:rsidRDefault="00927AB9" w:rsidP="00927AB9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a.</w:t>
      </w:r>
      <w:r w:rsidRPr="00927AB9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shd w:val="clear" w:color="auto" w:fill="FFFFFF"/>
          <w:lang w:val="pl-PL" w:eastAsia="ru-RU"/>
        </w:rPr>
        <w:t xml:space="preserve">      </w:t>
      </w: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wykonalność</w:t>
      </w:r>
    </w:p>
    <w:p w14:paraId="1C517C1C" w14:textId="77777777" w:rsidR="00927AB9" w:rsidRPr="00927AB9" w:rsidRDefault="00927AB9" w:rsidP="00927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Firma Nestle posiada najbardziej zaawansowaną sieć badawczo-innowacyjną w branży spożywczej i co roku inwestuje 1,6 mld CHF w badania i rozwój, które są motorem wzrostu.</w:t>
      </w:r>
    </w:p>
    <w:p w14:paraId="7D12F53E" w14:textId="77777777" w:rsidR="00927AB9" w:rsidRPr="00927AB9" w:rsidRDefault="00927AB9" w:rsidP="00927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 xml:space="preserve">Ponad 4000 pracowników na całym świecie - od naukowców i inżynierów po dietetyków i specjalistów ds. regulacji - jest kluczem do sukcesu i przyczynia się do wzrostu sprzedaży dzięki badaniom naukowym i szybkim innowacjom. Firma posiada również własne Centrum Badawcze </w:t>
      </w:r>
      <w:proofErr w:type="spellStart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Nestlé</w:t>
      </w:r>
      <w:proofErr w:type="spellEnd"/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pl-PL" w:eastAsia="ru-RU"/>
        </w:rPr>
        <w:t>,</w:t>
      </w:r>
      <w:r w:rsidRPr="00927AB9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ru-RU"/>
        </w:rPr>
        <w:t xml:space="preserve"> potrzebne do rozwoju nowych dodatków i produktów.</w:t>
      </w:r>
    </w:p>
    <w:p w14:paraId="5B5738C4" w14:textId="77777777" w:rsidR="00927AB9" w:rsidRPr="00927AB9" w:rsidRDefault="00927AB9" w:rsidP="00927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</w:p>
    <w:p w14:paraId="3C29B11D" w14:textId="77777777" w:rsidR="00927AB9" w:rsidRPr="00927AB9" w:rsidRDefault="00927AB9" w:rsidP="00927AB9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b.</w:t>
      </w:r>
      <w:r w:rsidRPr="00927AB9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shd w:val="clear" w:color="auto" w:fill="FFFFFF"/>
          <w:lang w:eastAsia="ru-RU"/>
        </w:rPr>
        <w:t xml:space="preserve">     </w:t>
      </w:r>
      <w:proofErr w:type="spellStart"/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eastAsia="ru-RU"/>
        </w:rPr>
        <w:t>akceptowalność</w:t>
      </w:r>
      <w:proofErr w:type="spellEnd"/>
    </w:p>
    <w:p w14:paraId="267C6D51" w14:textId="77777777" w:rsidR="00927AB9" w:rsidRPr="00927AB9" w:rsidRDefault="00927AB9" w:rsidP="00927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Obecnie uważa się, że około 7,5% osób dorosłych na świecie ma nieoptymalny stan metaboliczny i jest w stanie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przedcukrzycowym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. Nieleczony stan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przedcukrzycowy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może przekształcić się w cukrzycę typu 2, prowadząc do powikłań zdrowotnych i zwiększonego ryzyka chorób układu </w:t>
      </w:r>
      <w:proofErr w:type="spellStart"/>
      <w:proofErr w:type="gram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krążenia.Bardzo</w:t>
      </w:r>
      <w:proofErr w:type="spellEnd"/>
      <w:proofErr w:type="gram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ważne jest, aby zapobiegać wystąpieniu tej choroby, dlatego firma Nestle skoncentrowała się na kompleksowym programie leczenia stanu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przedcukrzycowego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.</w:t>
      </w:r>
    </w:p>
    <w:p w14:paraId="0E7A96B8" w14:textId="77777777" w:rsidR="00927AB9" w:rsidRPr="00927AB9" w:rsidRDefault="00927AB9" w:rsidP="00927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</w:p>
    <w:p w14:paraId="0FF4BF9A" w14:textId="77777777" w:rsidR="00927AB9" w:rsidRPr="00927AB9" w:rsidRDefault="00927AB9" w:rsidP="00927AB9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c.</w:t>
      </w:r>
      <w:r w:rsidRPr="00927AB9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shd w:val="clear" w:color="auto" w:fill="FFFFFF"/>
          <w:lang w:val="pl-PL" w:eastAsia="ru-RU"/>
        </w:rPr>
        <w:t xml:space="preserve">      </w:t>
      </w: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spójność (jest elementem strategii rozwoju firmy, nie ma sprzecznych celów)</w:t>
      </w:r>
    </w:p>
    <w:p w14:paraId="3B67379C" w14:textId="77777777" w:rsidR="00927AB9" w:rsidRPr="00927AB9" w:rsidRDefault="00927AB9" w:rsidP="00927AB9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 xml:space="preserve">Ta innowacja jest w pełni zgodna ze strategią firmy, ponieważ stworzyła całkowicie nowy innowacyjny produkt zgodny z koncepcją Nestle. "Good </w:t>
      </w:r>
      <w:proofErr w:type="spellStart"/>
      <w:proofErr w:type="gramStart"/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food,good</w:t>
      </w:r>
      <w:proofErr w:type="spellEnd"/>
      <w:proofErr w:type="gramEnd"/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 xml:space="preserve"> life" stworzone nowe suplementy diety poprawią życie wielu ludzi.</w:t>
      </w:r>
    </w:p>
    <w:p w14:paraId="01CD2C26" w14:textId="77777777" w:rsidR="00927AB9" w:rsidRPr="00927AB9" w:rsidRDefault="00927AB9" w:rsidP="00927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</w:p>
    <w:p w14:paraId="3723646E" w14:textId="77777777" w:rsidR="00927AB9" w:rsidRPr="00927AB9" w:rsidRDefault="00927AB9" w:rsidP="00927AB9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d.</w:t>
      </w:r>
      <w:r w:rsidRPr="00927AB9">
        <w:rPr>
          <w:rFonts w:ascii="Times New Roman" w:eastAsia="Times New Roman" w:hAnsi="Times New Roman" w:cs="Times New Roman"/>
          <w:b/>
          <w:bCs/>
          <w:color w:val="333333"/>
          <w:sz w:val="14"/>
          <w:szCs w:val="14"/>
          <w:shd w:val="clear" w:color="auto" w:fill="FFFFFF"/>
          <w:lang w:val="pl-PL" w:eastAsia="ru-RU"/>
        </w:rPr>
        <w:t xml:space="preserve">    </w:t>
      </w:r>
      <w:r w:rsidRPr="00927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pl-PL" w:eastAsia="ru-RU"/>
        </w:rPr>
        <w:t>  przewagę konkurencyjną</w:t>
      </w:r>
    </w:p>
    <w:p w14:paraId="63D09366" w14:textId="77777777" w:rsidR="00927AB9" w:rsidRPr="00927AB9" w:rsidRDefault="00927AB9" w:rsidP="00927A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W wyniku naszych badań podjęliśmy decyzję, że chociaż oba programy mają swoje zalety, jednak produkt dla osób ze stanem </w:t>
      </w:r>
      <w:proofErr w:type="spell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przedcukrzycowym</w:t>
      </w:r>
      <w:proofErr w:type="spell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ma większą przewagę konkurencyjną. Chociaż hipotetycznie, na pierwszy rzut oka bardziej opłacalny ekonomicznie może wydawać się inny pomysł, wciąż na wadze ratowanie życia ludzi za pomocą tych suplementów diety. Z ich pomocą ludzie mogą żyć bardziej satysfakcjonującym życiem, a biorąc pod uwagę liczbę osób cierpiących na tę chorobę na świecie, wszystkie koszty zostaną zwrócone przez liczbę sprzedaży w </w:t>
      </w:r>
      <w:proofErr w:type="spellStart"/>
      <w:proofErr w:type="gramStart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>przyszłości.Ponadto</w:t>
      </w:r>
      <w:proofErr w:type="spellEnd"/>
      <w:proofErr w:type="gramEnd"/>
      <w:r w:rsidRPr="00927AB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pl-PL" w:eastAsia="ru-RU"/>
        </w:rPr>
        <w:t xml:space="preserve"> należy wziąć pod uwagę, że na rynku jest bardzo niewiele produktów, a wśród nich produkt Nestle ma wyraźną przewagę.</w:t>
      </w:r>
    </w:p>
    <w:p w14:paraId="5361659C" w14:textId="77777777" w:rsidR="00BE5169" w:rsidRPr="00927AB9" w:rsidRDefault="00BE5169">
      <w:pPr>
        <w:rPr>
          <w:lang w:val="pl-PL"/>
        </w:rPr>
      </w:pPr>
    </w:p>
    <w:sectPr w:rsidR="00BE5169" w:rsidRPr="0092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17202"/>
    <w:multiLevelType w:val="multilevel"/>
    <w:tmpl w:val="1E562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18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B9"/>
    <w:rsid w:val="00927AB9"/>
    <w:rsid w:val="00B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423A"/>
  <w15:chartTrackingRefBased/>
  <w15:docId w15:val="{0E801C19-F3C0-4980-8E6B-9A6305E9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27A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A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27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27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1328</Words>
  <Characters>7575</Characters>
  <Application>Microsoft Office Word</Application>
  <DocSecurity>0</DocSecurity>
  <Lines>63</Lines>
  <Paragraphs>17</Paragraphs>
  <ScaleCrop>false</ScaleCrop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Bahdzevich</dc:creator>
  <cp:keywords/>
  <dc:description/>
  <cp:lastModifiedBy>Marta Bahdzevich</cp:lastModifiedBy>
  <cp:revision>1</cp:revision>
  <dcterms:created xsi:type="dcterms:W3CDTF">2022-06-04T21:06:00Z</dcterms:created>
  <dcterms:modified xsi:type="dcterms:W3CDTF">2022-06-04T21:06:00Z</dcterms:modified>
</cp:coreProperties>
</file>