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Seminar 2. From Crisis to Contribution:</w:t>
      </w:r>
    </w:p>
    <w:p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 xml:space="preserve">Ukraine’s Role in Advancing Health Diplomacy</w:t>
      </w:r>
    </w:p>
    <w:p>
      <w:pPr>
        <w:spacing w:after="120"/>
        <w:jc w:val="center"/>
      </w:pPr>
      <w:r>
        <w:rPr>
          <w:color w:val="595959"/>
        </w:rPr>
        <w:t xml:space="preserve">Wednesday, 4 November 2026  ·  13:00–15:30 CET (14:00–16:30 EEST)  ·  Online (Zoom)  ·  English</w:t>
      </w:r>
    </w:p>
    <w:p>
      <w:pPr>
        <w:pStyle w:val="Heading2"/>
        <w:spacing w:after="40" w:before="140"/>
      </w:pPr>
      <w:r>
        <w:t xml:space="preserve">Concept</w:t>
      </w:r>
    </w:p>
    <w:p>
      <w:r>
        <w:t xml:space="preserve">The first seminar established the foundations: what health diplomacy is and why it matters for the region. This seminar takes a step further — from concept to agency.</w:t>
      </w:r>
    </w:p>
    <w:p>
      <w:r>
        <w:t xml:space="preserve">Ukraine is generating knowledge that exists nowhere else: in health system resilience under pressure, crisis management, and academic continuity during conflict. The seminar aims to make this knowledge visible and legible to an international audience — and to examine the role of academic partnerships as an instrument of diplomacy.</w:t>
      </w:r>
    </w:p>
    <w:p>
      <w:pPr>
        <w:pStyle w:val="Heading2"/>
        <w:spacing w:after="40" w:before="140"/>
      </w:pPr>
      <w:r>
        <w:t xml:space="preserve">The Paradox</w:t>
      </w:r>
    </w:p>
    <w:p>
      <w:r>
        <w:t xml:space="preserve">During Seminar 1, a question was raised that remained unanswered. Prof. Hulchiy will open this seminar by returning to it — as a recap of what was discussed and as a frame for what follows.</w:t>
      </w:r>
    </w:p>
    <w:p>
      <w:pPr>
        <w:spacing w:after="100"/>
      </w:pPr>
      <w:r>
        <w:rPr>
          <w:i/>
          <w:iCs/>
        </w:rPr>
        <w:t xml:space="preserve">This seminar is built around a paradox — or perhaps two sides of the same question: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3"/>
        <w:gridCol w:w="120"/>
        <w:gridCol w:w="4813"/>
      </w:tblGrid>
      <w:tr>
        <w:tc>
          <w:tcPr>
            <w:tcW w:type="dxa" w:w="4813"/>
            <w:tcBorders>
              <w:top w:val="none" w:color="FFFFFF" w:sz="0"/>
              <w:left w:val="single" w:color="2E74B5" w:sz="18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</w:rPr>
              <w:t xml:space="preserve">Why does a country under daily attack choose to become a security donor?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(What drives a nation to give when it is under threat?)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13"/>
            <w:tcBorders>
              <w:top w:val="none" w:color="FFFFFF" w:sz="0"/>
              <w:left w:val="single" w:color="2E74B5" w:sz="18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</w:rPr>
              <w:t xml:space="preserve">How can a country in acute need contribute anything to others at all?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(Where does the capacity come from?)</w:t>
            </w:r>
          </w:p>
        </w:tc>
      </w:tr>
    </w:tbl>
    <w:p>
      <w:pPr>
        <w:spacing w:after="40" w:before="100"/>
      </w:pPr>
      <w:r>
        <w:rPr>
          <w:i/>
          <w:iCs/>
        </w:rPr>
        <w:t xml:space="preserve">You don’t have to choose one. But by the end of today, we hope you’ll have your own answer.</w:t>
      </w:r>
    </w:p>
    <w:p>
      <w:pPr>
        <w:pStyle w:val="Heading2"/>
        <w:spacing w:after="40" w:before="140"/>
      </w:pPr>
      <w:r>
        <w:t xml:space="preserve">Programme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50"/>
        <w:gridCol w:w="6196"/>
        <w:gridCol w:w="2400"/>
      </w:tblGrid>
      <w:tr>
        <w:trPr>
          <w:tblHeader/>
        </w:trPr>
        <w:tc>
          <w:tcPr>
            <w:tcW w:type="dxa" w:w="1150"/>
            <w:shd w:fill="1F4E79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6196"/>
            <w:shd w:fill="1F4E79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Block</w:t>
            </w:r>
          </w:p>
        </w:tc>
        <w:tc>
          <w:tcPr>
            <w:tcW w:type="dxa" w:w="2400"/>
            <w:shd w:fill="1F4E79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Who</w:t>
            </w:r>
          </w:p>
        </w:tc>
      </w:tr>
      <w:tr>
        <w:trPr>
          <w:cantSplit/>
        </w:trPr>
        <w:tc>
          <w:tcPr>
            <w:tcW w:type="dxa" w:w="1150"/>
            <w:shd w:fill="F2F2F2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10 min</w:t>
            </w:r>
          </w:p>
        </w:tc>
        <w:tc>
          <w:tcPr>
            <w:tcW w:type="dxa" w:w="6196"/>
            <w:shd w:fill="F2F2F2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Recap from Seminar 1 + The Paradox</w:t>
            </w:r>
          </w:p>
          <w:p>
            <w:r>
              <w:rPr>
                <w:color w:val="404040"/>
                <w:sz w:val="19"/>
                <w:szCs w:val="19"/>
              </w:rPr>
              <w:t xml:space="preserve">Key findings from the first seminar and the two questions that frame the discussion ahead.</w:t>
            </w:r>
          </w:p>
        </w:tc>
        <w:tc>
          <w:tcPr>
            <w:tcW w:type="dxa" w:w="2400"/>
            <w:shd w:fill="F2F2F2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Prof. Olesya Hulchiy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20 min</w:t>
            </w:r>
          </w:p>
        </w:tc>
        <w:tc>
          <w:tcPr>
            <w:tcW w:type="dxa" w:w="6196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Ukraine from the inside: what the system looks like under pressure</w:t>
            </w:r>
          </w:p>
          <w:p>
            <w:r>
              <w:rPr>
                <w:color w:val="404040"/>
                <w:sz w:val="19"/>
                <w:szCs w:val="19"/>
              </w:rPr>
              <w:t xml:space="preserve">Three perspectives in one narrative: clinician, administrator, academic. What the health system goes through during war — and what that experience looks like from the outside.</w:t>
            </w:r>
          </w:p>
        </w:tc>
        <w:tc>
          <w:tcPr>
            <w:tcW w:type="dxa" w:w="2400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Prof. Serhiy Dubrov</w:t>
            </w:r>
          </w:p>
        </w:tc>
      </w:tr>
      <w:tr>
        <w:trPr>
          <w:cantSplit/>
        </w:trPr>
        <w:tc>
          <w:tcPr>
            <w:tcW w:type="dxa" w:w="1150"/>
            <w:shd w:fill="F2F2F2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20 min</w:t>
            </w:r>
          </w:p>
        </w:tc>
        <w:tc>
          <w:tcPr>
            <w:tcW w:type="dxa" w:w="6196"/>
            <w:shd w:fill="F2F2F2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From emergency response to health diplomacy: a regional perspective</w:t>
            </w:r>
          </w:p>
        </w:tc>
        <w:tc>
          <w:tcPr>
            <w:tcW w:type="dxa" w:w="2400"/>
            <w:shd w:fill="F2F2F2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Prof. Dorit Nitzan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10 min</w:t>
            </w:r>
          </w:p>
        </w:tc>
        <w:tc>
          <w:tcPr>
            <w:tcW w:type="dxa" w:w="6196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Looking ahead: questions on the horizon for academic health diplomacy</w:t>
            </w:r>
          </w:p>
          <w:p>
            <w:r>
              <w:rPr>
                <w:color w:val="404040"/>
                <w:sz w:val="19"/>
                <w:szCs w:val="19"/>
              </w:rPr>
              <w:t xml:space="preserve">A youth perspective — her own path into the field, the work of the Youth Council, and what international cooperation looks like from where she stands.</w:t>
            </w:r>
          </w:p>
        </w:tc>
        <w:tc>
          <w:tcPr>
            <w:tcW w:type="dxa" w:w="2400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Natalya Pidmurniak</w:t>
            </w:r>
          </w:p>
        </w:tc>
      </w:tr>
      <w:tr>
        <w:trPr>
          <w:cantSplit/>
        </w:trPr>
        <w:tc>
          <w:tcPr>
            <w:tcW w:type="dxa" w:w="1150"/>
            <w:shd w:fill="F2F2F2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45–50 min</w:t>
            </w:r>
          </w:p>
        </w:tc>
        <w:tc>
          <w:tcPr>
            <w:tcW w:type="dxa" w:w="6196"/>
            <w:shd w:fill="F2F2F2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Panel discussion</w:t>
            </w:r>
          </w:p>
          <w:p>
            <w:r>
              <w:rPr>
                <w:color w:val="404040"/>
                <w:sz w:val="19"/>
                <w:szCs w:val="19"/>
              </w:rPr>
              <w:t xml:space="preserve">Moderated discussion around 2–3 focus questions, drawn from participants’ questions submitted in advance. Speakers + floor.</w:t>
            </w:r>
          </w:p>
        </w:tc>
        <w:tc>
          <w:tcPr>
            <w:tcW w:type="dxa" w:w="2400"/>
            <w:shd w:fill="F2F2F2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All speakers + participants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5–10 min</w:t>
            </w:r>
          </w:p>
        </w:tc>
        <w:tc>
          <w:tcPr>
            <w:tcW w:type="dxa" w:w="6196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Closing</w:t>
            </w:r>
          </w:p>
          <w:p>
            <w:r>
              <w:rPr>
                <w:color w:val="404040"/>
                <w:sz w:val="19"/>
                <w:szCs w:val="19"/>
              </w:rPr>
              <w:t xml:space="preserve">Key takeaways. Next steps within Health Bridge.</w:t>
            </w:r>
          </w:p>
        </w:tc>
        <w:tc>
          <w:tcPr>
            <w:tcW w:type="dxa" w:w="2400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Moderator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60" w:right="1080" w:bottom="1760" w:left="10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100" w:line="240"/>
      <w:jc w:val="center"/>
    </w:pPr>
    <w:r>
      <w:rPr>
        <w:color w:val="595959"/>
        <w:sz w:val="16"/>
        <w:szCs w:val="16"/>
      </w:rPr>
      <w:t xml:space="preserve">Organized by Health Bridge — a collaboration between Karolinska Institutet, Bogomolets National Medical University, the National University of Life and Environmental Sciences of Ukraine and the University of Latvia — funded by the Swedish Institute.</w:t>
    </w:r>
  </w:p>
  <w:tbl>
    <w:tblPr>
      <w:tblW w:type="dxa" w:w="974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900"/>
      <w:gridCol w:w="900"/>
      <w:gridCol w:w="900"/>
      <w:gridCol w:w="1800"/>
      <w:gridCol w:w="3246"/>
      <w:gridCol w:w="2000"/>
    </w:tblGrid>
    <w:tr>
      <w:tc>
        <w:tcPr>
          <w:tcW w:type="dxa" w:w="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386715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671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952500" cy="32575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325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0"/>
            <w:right w:type="dxa" w:w="0"/>
          </w:tcMar>
          <w:vAlign w:val="center"/>
        </w:tcPr>
        <w:p>
          <w:pPr>
            <w:spacing w:after="0"/>
            <w:jc w:val="left"/>
          </w:pP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drawing>
              <wp:inline distT="0" distB="0" distL="0" distR="0">
                <wp:extent cx="981075" cy="3048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107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723900" cy="4857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c67bebed6856e16d191d87a8910c7f15d292ad0b.png"/><Relationship Id="rId1" Type="http://schemas.openxmlformats.org/officeDocument/2006/relationships/image" Target="media/76bcfde7c4bde3605dbe8c76ba60e4483744e259.png"/><Relationship Id="rId2" Type="http://schemas.openxmlformats.org/officeDocument/2006/relationships/image" Target="media/1c5c9435dec478844285bca47ce12558809b533c.png"/><Relationship Id="rId3" Type="http://schemas.openxmlformats.org/officeDocument/2006/relationships/image" Target="media/4a2986181f224186d4f70d5a642d03a78cfdfcdc.png"/><Relationship Id="rId4" Type="http://schemas.openxmlformats.org/officeDocument/2006/relationships/image" Target="media/a6c2fb61c12fafffda72fe3ddaa92e32210efb03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779504b60e171e2dd829a4b4cbc449bfcc8a56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Seminar 2 agenda – From Crisis to Contribution</dc:title>
  <dc:creator>Health Bridge</dc:creator>
  <cp:lastModifiedBy>Un-named</cp:lastModifiedBy>
  <cp:revision>1</cp:revision>
  <dcterms:created xsi:type="dcterms:W3CDTF">2026-10-27T23:34:03.234Z</dcterms:created>
  <dcterms:modified xsi:type="dcterms:W3CDTF">2026-10-27T23:34:03.235Z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