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free energy of a state relates directly to the stationary probability </w:t>
      </w:r>
      <m:oMath>
        <m:sSub>
          <m:sSubPr>
            <m:ctrlPr>
              <w:rPr/>
            </m:ctrlPr>
          </m:sSubPr>
          <m:e>
            <m:r>
              <m:t>π</m:t>
            </m:r>
          </m:e>
          <m:sub>
            <m:r>
              <w:rPr/>
              <m:t xml:space="preserve">i</m:t>
            </m:r>
          </m:sub>
        </m:sSub>
      </m:oMath>
      <w:r w:rsidRPr="00000000" w:rsidR="00000000" w:rsidDel="00000000">
        <w:rPr>
          <w:rtl w:val="0"/>
        </w:rPr>
        <w:t xml:space="preserve"> of being in state </w:t>
      </w:r>
      <m:oMath>
        <m:r>
          <w:rPr/>
          <m:t xml:space="preserve">i</m:t>
        </m:r>
      </m:oMath>
      <w:r w:rsidRPr="00000000" w:rsidR="00000000" w:rsidDel="00000000">
        <w:rPr>
          <w:rtl w:val="0"/>
        </w:rPr>
        <w:t xml:space="preserve"> when the system is in equilibrium, where </w:t>
      </w:r>
      <m:oMath>
        <m:sSub>
          <m:sSubPr>
            <m:ctrlPr>
              <w:rPr/>
            </m:ctrlPr>
          </m:sSubPr>
          <m:e>
            <m:r>
              <m:t>π</m:t>
            </m:r>
          </m:e>
          <m:sub>
            <m:r>
              <w:rPr/>
              <m:t xml:space="preserve">i</m:t>
            </m:r>
          </m:sub>
        </m:sSub>
        <m:r>
          <w:rPr/>
          <m:t xml:space="preserve">=</m:t>
        </m:r>
        <m:f>
          <m:fPr>
            <m:ctrlPr>
              <w:rPr/>
            </m:ctrlPr>
          </m:fPr>
          <m:num>
            <m:sSub>
              <m:sSubPr>
                <m:ctrlPr>
                  <w:rPr/>
                </m:ctrlPr>
              </m:sSubPr>
              <m:e>
                <m:r>
                  <w:rPr/>
                  <m:t xml:space="preserve">q</m:t>
                </m:r>
              </m:e>
              <m:sub>
                <m:sSub>
                  <m:sSubPr>
                    <m:ctrlPr>
                      <w:rPr/>
                    </m:ctrlPr>
                  </m:sSubPr>
                  <m:e>
                    <m:r>
                      <w:rPr/>
                      <m:t xml:space="preserve">1</m:t>
                    </m:r>
                  </m:e>
                  <m:sub>
                    <m:r>
                      <w:rPr/>
                      <m:t xml:space="preserve">i</m:t>
                    </m:r>
                  </m:sub>
                </m:sSub>
              </m:sub>
            </m:sSub>
          </m:num>
          <m:den>
            <m:nary>
              <m:naryPr>
                <m:chr m:val="∑"/>
                <m:ctrlPr>
                  <w:rPr/>
                </m:ctrlPr>
              </m:naryPr>
              <m:sub>
                <m:r>
                  <w:rPr/>
                  <m:t xml:space="preserve">j=1</m:t>
                </m:r>
              </m:sub>
              <m:sup>
                <m:r>
                  <w:rPr/>
                  <m:t xml:space="preserve">n</m:t>
                </m:r>
              </m:sup>
            </m:nary>
            <m:sSub>
              <m:sSubPr>
                <m:ctrlPr>
                  <w:rPr/>
                </m:ctrlPr>
              </m:sSubPr>
              <m:e>
                <m:r>
                  <w:rPr/>
                  <m:t xml:space="preserve">q</m:t>
                </m:r>
              </m:e>
              <m:sub>
                <m:sSub>
                  <m:sSubPr>
                    <m:ctrlPr>
                      <w:rPr/>
                    </m:ctrlPr>
                  </m:sSubPr>
                  <m:e>
                    <m:r>
                      <w:rPr/>
                      <m:t xml:space="preserve">1</m:t>
                    </m:r>
                  </m:e>
                  <m:sub>
                    <m:r>
                      <w:rPr/>
                      <m:t xml:space="preserve">j</m:t>
                    </m:r>
                  </m:sub>
                </m:sSub>
                <m:r>
                  <w:rPr/>
                  <m:t xml:space="preserve"> </m:t>
                </m:r>
              </m:sub>
            </m:sSub>
          </m:den>
        </m:f>
      </m:oMath>
      <w:r w:rsidRPr="00000000" w:rsidR="00000000" w:rsidDel="00000000">
        <w:rPr>
          <w:rtl w:val="0"/>
        </w:rPr>
        <w:t xml:space="preserve">, where </w:t>
      </w:r>
      <m:oMath>
        <m:sSub>
          <m:sSubPr>
            <m:ctrlPr>
              <w:rPr/>
            </m:ctrlPr>
          </m:sSubPr>
          <m:e>
            <m:r>
              <w:rPr/>
              <m:t xml:space="preserve">q</m:t>
            </m:r>
          </m:e>
          <m:sub>
            <m:r>
              <w:rPr/>
              <m:t xml:space="preserve">1</m:t>
            </m:r>
          </m:sub>
        </m:sSub>
      </m:oMath>
      <w:r w:rsidRPr="00000000" w:rsidR="00000000" w:rsidDel="00000000">
        <w:rPr>
          <w:rtl w:val="0"/>
        </w:rPr>
        <w:t xml:space="preserve"> is the left eigenvector of the </w:t>
      </w:r>
      <m:oMath>
        <m:r>
          <w:rPr/>
          <m:t xml:space="preserve">n</m:t>
        </m:r>
        <m:r>
          <w:rPr/>
          <m:t>×</m:t>
        </m:r>
        <m:r>
          <w:rPr/>
          <m:t xml:space="preserve">n</m:t>
        </m:r>
      </m:oMath>
      <w:r w:rsidRPr="00000000" w:rsidR="00000000" w:rsidDel="00000000">
        <w:rPr>
          <w:rtl w:val="0"/>
        </w:rPr>
        <w:t xml:space="preserve"> row-stochastic transition matrix </w:t>
      </w:r>
      <m:oMath>
        <m:r>
          <w:rPr/>
          <m:t xml:space="preserve">T</m:t>
        </m:r>
      </m:oMath>
      <w:r w:rsidRPr="00000000" w:rsidR="00000000" w:rsidDel="00000000">
        <w:rPr>
          <w:rtl w:val="0"/>
        </w:rPr>
        <w:t xml:space="preserve"> with eigenvalue </w:t>
      </w:r>
      <m:oMath>
        <m:sSub>
          <m:sSubPr>
            <m:ctrlPr>
              <w:rPr/>
            </m:ctrlPr>
          </m:sSubPr>
          <m:e>
            <m:r>
              <m:t>λ</m:t>
            </m:r>
          </m:e>
          <m:sub>
            <m:r>
              <w:rPr/>
              <m:t xml:space="preserve">1</m:t>
            </m:r>
          </m:sub>
        </m:sSub>
        <m:r>
          <w:rPr/>
          <m:t xml:space="preserve">=1</m:t>
        </m:r>
      </m:oMath>
      <w:r w:rsidRPr="00000000" w:rsidR="00000000" w:rsidDel="00000000">
        <w:rPr>
          <w:rtl w:val="0"/>
        </w:rPr>
        <w:t xml:space="preserve"> which relates to the equilibrium state (since </w:t>
      </w:r>
      <m:oMath>
        <m:sSub>
          <m:sSubPr>
            <m:ctrlPr>
              <w:rPr/>
            </m:ctrlPr>
          </m:sSubPr>
          <m:e>
            <m:r>
              <w:rPr/>
              <m:t xml:space="preserve">q</m:t>
            </m:r>
          </m:e>
          <m:sub>
            <m:r>
              <w:rPr/>
              <m:t xml:space="preserve">1</m:t>
            </m:r>
          </m:sub>
        </m:sSub>
        <m:r>
          <w:rPr/>
          <m:t xml:space="preserve">T=</m:t>
        </m:r>
        <m:sSub>
          <m:sSubPr>
            <m:ctrlPr>
              <w:rPr/>
            </m:ctrlPr>
          </m:sSubPr>
          <m:e>
            <m:r>
              <w:rPr/>
              <m:t xml:space="preserve">q</m:t>
            </m:r>
          </m:e>
          <m:sub>
            <m:r>
              <w:rPr/>
              <m:t xml:space="preserve">1</m:t>
            </m:r>
          </m:sub>
        </m:sSub>
      </m:oMath>
      <w:r w:rsidRPr="00000000" w:rsidR="00000000" w:rsidDel="00000000">
        <w:rPr>
          <w:rtl w:val="0"/>
        </w:rPr>
        <w:t xml:space="preserve">.) Since </w:t>
      </w:r>
      <m:oMath>
        <m:nary>
          <m:naryPr>
            <m:chr m:val="∑"/>
            <m:ctrlPr>
              <w:rPr/>
            </m:ctrlPr>
          </m:naryPr>
          <m:sub>
            <m:r>
              <w:rPr/>
              <m:t xml:space="preserve">j=1</m:t>
            </m:r>
          </m:sub>
          <m:sup>
            <m:r>
              <w:rPr/>
              <m:t xml:space="preserve">n</m:t>
            </m:r>
          </m:sup>
        </m:nary>
        <m:sSub>
          <m:sSubPr>
            <m:ctrlPr>
              <w:rPr/>
            </m:ctrlPr>
          </m:sSubPr>
          <m:e>
            <m:r>
              <w:rPr/>
              <m:t xml:space="preserve">p</m:t>
            </m:r>
          </m:e>
          <m:sub>
            <m:r>
              <w:rPr/>
              <m:t xml:space="preserve">ij</m:t>
            </m:r>
          </m:sub>
        </m:sSub>
        <m:r>
          <w:rPr/>
          <m:t xml:space="preserve">=1</m:t>
        </m:r>
      </m:oMath>
      <w:r w:rsidRPr="00000000" w:rsidR="00000000" w:rsidDel="00000000">
        <w:rPr>
          <w:rtl w:val="0"/>
        </w:rPr>
        <w:t xml:space="preserve"> for all </w:t>
      </w:r>
      <m:oMath>
        <m:r>
          <w:rPr/>
          <m:t xml:space="preserve">i</m:t>
        </m:r>
      </m:oMath>
      <w:r w:rsidRPr="00000000" w:rsidR="00000000" w:rsidDel="00000000">
        <w:rPr>
          <w:rtl w:val="0"/>
        </w:rPr>
        <w:t xml:space="preserve">, there exists only one eigenvalue of unity and hence </w:t>
      </w:r>
      <m:oMath>
        <m:sSub>
          <m:sSubPr>
            <m:ctrlPr>
              <w:rPr/>
            </m:ctrlPr>
          </m:sSubPr>
          <m:e>
            <m:r>
              <w:rPr/>
              <m:t xml:space="preserve">q</m:t>
            </m:r>
          </m:e>
          <m:sub>
            <m:r>
              <w:rPr/>
              <m:t xml:space="preserve">1</m:t>
            </m:r>
          </m:sub>
        </m:sSub>
      </m:oMath>
      <w:r w:rsidRPr="00000000" w:rsidR="00000000" w:rsidDel="00000000">
        <w:rPr>
          <w:rtl w:val="0"/>
        </w:rPr>
        <w:t xml:space="preserve"> is unique.</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stationary probability </w:t>
      </w:r>
      <m:oMath>
        <m:sSub>
          <m:sSubPr>
            <m:ctrlPr>
              <w:rPr/>
            </m:ctrlPr>
          </m:sSubPr>
          <m:e>
            <m:r>
              <m:t>π</m:t>
            </m:r>
          </m:e>
          <m:sub>
            <m:r>
              <w:rPr/>
              <m:t xml:space="preserve">i</m:t>
            </m:r>
          </m:sub>
        </m:sSub>
      </m:oMath>
      <w:r w:rsidRPr="00000000" w:rsidR="00000000" w:rsidDel="00000000">
        <w:rPr>
          <w:rtl w:val="0"/>
        </w:rPr>
        <w:t xml:space="preserve"> is related to the Gibbs’ free energy </w:t>
      </w:r>
      <m:oMath>
        <m:r>
          <w:rPr/>
          <m:t xml:space="preserve">G</m:t>
        </m:r>
      </m:oMath>
      <w:r w:rsidRPr="00000000" w:rsidR="00000000" w:rsidDel="00000000">
        <w:rPr>
          <w:rtl w:val="0"/>
        </w:rPr>
        <w:t xml:space="preserve"> by </w:t>
      </w:r>
      <m:oMath>
        <m:sSub>
          <m:sSubPr>
            <m:ctrlPr>
              <w:rPr/>
            </m:ctrlPr>
          </m:sSubPr>
          <m:e>
            <m:r>
              <m:t>π</m:t>
            </m:r>
          </m:e>
          <m:sub>
            <m:r>
              <w:rPr/>
              <m:t xml:space="preserve">i</m:t>
            </m:r>
          </m:sub>
        </m:sSub>
        <m:r>
          <w:rPr/>
          <m:t>∝</m:t>
        </m:r>
        <m:r>
          <w:rPr/>
          <m:t>exp</m:t>
        </m:r>
        <m:r>
          <w:rPr/>
          <m:t xml:space="preserve">(</m:t>
        </m:r>
        <m:f>
          <m:fPr>
            <m:ctrlPr>
              <w:rPr/>
            </m:ctrlPr>
          </m:fPr>
          <m:num>
            <m:r>
              <w:rPr/>
              <m:t xml:space="preserve">-G</m:t>
            </m:r>
          </m:num>
          <m:den>
            <m:sSub>
              <m:sSubPr>
                <m:ctrlPr>
                  <w:rPr/>
                </m:ctrlPr>
              </m:sSubPr>
              <m:e>
                <m:r>
                  <w:rPr/>
                  <m:t xml:space="preserve">k</m:t>
                </m:r>
              </m:e>
              <m:sub>
                <m:r>
                  <w:rPr/>
                  <m:t xml:space="preserve">B</m:t>
                </m:r>
              </m:sub>
            </m:sSub>
            <m:r>
              <w:rPr/>
              <m:t xml:space="preserve">T</m:t>
            </m:r>
          </m:den>
        </m:f>
        <m:r>
          <w:rPr/>
          <m:t xml:space="preserve">)</m:t>
        </m:r>
      </m:oMath>
      <w:r w:rsidRPr="00000000" w:rsidR="00000000" w:rsidDel="00000000">
        <w:rPr>
          <w:rtl w:val="0"/>
        </w:rPr>
        <w:t xml:space="preserve">where </w:t>
      </w:r>
      <m:oMath>
        <m:sSub>
          <m:sSubPr>
            <m:ctrlPr>
              <w:rPr/>
            </m:ctrlPr>
          </m:sSubPr>
          <m:e>
            <m:r>
              <w:rPr/>
              <m:t xml:space="preserve">k</m:t>
            </m:r>
          </m:e>
          <m:sub>
            <m:r>
              <w:rPr/>
              <m:t xml:space="preserve">B</m:t>
            </m:r>
          </m:sub>
        </m:sSub>
      </m:oMath>
      <w:r w:rsidRPr="00000000" w:rsidR="00000000" w:rsidDel="00000000">
        <w:rPr>
          <w:rtl w:val="0"/>
        </w:rPr>
        <w:t xml:space="preserve"> is the Boltzmann constant and </w:t>
      </w:r>
      <m:oMath>
        <m:r>
          <w:rPr/>
          <m:t xml:space="preserve">T</m:t>
        </m:r>
      </m:oMath>
      <w:r w:rsidRPr="00000000" w:rsidR="00000000" w:rsidDel="00000000">
        <w:rPr>
          <w:rtl w:val="0"/>
        </w:rPr>
        <w:t xml:space="preserve"> is temperature in Kelvin.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the change in </w:t>
      </w:r>
      <m:oMath>
        <m:r>
          <w:rPr/>
          <m:t xml:space="preserve">G</m:t>
        </m:r>
      </m:oMath>
      <w:r w:rsidRPr="00000000" w:rsidR="00000000" w:rsidDel="00000000">
        <w:rPr>
          <w:rtl w:val="0"/>
        </w:rPr>
        <w:t xml:space="preserve"> from some reference state </w:t>
      </w:r>
      <m:oMath>
        <m:r>
          <m:t>τ</m:t>
        </m:r>
      </m:oMath>
      <w:r w:rsidRPr="00000000" w:rsidR="00000000" w:rsidDel="00000000">
        <w:rPr>
          <w:rtl w:val="0"/>
        </w:rPr>
        <w:t xml:space="preserve"> is </w:t>
      </w:r>
      <m:oMath>
        <m:r>
          <m:t>Δ</m:t>
        </m:r>
        <m:r>
          <w:rPr/>
          <m:t xml:space="preserve">G=-</m:t>
        </m:r>
        <m:sSub>
          <m:sSubPr>
            <m:ctrlPr>
              <w:rPr/>
            </m:ctrlPr>
          </m:sSubPr>
          <m:e>
            <m:r>
              <w:rPr/>
              <m:t xml:space="preserve">k</m:t>
            </m:r>
          </m:e>
          <m:sub>
            <m:r>
              <w:rPr/>
              <m:t xml:space="preserve">B</m:t>
            </m:r>
          </m:sub>
        </m:sSub>
        <m:r>
          <w:rPr/>
          <m:t xml:space="preserve">T</m:t>
        </m:r>
        <m:r>
          <w:rPr/>
          <m:t>⋅</m:t>
        </m:r>
        <m:r>
          <w:rPr/>
          <m:t xml:space="preserve">ln(</m:t>
        </m:r>
        <m:f>
          <m:fPr>
            <m:ctrlPr>
              <w:rPr/>
            </m:ctrlPr>
          </m:fPr>
          <m:num>
            <m:sSub>
              <m:sSubPr>
                <m:ctrlPr>
                  <w:rPr/>
                </m:ctrlPr>
              </m:sSubPr>
              <m:e>
                <m:r>
                  <w:rPr/>
                  <m:t>π</m:t>
                </m:r>
              </m:e>
              <m:sub>
                <m:r>
                  <w:rPr/>
                  <m:t xml:space="preserve">i</m:t>
                </m:r>
              </m:sub>
            </m:sSub>
          </m:num>
          <m:den>
            <m:sSub>
              <m:sSubPr>
                <m:ctrlPr>
                  <w:rPr/>
                </m:ctrlPr>
              </m:sSubPr>
              <m:e>
                <m:r>
                  <w:rPr/>
                  <m:t>π</m:t>
                </m:r>
              </m:e>
              <m:sub>
                <m:r>
                  <w:rPr/>
                  <m:t>τ</m:t>
                </m:r>
              </m:sub>
            </m:sSub>
          </m:den>
        </m:f>
        <m:r>
          <w:rPr/>
          <m:t xml:space="preserve">)</m:t>
        </m:r>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Uncertainty of Free Energy Calculation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Assume </w:t>
      </w:r>
      <m:oMath>
        <m:sSub>
          <m:sSubPr>
            <m:ctrlPr>
              <w:rPr/>
            </m:ctrlPr>
          </m:sSubPr>
          <m:e>
            <m:r>
              <m:t>Δ</m:t>
            </m:r>
            <m:r>
              <w:rPr/>
              <m:t xml:space="preserve">p</m:t>
            </m:r>
          </m:e>
          <m:sub>
            <m:r>
              <w:rPr/>
              <m:t xml:space="preserve">ij</m:t>
            </m:r>
          </m:sub>
        </m:sSub>
      </m:oMath>
      <w:r w:rsidRPr="00000000" w:rsidR="00000000" w:rsidDel="00000000">
        <w:rPr>
          <w:rtl w:val="0"/>
        </w:rPr>
        <w:t xml:space="preserve"> is known. Assume </w:t>
      </w:r>
      <m:oMath>
        <m:sSub>
          <m:sSubPr>
            <m:ctrlPr>
              <w:rPr/>
            </m:ctrlPr>
          </m:sSubPr>
          <m:e>
            <m:r>
              <m:t>λ</m:t>
            </m:r>
          </m:e>
          <m:sub>
            <m:r>
              <w:rPr/>
              <m:t xml:space="preserve">1</m:t>
            </m:r>
          </m:sub>
        </m:sSub>
        <m:r>
          <w:rPr/>
          <m:t xml:space="preserve">-</m:t>
        </m:r>
        <m:r>
          <w:rPr/>
          <m:t>Δ</m:t>
        </m:r>
        <m:sSub>
          <m:sSubPr>
            <m:ctrlPr>
              <w:rPr/>
            </m:ctrlPr>
          </m:sSubPr>
          <m:e>
            <m:r>
              <w:rPr/>
              <m:t>λ</m:t>
            </m:r>
          </m:e>
          <m:sub>
            <m:r>
              <w:rPr/>
              <m:t xml:space="preserve">1</m:t>
            </m:r>
          </m:sub>
        </m:sSub>
        <m:r>
          <w:rPr/>
          <m:t xml:space="preserve">&gt;</m:t>
        </m:r>
        <m:r>
          <w:rPr/>
          <m:t>λ</m:t>
        </m:r>
        <m:r>
          <w:rPr/>
          <m:t xml:space="preserve">+</m:t>
        </m:r>
        <m:r>
          <w:rPr/>
          <m:t>Δ</m:t>
        </m:r>
        <m:r>
          <w:rPr/>
          <m:t>λ</m:t>
        </m:r>
        <m:r>
          <w:rPr/>
          <m:t xml:space="preserve"> </m:t>
        </m:r>
        <m:r>
          <w:rPr/>
          <m:t>∀</m:t>
        </m:r>
        <m:r>
          <w:rPr/>
          <m:t xml:space="preserve"> </m:t>
        </m:r>
      </m:oMath>
      <w:r w:rsidRPr="00000000" w:rsidR="00000000" w:rsidDel="00000000">
        <w:rPr>
          <w:rtl w:val="0"/>
        </w:rPr>
        <w:t xml:space="preserve">eigenvalues </w:t>
      </w:r>
      <m:oMath>
        <m:r>
          <m:t>λ</m:t>
        </m:r>
      </m:oMath>
      <w:r w:rsidRPr="00000000" w:rsidR="00000000" w:rsidDel="00000000">
        <w:rPr>
          <w:rtl w:val="0"/>
        </w:rPr>
        <w:t xml:space="preserve">. (This should be tested.)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an n-dimensional transition matrix </w:t>
      </w:r>
      <m:oMath>
        <m:r>
          <w:rPr/>
          <m:t xml:space="preserve">T</m:t>
        </m:r>
      </m:oMath>
      <w:r w:rsidRPr="00000000" w:rsidR="00000000" w:rsidDel="00000000">
        <w:rPr>
          <w:rtl w:val="0"/>
        </w:rPr>
        <w:t xml:space="preserve">, the eigenvector </w:t>
      </w:r>
      <m:oMath>
        <m:sSub>
          <m:sSubPr>
            <m:ctrlPr>
              <w:rPr/>
            </m:ctrlPr>
          </m:sSubPr>
          <m:e>
            <m:r>
              <w:rPr/>
              <m:t xml:space="preserve">q</m:t>
            </m:r>
          </m:e>
          <m:sub>
            <m:r>
              <w:rPr/>
              <m:t xml:space="preserve">1</m:t>
            </m:r>
          </m:sub>
        </m:sSub>
      </m:oMath>
      <w:r w:rsidRPr="00000000" w:rsidR="00000000" w:rsidDel="00000000">
        <w:rPr>
          <w:rtl w:val="0"/>
        </w:rPr>
        <w:t xml:space="preserve"> is given by </w:t>
      </w:r>
      <m:oMath>
        <m:r>
          <w:rPr/>
          <m:t xml:space="preserve">Tq=</m:t>
        </m:r>
        <m:sSub>
          <m:sSubPr>
            <m:ctrlPr>
              <w:rPr/>
            </m:ctrlPr>
          </m:sSubPr>
          <m:e>
            <m:r>
              <w:rPr/>
              <m:t>λ</m:t>
            </m:r>
          </m:e>
          <m:sub>
            <m:r>
              <w:rPr/>
              <m:t xml:space="preserve">1</m:t>
            </m:r>
          </m:sub>
        </m:sSub>
        <m:r>
          <w:rPr/>
          <m:t xml:space="preserve">q</m:t>
        </m:r>
      </m:oMath>
      <w:r w:rsidRPr="00000000" w:rsidR="00000000" w:rsidDel="00000000">
        <w:rPr>
          <w:rtl w:val="0"/>
        </w:rPr>
        <w:t xml:space="preserve"> which is a system of n linear equations. </w:t>
      </w:r>
      <m:oMath>
        <m:sSub>
          <m:sSubPr>
            <m:ctrlPr>
              <w:rPr/>
            </m:ctrlPr>
          </m:sSubPr>
          <m:e>
            <m:r>
              <w:rPr/>
              <m:t xml:space="preserve">p</m:t>
            </m:r>
          </m:e>
          <m:sub>
            <m:r>
              <w:rPr/>
              <m:t xml:space="preserve">i</m:t>
            </m:r>
          </m:sub>
        </m:sSub>
        <m:r>
          <w:rPr/>
          <m:t xml:space="preserve">=</m:t>
        </m:r>
        <m:sSub>
          <m:sSubPr>
            <m:ctrlPr>
              <w:rPr/>
            </m:ctrlPr>
          </m:sSubPr>
          <m:e>
            <m:r>
              <w:rPr/>
              <m:t xml:space="preserve">q</m:t>
            </m:r>
          </m:e>
          <m:sub>
            <m:sSub>
              <m:sSubPr>
                <m:ctrlPr>
                  <w:rPr/>
                </m:ctrlPr>
              </m:sSubPr>
              <m:e>
                <m:r>
                  <w:rPr/>
                  <m:t xml:space="preserve">1</m:t>
                </m:r>
              </m:e>
              <m:sub>
                <m:r>
                  <w:rPr/>
                  <m:t xml:space="preserve">i</m:t>
                </m:r>
              </m:sub>
            </m:sSub>
          </m:sub>
        </m:sSub>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computation involved in determining the uncertainty in each value in a n-dimensional system of linear equations is NP-hard.</w:t>
      </w:r>
      <w:r w:rsidRPr="00000000" w:rsidR="00000000" w:rsidDel="00000000">
        <w:rPr>
          <w:vertAlign w:val="superscript"/>
        </w:rPr>
        <w:footnoteReference w:id="1" w:customMarkFollows="0"/>
      </w:r>
      <w:r w:rsidRPr="00000000" w:rsidR="00000000" w:rsidDel="00000000">
        <w:rPr>
          <w:rtl w:val="0"/>
        </w:rPr>
        <w:t xml:space="preserve"> It may be more feasible to run a series of trials where each </w:t>
      </w:r>
      <m:oMath>
        <m:sSub>
          <m:sSubPr>
            <m:ctrlPr>
              <w:rPr/>
            </m:ctrlPr>
          </m:sSubPr>
          <m:e>
            <m:r>
              <w:rPr/>
              <m:t xml:space="preserve">p</m:t>
            </m:r>
          </m:e>
          <m:sub>
            <m:r>
              <w:rPr/>
              <m:t xml:space="preserve">ij</m:t>
            </m:r>
          </m:sub>
        </m:sSub>
      </m:oMath>
      <w:r w:rsidRPr="00000000" w:rsidR="00000000" w:rsidDel="00000000">
        <w:rPr>
          <w:rtl w:val="0"/>
        </w:rPr>
        <w:t xml:space="preserve"> is given a random value within the bounds of </w:t>
      </w:r>
      <m:oMath>
        <m:sSub>
          <m:sSubPr>
            <m:ctrlPr>
              <w:rPr/>
            </m:ctrlPr>
          </m:sSubPr>
          <m:e>
            <m:r>
              <w:rPr/>
              <m:t xml:space="preserve">p</m:t>
            </m:r>
          </m:e>
          <m:sub>
            <m:r>
              <w:rPr/>
              <m:t xml:space="preserve">ij</m:t>
            </m:r>
          </m:sub>
        </m:sSub>
        <m:r>
          <w:rPr/>
          <m:t>±</m:t>
        </m:r>
        <m:r>
          <w:rPr/>
          <m:t>Δ</m:t>
        </m:r>
        <m:sSub>
          <m:sSubPr>
            <m:ctrlPr>
              <w:rPr/>
            </m:ctrlPr>
          </m:sSubPr>
          <m:e>
            <m:r>
              <w:rPr/>
              <m:t xml:space="preserve">p</m:t>
            </m:r>
          </m:e>
          <m:sub>
            <m:r>
              <w:rPr/>
              <m:t xml:space="preserve">ij</m:t>
            </m:r>
          </m:sub>
        </m:sSub>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 6 gives a sub-optimal algorithm which generates a solution in </w:t>
      </w:r>
      <m:oMath>
        <m:r>
          <w:rPr/>
          <m:t xml:space="preserve">O(</m:t>
        </m:r>
        <m:sSup>
          <m:sSupPr>
            <m:ctrlPr>
              <w:rPr/>
            </m:ctrlPr>
          </m:sSupPr>
          <m:e>
            <m:r>
              <w:rPr/>
              <m:t xml:space="preserve">n</m:t>
            </m:r>
          </m:e>
          <m:sup>
            <m:r>
              <w:rPr/>
              <m:t xml:space="preserve">3</m:t>
            </m:r>
          </m:sup>
        </m:sSup>
        <m:r>
          <w:rPr/>
          <m:t xml:space="preserve">)</m:t>
        </m:r>
      </m:oMath>
      <w:r w:rsidRPr="00000000" w:rsidR="00000000" w:rsidDel="00000000">
        <w:rPr>
          <w:rtl w:val="0"/>
        </w:rPr>
        <w:t xml:space="preserve">, in which an ellipsoid in </w:t>
      </w:r>
      <m:oMath>
        <m:sSup>
          <m:sSupPr>
            <m:ctrlPr>
              <w:rPr/>
            </m:ctrlPr>
          </m:sSupPr>
          <m:e>
            <m:r>
              <w:rPr/>
              <m:t xml:space="preserve">R</m:t>
            </m:r>
          </m:e>
          <m:sup>
            <m:r>
              <w:rPr/>
              <m:t xml:space="preserve">n</m:t>
            </m:r>
          </m:sup>
        </m:sSup>
      </m:oMath>
      <w:r w:rsidRPr="00000000" w:rsidR="00000000" w:rsidDel="00000000">
        <w:rPr>
          <w:rtl w:val="0"/>
        </w:rPr>
        <w:t xml:space="preserve">is given in which all possible solutions lie. However, for our applications it is only necessary to attain the uncertainty of the free energy, which relies on uncertainties of individual entries of the vector </w:t>
      </w:r>
      <m:oMath>
        <m:r>
          <w:rPr/>
          <m:t xml:space="preserve">q</m:t>
        </m:r>
      </m:oMath>
      <w:r w:rsidRPr="00000000" w:rsidR="00000000" w:rsidDel="00000000">
        <w:rPr>
          <w:rtl w:val="0"/>
        </w:rPr>
        <w:t xml:space="preserve">, and hence a minimum bounding box (hyperrectangle) is sufficient.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therefore perhaps possible to manipulate entries of </w:t>
      </w:r>
      <m:oMath>
        <m:r>
          <w:rPr/>
          <m:t xml:space="preserve">T</m:t>
        </m:r>
      </m:oMath>
      <w:r w:rsidRPr="00000000" w:rsidR="00000000" w:rsidDel="00000000">
        <w:rPr>
          <w:rtl w:val="0"/>
        </w:rPr>
        <w:t xml:space="preserve"> within their uncertainties to intentionally evaluate each entry of </w:t>
      </w:r>
      <m:oMath>
        <m:r>
          <w:rPr/>
          <m:t xml:space="preserve">q</m:t>
        </m:r>
      </m:oMath>
      <w:r w:rsidRPr="00000000" w:rsidR="00000000" w:rsidDel="00000000">
        <w:rPr>
          <w:rtl w:val="0"/>
        </w:rPr>
        <w:t xml:space="preserve"> at its maximum and minimum. On a toy 2D scale, demonstrations show that taking the minimum and then maximum values for all </w:t>
      </w:r>
      <m:oMath>
        <m:sSub>
          <m:sSubPr>
            <m:ctrlPr>
              <w:rPr/>
            </m:ctrlPr>
          </m:sSubPr>
          <m:e>
            <m:r>
              <w:rPr/>
              <m:t xml:space="preserve">p</m:t>
            </m:r>
          </m:e>
          <m:sub>
            <m:r>
              <w:rPr/>
              <m:t xml:space="preserve">ij</m:t>
            </m:r>
          </m:sub>
        </m:sSub>
      </m:oMath>
      <w:r w:rsidRPr="00000000" w:rsidR="00000000" w:rsidDel="00000000">
        <w:rPr>
          <w:rtl w:val="0"/>
        </w:rPr>
        <w:t xml:space="preserve"> gives eigenvectors which bound randomly generated eigenvectors &gt;96% of the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Unfortunately, on scaling up to 50 dimensional, these upper and lower bounds bound as little as 40% of the data. This method is clearly inadequate on the generated data but is heavily dependent on the magnitude of the fractional uncertainty.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0" w:colFirst="0" w:name="h.cjlbfri53ngn" w:colLast="0"/>
      <w:bookmarkEnd w:id="0"/>
      <w:hyperlink r:id="rId6">
        <w:r w:rsidRPr="00000000" w:rsidR="00000000" w:rsidDel="00000000">
          <w:rPr>
            <w:color w:val="1155cc"/>
            <w:u w:val="single"/>
            <w:rtl w:val="0"/>
          </w:rPr>
          <w:t xml:space="preserve">http://www.jstor.org/stable/2157442?origin=JSTOR-pdf</w:t>
        </w:r>
      </w:hyperlink>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 w:colFirst="0" w:name="h.18x9etb2auyj" w:colLast="0"/>
      <w:bookmarkEnd w:id="1"/>
      <w:r w:rsidRPr="00000000" w:rsidR="00000000" w:rsidDel="00000000">
        <w:rPr>
          <w:rFonts w:cs="Arial" w:hAnsi="Arial" w:eastAsia="Arial" w:ascii="Arial"/>
          <w:sz w:val="34"/>
          <w:rtl w:val="0"/>
        </w:rPr>
        <w:t xml:space="preserve">SIAM Journal on Numerical Analysis</w:t>
      </w:r>
      <w:hyperlink r:id="rId7">
        <w:r w:rsidRPr="00000000" w:rsidR="00000000" w:rsidDel="00000000">
          <w:rPr>
            <w:rFonts w:cs="Arial" w:hAnsi="Arial" w:eastAsia="Arial" w:ascii="Arial"/>
            <w:sz w:val="34"/>
            <w:rtl w:val="0"/>
          </w:rPr>
          <w:t xml:space="preserve"> </w:t>
        </w:r>
      </w:hyperlink>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 w:colFirst="0" w:name="h.p7elxo1kxlv9" w:colLast="0"/>
      <w:bookmarkEnd w:id="2"/>
      <w:r w:rsidRPr="00000000" w:rsidR="00000000" w:rsidDel="00000000">
        <w:rPr>
          <w:rFonts w:cs="Arial" w:hAnsi="Arial" w:eastAsia="Arial" w:ascii="Arial"/>
          <w:sz w:val="34"/>
          <w:rtl w:val="0"/>
        </w:rPr>
        <w:t xml:space="preserve">Derivatives and Perturbations of Eigenvectors</w:t>
      </w:r>
    </w:p>
    <w:p w:rsidP="00000000" w:rsidRPr="00000000" w:rsidR="00000000" w:rsidDel="00000000" w:rsidRDefault="00000000">
      <w:pPr>
        <w:contextualSpacing w:val="0"/>
      </w:pPr>
      <w:r w:rsidRPr="00000000" w:rsidR="00000000" w:rsidDel="00000000">
        <w:rPr>
          <w:rtl w:val="0"/>
        </w:rPr>
        <w:tab/>
        <w:tab/>
        <w:tab/>
        <w:t xml:space="preserve"> </w:t>
        <w:tab/>
        <w:tab/>
        <w:tab/>
        <w:tab/>
        <w:t xml:space="preserve"> </w:t>
        <w:tab/>
      </w:r>
    </w:p>
    <w:p w:rsidP="00000000" w:rsidRPr="00000000" w:rsidR="00000000" w:rsidDel="00000000" w:rsidRDefault="00000000">
      <w:pPr>
        <w:contextualSpacing w:val="0"/>
      </w:pPr>
      <w:r w:rsidRPr="00000000" w:rsidR="00000000" w:rsidDel="00000000">
        <w:rPr>
          <w:rtl w:val="0"/>
        </w:rPr>
        <w:t xml:space="preserve">Carl D. Meyer and G. W. Stewart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Alternative method for calculating free energy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partition function of the FE barrier separating states i and j, Zij, is equal to the value of minimum cut between the states in the graph, which can be calculated by the Ford–Fulkerson algorithm (18). After calculating the minimum cuts (FE barriers) between every pair of nodes (clusters), which can be done with only n-1 total minimum cuts for n nodes by use of the Gomory–Hu algorithm (19), the TRDG (4) is constructed to obtain a detailed representation of the FES. Following Becker and Karplus (1) and taking into account that Fij is proportional to kT ln(Zij), one starts with the largest Zij (smallest Fij) and successively connects states in order of decreasing Zij (increasing Fij).</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Swope W. C., Pitera J. W., and Suits F., J. Phys. Chem. B 108, 6571 (2004).10.1021/jp037421y [</w:t>
      </w:r>
      <w:hyperlink r:id="rId1">
        <w:r w:rsidRPr="00000000" w:rsidR="00000000" w:rsidDel="00000000">
          <w:rPr>
            <w:color w:val="1155cc"/>
            <w:u w:val="single"/>
            <w:rtl w:val="0"/>
          </w:rPr>
          <w:t xml:space="preserve">Cross Ref</w:t>
        </w:r>
      </w:hyperlink>
      <w:r w:rsidRPr="00000000" w:rsidR="00000000" w:rsidDel="00000000">
        <w:rPr>
          <w:rtl w:val="0"/>
        </w:rPr>
        <w:t xml:space="preserve">]</w:t>
      </w:r>
      <w:r w:rsidRPr="00000000" w:rsidR="00000000" w:rsidDel="00000000">
        <w:rPr>
          <w:rtl w:val="0"/>
        </w:rPr>
      </w:r>
    </w:p>
  </w:footnote>
  <w:footnote w:id="1">
    <w:p w:rsidP="00000000" w:rsidRPr="00000000" w:rsidR="00000000" w:rsidDel="00000000" w:rsidRDefault="00000000">
      <w:pPr>
        <w:pStyle w:val="Heading2"/>
        <w:spacing w:lineRule="auto" w:after="80" w:line="254"/>
        <w:contextualSpacing w:val="0"/>
      </w:pPr>
      <w:bookmarkStart w:id="3" w:colFirst="0" w:name="h.vr3vmchiyela" w:colLast="0"/>
      <w:bookmarkEnd w:id="3"/>
      <w:r w:rsidRPr="00000000" w:rsidR="00000000" w:rsidDel="00000000">
        <w:rPr>
          <w:rStyle w:val="FootnoteReference"/>
          <w:vertAlign w:val="superscript"/>
        </w:rPr>
        <w:footnoteRef/>
      </w:r>
      <w:r w:rsidRPr="00000000" w:rsidR="00000000" w:rsidDel="00000000">
        <w:rPr>
          <w:b w:val="0"/>
          <w:sz w:val="20"/>
          <w:rtl w:val="0"/>
        </w:rPr>
        <w:t xml:space="preserve"> http://www.eecs.berkeley.edu/~elghaoui/Pubs/Ell_bnds_uncert_Aut2004.pdf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ttp://www.jstor.org/stable/2157442?origin=JSTOR-pdf" Type="http://schemas.openxmlformats.org/officeDocument/2006/relationships/hyperlink" TargetMode="External" Id="rId6"/><Relationship Target="styles.xml" Type="http://schemas.openxmlformats.org/officeDocument/2006/relationships/styles" Id="rId5"/><Relationship Target="http://www.jstor.org/action/showPublicationInfo?journalCode=siamjnumeanal"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dx.doi.org/10.1021%2Fjp037421y"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Results.docx</dc:title>
</cp:coreProperties>
</file>