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6A530" w14:textId="77777777" w:rsidR="0095177C" w:rsidRDefault="00000000">
      <w:pPr>
        <w:jc w:val="center"/>
        <w:rPr>
          <w:rFonts w:hint="eastAsia"/>
        </w:rPr>
      </w:pPr>
      <w:r>
        <w:rPr>
          <w:rFonts w:eastAsia="Gentium Book Basic" w:cs="Gentium Book Basic"/>
          <w:b/>
          <w:color w:val="6E1F2A"/>
          <w:sz w:val="44"/>
        </w:rPr>
        <w:t>What Is Vedic Jyotiṣa, and How Is It Different from Western Astrology?</w:t>
      </w:r>
    </w:p>
    <w:p w14:paraId="022BEB0C" w14:textId="77777777" w:rsidR="0095177C" w:rsidRDefault="00000000">
      <w:pPr>
        <w:jc w:val="center"/>
        <w:rPr>
          <w:rFonts w:hint="eastAsia"/>
        </w:rPr>
      </w:pPr>
      <w:r>
        <w:rPr>
          <w:rFonts w:eastAsia="Gentium Book Basic" w:cs="Gentium Book Basic"/>
          <w:i/>
          <w:sz w:val="24"/>
        </w:rPr>
        <w:t>A worked example: why the Sun in your Vedic chart may sit one sign earlier than in your Western horoscope</w:t>
      </w:r>
    </w:p>
    <w:p w14:paraId="69E4DF35" w14:textId="77777777" w:rsidR="0095177C" w:rsidRDefault="0095177C">
      <w:pPr>
        <w:rPr>
          <w:rFonts w:hint="eastAsia"/>
        </w:rPr>
      </w:pPr>
    </w:p>
    <w:p w14:paraId="0C53E8C6" w14:textId="77777777" w:rsidR="0095177C" w:rsidRDefault="00000000">
      <w:pPr>
        <w:jc w:val="both"/>
        <w:rPr>
          <w:rFonts w:hint="eastAsia"/>
        </w:rPr>
      </w:pPr>
      <w:r>
        <w:rPr>
          <w:rFonts w:eastAsia="Gentium Book Basic" w:cs="Gentium Book Basic"/>
          <w:sz w:val="23"/>
        </w:rPr>
        <w:t>If you've ever compared your Western sun sign to your Vedic (Jyotiṣa) rāśi and found they don't match — and for most people born after the early 1900s, they genuinely don't — the reason isn't error or inconsistency between systems. It's because Western and Vedic astrology are, quite literally, measuring the sky against two different backdrops. Understanding why is the single most useful thing to grasp before going any further into Jyotiṣa, because it explains almost every structural difference that follows.</w:t>
      </w:r>
    </w:p>
    <w:p w14:paraId="0A15A95B" w14:textId="77777777" w:rsidR="0095177C" w:rsidRDefault="00000000">
      <w:pPr>
        <w:pBdr>
          <w:bottom w:val="single" w:sz="8" w:space="4" w:color="9A7B2E"/>
        </w:pBdr>
        <w:spacing w:before="360" w:after="160"/>
        <w:rPr>
          <w:rFonts w:hint="eastAsia"/>
        </w:rPr>
      </w:pPr>
      <w:r>
        <w:rPr>
          <w:rFonts w:eastAsia="Gentium Book Basic" w:cs="Gentium Book Basic"/>
          <w:b/>
          <w:color w:val="1B2A4A"/>
          <w:sz w:val="36"/>
        </w:rPr>
        <w:t>Two Zodiacs, One Sky</w:t>
      </w:r>
    </w:p>
    <w:p w14:paraId="7C0ECF16" w14:textId="77777777" w:rsidR="0095177C" w:rsidRDefault="00000000">
      <w:pPr>
        <w:jc w:val="both"/>
        <w:rPr>
          <w:rFonts w:hint="eastAsia"/>
        </w:rPr>
      </w:pPr>
      <w:r>
        <w:rPr>
          <w:rFonts w:eastAsia="Gentium Book Basic" w:cs="Gentium Book Basic"/>
          <w:sz w:val="23"/>
        </w:rPr>
        <w:t>Both systems divide the sky into the same twelve 30° segments — Aries through Pisces — and both call these segments by the same names. Where they part ways is in deciding where the circle actually begins.</w:t>
      </w:r>
    </w:p>
    <w:p w14:paraId="5F2B86B0" w14:textId="77777777" w:rsidR="0095177C" w:rsidRDefault="00000000">
      <w:pPr>
        <w:spacing w:before="240" w:after="80"/>
        <w:rPr>
          <w:rFonts w:hint="eastAsia"/>
        </w:rPr>
      </w:pPr>
      <w:r>
        <w:rPr>
          <w:rFonts w:eastAsia="Gentium Book Basic" w:cs="Gentium Book Basic"/>
          <w:b/>
          <w:i/>
          <w:color w:val="6E1F2A"/>
          <w:sz w:val="28"/>
        </w:rPr>
        <w:t>The Western (Tropical) Zodiac</w:t>
      </w:r>
    </w:p>
    <w:p w14:paraId="23DAE5FB" w14:textId="77777777" w:rsidR="0095177C" w:rsidRDefault="00000000">
      <w:pPr>
        <w:jc w:val="both"/>
        <w:rPr>
          <w:rFonts w:hint="eastAsia"/>
        </w:rPr>
      </w:pPr>
      <w:r>
        <w:rPr>
          <w:rFonts w:eastAsia="Gentium Book Basic" w:cs="Gentium Book Basic"/>
          <w:sz w:val="23"/>
        </w:rPr>
        <w:t>Western astrology anchors 0° Aries to the spring equinox — the precise moment the Sun crosses the celestial equator each year, currently around 20-21 March. This point is fixed relative to the seasons, not to the actual stars. It's called the tropical zodiac precisely because it's tied to Earth's relationship with the Sun, not to the fixed constellations behind it.</w:t>
      </w:r>
    </w:p>
    <w:p w14:paraId="1FB59212" w14:textId="77777777" w:rsidR="0095177C" w:rsidRDefault="00000000">
      <w:pPr>
        <w:spacing w:before="240" w:after="80"/>
        <w:rPr>
          <w:rFonts w:hint="eastAsia"/>
        </w:rPr>
      </w:pPr>
      <w:r>
        <w:rPr>
          <w:rFonts w:eastAsia="Gentium Book Basic" w:cs="Gentium Book Basic"/>
          <w:b/>
          <w:i/>
          <w:color w:val="6E1F2A"/>
          <w:sz w:val="28"/>
        </w:rPr>
        <w:t>The Vedic (Sidereal) Zodiac</w:t>
      </w:r>
    </w:p>
    <w:p w14:paraId="13B185BF" w14:textId="77777777" w:rsidR="0095177C" w:rsidRDefault="00000000">
      <w:pPr>
        <w:jc w:val="both"/>
        <w:rPr>
          <w:rFonts w:hint="eastAsia"/>
        </w:rPr>
      </w:pPr>
      <w:r>
        <w:rPr>
          <w:rFonts w:eastAsia="Gentium Book Basic" w:cs="Gentium Book Basic"/>
          <w:sz w:val="23"/>
        </w:rPr>
        <w:t>Vedic Jyotiṣa anchors 0° Aries to a fixed point among the actual background stars — traditionally, the beginning of the constellation Aśvinī. This is called the sidereal zodiac, from the Latin sidus, "star," because it's referenced against the real, physically observable constellations rather than the seasons.</w:t>
      </w:r>
    </w:p>
    <w:p w14:paraId="1C64B59F" w14:textId="77777777" w:rsidR="0095177C" w:rsidRDefault="00000000">
      <w:pPr>
        <w:spacing w:before="240" w:after="80"/>
        <w:rPr>
          <w:rFonts w:hint="eastAsia"/>
        </w:rPr>
      </w:pPr>
      <w:r>
        <w:rPr>
          <w:rFonts w:eastAsia="Gentium Book Basic" w:cs="Gentium Book Basic"/>
          <w:b/>
          <w:i/>
          <w:color w:val="6E1F2A"/>
          <w:sz w:val="28"/>
        </w:rPr>
        <w:t>Why They've Drifted Apart</w:t>
      </w:r>
    </w:p>
    <w:p w14:paraId="5E98684E" w14:textId="77777777" w:rsidR="0095177C" w:rsidRDefault="00000000">
      <w:pPr>
        <w:jc w:val="both"/>
        <w:rPr>
          <w:rFonts w:hint="eastAsia"/>
        </w:rPr>
      </w:pPr>
      <w:r>
        <w:rPr>
          <w:rFonts w:eastAsia="Gentium Book Basic" w:cs="Gentium Book Basic"/>
          <w:sz w:val="23"/>
        </w:rPr>
        <w:t xml:space="preserve">Two thousand years ago, these two starting points were nearly identical. They no longer are, because of a slow wobble in Earth's own rotational axis called the precession of the equinoxes — the same wobble a spinning top exhibits as it slows down. This wobble </w:t>
      </w:r>
      <w:r>
        <w:rPr>
          <w:rFonts w:eastAsia="Gentium Book Basic" w:cs="Gentium Book Basic"/>
          <w:sz w:val="23"/>
        </w:rPr>
        <w:lastRenderedPageBreak/>
        <w:t>completes one full cycle roughly every 25,800 years, and its effect is that the equinox point drifts backward through the fixed constellations by about 1° every 72 years.</w:t>
      </w:r>
    </w:p>
    <w:p w14:paraId="17E6667C" w14:textId="77777777" w:rsidR="0095177C" w:rsidRDefault="00000000">
      <w:pPr>
        <w:jc w:val="both"/>
        <w:rPr>
          <w:rFonts w:hint="eastAsia"/>
        </w:rPr>
      </w:pPr>
      <w:r>
        <w:rPr>
          <w:rFonts w:eastAsia="Gentium Book Basic" w:cs="Gentium Book Basic"/>
          <w:sz w:val="23"/>
        </w:rPr>
        <w:t>Over two millennia, that drift has accumulated to roughly 24°. This accumulated gap — the angular distance between the tropical zero-point and the sidereal zero-point at any given moment — is called the ayanāṃśa. The most widely used calculation in Vedic astrology, the Lahiri ayanāṃśa (also called the Chitrapakṣa ayanāṃśa), currently places this gap at approximately 24°10′.</w:t>
      </w:r>
    </w:p>
    <w:p w14:paraId="7CF656F8" w14:textId="77777777" w:rsidR="0095177C" w:rsidRDefault="00000000">
      <w:pPr>
        <w:pBdr>
          <w:bottom w:val="single" w:sz="8" w:space="4" w:color="9A7B2E"/>
        </w:pBdr>
        <w:spacing w:before="360" w:after="160"/>
        <w:rPr>
          <w:rFonts w:hint="eastAsia"/>
        </w:rPr>
      </w:pPr>
      <w:r>
        <w:rPr>
          <w:rFonts w:eastAsia="Gentium Book Basic" w:cs="Gentium Book Basic"/>
          <w:b/>
          <w:color w:val="1B2A4A"/>
          <w:sz w:val="36"/>
        </w:rPr>
        <w:t>What This Means for Every Planet in Your Chart</w:t>
      </w:r>
    </w:p>
    <w:p w14:paraId="11736394" w14:textId="77777777" w:rsidR="0095177C" w:rsidRDefault="00000000">
      <w:pPr>
        <w:jc w:val="both"/>
        <w:rPr>
          <w:rFonts w:hint="eastAsia"/>
        </w:rPr>
      </w:pPr>
      <w:r>
        <w:rPr>
          <w:rFonts w:eastAsia="Gentium Book Basic" w:cs="Gentium Book Basic"/>
          <w:sz w:val="23"/>
        </w:rPr>
        <w:t>To convert a planet's tropical (Western) position into its sidereal (Vedic) position, Jyotiṣa simply subtracts the ayanāṃśa — roughly 24° — from the tropical longitude.</w:t>
      </w:r>
    </w:p>
    <w:p w14:paraId="12BFE56F" w14:textId="77777777" w:rsidR="0095177C" w:rsidRDefault="00000000">
      <w:pPr>
        <w:spacing w:before="160" w:after="240"/>
        <w:ind w:left="454"/>
        <w:rPr>
          <w:rFonts w:hint="eastAsia"/>
        </w:rPr>
      </w:pPr>
      <w:r>
        <w:rPr>
          <w:rFonts w:eastAsia="Gentium Book Basic" w:cs="Gentium Book Basic"/>
          <w:i/>
          <w:color w:val="6E1F2A"/>
          <w:sz w:val="23"/>
        </w:rPr>
        <w:t>Vedic (sidereal) longitude = Western (tropical) longitude − ayanāṃśa</w:t>
      </w:r>
    </w:p>
    <w:p w14:paraId="66D17D6F" w14:textId="77777777" w:rsidR="0095177C" w:rsidRDefault="00000000">
      <w:pPr>
        <w:jc w:val="both"/>
        <w:rPr>
          <w:rFonts w:hint="eastAsia"/>
        </w:rPr>
      </w:pPr>
      <w:r>
        <w:rPr>
          <w:rFonts w:eastAsia="Gentium Book Basic" w:cs="Gentium Book Basic"/>
          <w:sz w:val="23"/>
        </w:rPr>
        <w:t>Since each sign spans exactly 30°, and the ayanāṃśa is currently about 24°, this subtraction is almost — but not quite — enough to push a planet back a full sign. In practice, this means: if a planet sits in the first 6° of a sign in the Western tropical chart, it will fall into the previous sign entirely once the ayanāṃśa is applied. A planet placed deeper within a sign (past roughly 6°) will usually stay in the same sign, just shifted 24° earlier within it.</w:t>
      </w:r>
    </w:p>
    <w:p w14:paraId="0DC5E850" w14:textId="77777777" w:rsidR="0095177C" w:rsidRDefault="00000000">
      <w:pPr>
        <w:jc w:val="both"/>
        <w:rPr>
          <w:rFonts w:hint="eastAsia"/>
        </w:rPr>
      </w:pPr>
      <w:r>
        <w:rPr>
          <w:rFonts w:eastAsia="Gentium Book Basic" w:cs="Gentium Book Basic"/>
          <w:sz w:val="23"/>
        </w:rPr>
        <w:t>This is the entire reason Vedic "sun signs" so often surprise people raised on Western astrology — it isn't a different calculation of the same thing, it's a genuinely different reference frame.</w:t>
      </w:r>
    </w:p>
    <w:p w14:paraId="7C6E087F" w14:textId="77777777" w:rsidR="0095177C" w:rsidRDefault="00000000">
      <w:pPr>
        <w:pBdr>
          <w:bottom w:val="single" w:sz="8" w:space="4" w:color="9A7B2E"/>
        </w:pBdr>
        <w:spacing w:before="360" w:after="160"/>
        <w:rPr>
          <w:rFonts w:hint="eastAsia"/>
        </w:rPr>
      </w:pPr>
      <w:r>
        <w:rPr>
          <w:rFonts w:eastAsia="Gentium Book Basic" w:cs="Gentium Book Basic"/>
          <w:b/>
          <w:color w:val="1B2A4A"/>
          <w:sz w:val="36"/>
        </w:rPr>
        <w:t>A Worked Example</w:t>
      </w:r>
    </w:p>
    <w:p w14:paraId="2448DC43" w14:textId="77777777" w:rsidR="0095177C" w:rsidRDefault="00000000">
      <w:pPr>
        <w:jc w:val="both"/>
        <w:rPr>
          <w:rFonts w:hint="eastAsia"/>
        </w:rPr>
      </w:pPr>
      <w:r>
        <w:rPr>
          <w:rFonts w:eastAsia="Gentium Book Basic" w:cs="Gentium Book Basic"/>
          <w:sz w:val="23"/>
        </w:rPr>
        <w:t>Consider an illustrative birth chart where the Sun's Western (tropical) position works out to 15° Taurus. Applying the current Lahiri ayanāṃśa of approximately 24°10′:</w:t>
      </w:r>
    </w:p>
    <w:p w14:paraId="1A36AE04" w14:textId="77777777" w:rsidR="0095177C" w:rsidRDefault="00000000">
      <w:pPr>
        <w:spacing w:before="160" w:after="240"/>
        <w:ind w:left="454"/>
        <w:rPr>
          <w:rFonts w:hint="eastAsia"/>
        </w:rPr>
      </w:pPr>
      <w:r>
        <w:rPr>
          <w:rFonts w:eastAsia="Gentium Book Basic" w:cs="Gentium Book Basic"/>
          <w:i/>
          <w:color w:val="6E1F2A"/>
          <w:sz w:val="23"/>
        </w:rPr>
        <w:t>15° Taurus (tropical)  −  24°10′ (ayanāṃśa)  =  20°50′ Aries (sidereal)</w:t>
      </w:r>
    </w:p>
    <w:p w14:paraId="3EBE815B" w14:textId="77777777" w:rsidR="0095177C" w:rsidRDefault="00000000">
      <w:pPr>
        <w:jc w:val="both"/>
        <w:rPr>
          <w:rFonts w:hint="eastAsia"/>
        </w:rPr>
      </w:pPr>
      <w:r>
        <w:rPr>
          <w:rFonts w:eastAsia="Gentium Book Basic" w:cs="Gentium Book Basic"/>
          <w:sz w:val="23"/>
        </w:rPr>
        <w:t>The Sun doesn't just shift a few degrees within Taurus — it crosses the sign boundary entirely and lands in Aries, the sign immediately before it. This is exactly the pattern behind your question: in the Vedic chart, the Sun appears in the house/sign before the one Western astrology shows, precisely because the sidereal zodiac's zero-point sits about 24° behind the tropical zodiac's.</w:t>
      </w:r>
    </w:p>
    <w:p w14:paraId="2D7558DA" w14:textId="77777777" w:rsidR="0095177C" w:rsidRDefault="00000000">
      <w:pPr>
        <w:spacing w:before="240" w:after="80"/>
        <w:rPr>
          <w:rFonts w:hint="eastAsia"/>
        </w:rPr>
      </w:pPr>
      <w:r>
        <w:rPr>
          <w:rFonts w:eastAsia="Gentium Book Basic" w:cs="Gentium Book Basic"/>
          <w:b/>
          <w:i/>
          <w:color w:val="6E1F2A"/>
          <w:sz w:val="28"/>
        </w:rPr>
        <w:t>Diagram 1 — Sun's Position, Western (Tropical) Reckoning</w:t>
      </w:r>
    </w:p>
    <w:p w14:paraId="09DE600A" w14:textId="77777777" w:rsidR="0095177C" w:rsidRDefault="00000000">
      <w:pPr>
        <w:jc w:val="center"/>
        <w:rPr>
          <w:rFonts w:hint="eastAsia"/>
        </w:rPr>
      </w:pPr>
      <w:r>
        <w:rPr>
          <w:noProof/>
        </w:rPr>
        <w:lastRenderedPageBreak/>
        <w:drawing>
          <wp:inline distT="0" distB="0" distL="0" distR="0" wp14:anchorId="0D47FE84" wp14:editId="1DFBCFE4">
            <wp:extent cx="3420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south_western.png"/>
                    <pic:cNvPicPr/>
                  </pic:nvPicPr>
                  <pic:blipFill>
                    <a:blip r:embed="rId8"/>
                    <a:stretch>
                      <a:fillRect/>
                    </a:stretch>
                  </pic:blipFill>
                  <pic:spPr>
                    <a:xfrm>
                      <a:off x="0" y="0"/>
                      <a:ext cx="3420000" cy="3420000"/>
                    </a:xfrm>
                    <a:prstGeom prst="rect">
                      <a:avLst/>
                    </a:prstGeom>
                  </pic:spPr>
                </pic:pic>
              </a:graphicData>
            </a:graphic>
          </wp:inline>
        </w:drawing>
      </w:r>
    </w:p>
    <w:p w14:paraId="331725FE" w14:textId="77777777" w:rsidR="0095177C" w:rsidRDefault="00000000">
      <w:pPr>
        <w:spacing w:before="80" w:after="400"/>
        <w:jc w:val="center"/>
        <w:rPr>
          <w:rFonts w:hint="eastAsia"/>
        </w:rPr>
      </w:pPr>
      <w:r>
        <w:rPr>
          <w:rFonts w:eastAsia="Gentium Book Basic" w:cs="Gentium Book Basic"/>
          <w:i/>
          <w:color w:val="9A7B2E"/>
          <w:sz w:val="20"/>
        </w:rPr>
        <w:t>The Sun (15°) falls in Taurus when measured against the tropical/seasonal zodiac.</w:t>
      </w:r>
    </w:p>
    <w:p w14:paraId="1A194A42" w14:textId="77777777" w:rsidR="0095177C" w:rsidRDefault="00000000">
      <w:pPr>
        <w:spacing w:before="240" w:after="80"/>
        <w:rPr>
          <w:rFonts w:hint="eastAsia"/>
        </w:rPr>
      </w:pPr>
      <w:r>
        <w:rPr>
          <w:rFonts w:eastAsia="Gentium Book Basic" w:cs="Gentium Book Basic"/>
          <w:b/>
          <w:i/>
          <w:color w:val="6E1F2A"/>
          <w:sz w:val="28"/>
        </w:rPr>
        <w:t>Diagram 2 — Same Sun, Vedic (Sidereal) Reckoning</w:t>
      </w:r>
    </w:p>
    <w:p w14:paraId="5742764E" w14:textId="77777777" w:rsidR="0095177C" w:rsidRDefault="00000000">
      <w:pPr>
        <w:jc w:val="center"/>
        <w:rPr>
          <w:rFonts w:hint="eastAsia"/>
        </w:rPr>
      </w:pPr>
      <w:r>
        <w:rPr>
          <w:noProof/>
        </w:rPr>
        <w:drawing>
          <wp:inline distT="0" distB="0" distL="0" distR="0" wp14:anchorId="606331AC" wp14:editId="58757723">
            <wp:extent cx="3420000" cy="34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south_vedic.png"/>
                    <pic:cNvPicPr/>
                  </pic:nvPicPr>
                  <pic:blipFill>
                    <a:blip r:embed="rId9"/>
                    <a:stretch>
                      <a:fillRect/>
                    </a:stretch>
                  </pic:blipFill>
                  <pic:spPr>
                    <a:xfrm>
                      <a:off x="0" y="0"/>
                      <a:ext cx="3420000" cy="3420000"/>
                    </a:xfrm>
                    <a:prstGeom prst="rect">
                      <a:avLst/>
                    </a:prstGeom>
                  </pic:spPr>
                </pic:pic>
              </a:graphicData>
            </a:graphic>
          </wp:inline>
        </w:drawing>
      </w:r>
    </w:p>
    <w:p w14:paraId="2BC16E3F" w14:textId="77777777" w:rsidR="0095177C" w:rsidRDefault="00000000">
      <w:pPr>
        <w:spacing w:before="80" w:after="400"/>
        <w:jc w:val="center"/>
        <w:rPr>
          <w:rFonts w:hint="eastAsia"/>
        </w:rPr>
      </w:pPr>
      <w:r>
        <w:rPr>
          <w:rFonts w:eastAsia="Gentium Book Basic" w:cs="Gentium Book Basic"/>
          <w:i/>
          <w:color w:val="9A7B2E"/>
          <w:sz w:val="20"/>
        </w:rPr>
        <w:t>The identical physical position of the Sun, re-expressed against the sidereal zodiac, falls in Aries — one sign earlier — once the ~24° ayanāṃśa is subtracted.</w:t>
      </w:r>
    </w:p>
    <w:p w14:paraId="36AF2D8C" w14:textId="77777777" w:rsidR="0095177C" w:rsidRDefault="00000000">
      <w:pPr>
        <w:jc w:val="both"/>
        <w:rPr>
          <w:rFonts w:hint="eastAsia"/>
        </w:rPr>
      </w:pPr>
      <w:r>
        <w:rPr>
          <w:rFonts w:eastAsia="Gentium Book Basic" w:cs="Gentium Book Basic"/>
          <w:sz w:val="23"/>
        </w:rPr>
        <w:lastRenderedPageBreak/>
        <w:t>Both diagrams describe the exact same moment in time and the exact same Sun sitting in the exact same place in the physical sky. Nothing about the Sun has moved. What has changed is only the ruler we're measuring it against — and that difference is enough to move it into an entirely different sign, with all the interpretive consequences that follow from a different sign lord, different nakṣatra, and — since these South Indian diagrams use whole-sign houses — a different house as well.</w:t>
      </w:r>
    </w:p>
    <w:p w14:paraId="79731259" w14:textId="77777777" w:rsidR="0095177C" w:rsidRDefault="00000000">
      <w:pPr>
        <w:pBdr>
          <w:bottom w:val="single" w:sz="8" w:space="4" w:color="9A7B2E"/>
        </w:pBdr>
        <w:spacing w:before="360" w:after="160"/>
        <w:rPr>
          <w:rFonts w:hint="eastAsia"/>
        </w:rPr>
      </w:pPr>
      <w:r>
        <w:rPr>
          <w:rFonts w:eastAsia="Gentium Book Basic" w:cs="Gentium Book Basic"/>
          <w:b/>
          <w:color w:val="1B2A4A"/>
          <w:sz w:val="36"/>
        </w:rPr>
        <w:t>Beyond the Zodiac: Three More Structural Differences</w:t>
      </w:r>
    </w:p>
    <w:p w14:paraId="4E93CCE7" w14:textId="77777777" w:rsidR="0095177C" w:rsidRDefault="00000000">
      <w:pPr>
        <w:spacing w:before="240" w:after="80"/>
        <w:rPr>
          <w:rFonts w:hint="eastAsia"/>
        </w:rPr>
      </w:pPr>
      <w:r>
        <w:rPr>
          <w:rFonts w:eastAsia="Gentium Book Basic" w:cs="Gentium Book Basic"/>
          <w:b/>
          <w:i/>
          <w:color w:val="6E1F2A"/>
          <w:sz w:val="28"/>
        </w:rPr>
        <w:t>1. The Chart Diagram Itself</w:t>
      </w:r>
    </w:p>
    <w:p w14:paraId="17289B67" w14:textId="77777777" w:rsidR="0095177C" w:rsidRDefault="00000000">
      <w:pPr>
        <w:jc w:val="both"/>
        <w:rPr>
          <w:rFonts w:hint="eastAsia"/>
        </w:rPr>
      </w:pPr>
      <w:r>
        <w:rPr>
          <w:rFonts w:eastAsia="Gentium Book Basic" w:cs="Gentium Book Basic"/>
          <w:sz w:val="23"/>
        </w:rPr>
        <w:t>The South Indian style shown above — also called the Śukra Cakra — uses a fixed square grid. The twelve signs always sit in the same twelve boxes, in the same order, no matter whose chart you're looking at. Only the label marking the Ascendant (Lagna) moves from chart to chart. This is different from the North Indian style, also called the Guru Cakra, which is diamond-shaped — there, the Ascendant is always fixed at the top, and it's the signs that rotate around it instead. Both differ from the Western circular wheel, where house cusps are drawn at the exact degree the Ascendant and subsequent houses fall, rather than snapping to whole sign boundaries.</w:t>
      </w:r>
    </w:p>
    <w:p w14:paraId="0BDE7DF6" w14:textId="77777777" w:rsidR="0095177C" w:rsidRDefault="00000000">
      <w:pPr>
        <w:jc w:val="both"/>
        <w:rPr>
          <w:rFonts w:hint="eastAsia"/>
        </w:rPr>
      </w:pPr>
      <w:r>
        <w:rPr>
          <w:rFonts w:eastAsia="Gentium Book Basic" w:cs="Gentium Book Basic"/>
          <w:sz w:val="23"/>
        </w:rPr>
        <w:t>The same Vedic (sidereal) Sun-in-Aries placement from Diagram 2 above, drawn in both regional conventions:</w:t>
      </w:r>
    </w:p>
    <w:tbl>
      <w:tblPr>
        <w:tblW w:w="0" w:type="auto"/>
        <w:jc w:val="center"/>
        <w:tblLayout w:type="fixed"/>
        <w:tblLook w:val="04A0" w:firstRow="1" w:lastRow="0" w:firstColumn="1" w:lastColumn="0" w:noHBand="0" w:noVBand="1"/>
      </w:tblPr>
      <w:tblGrid>
        <w:gridCol w:w="4320"/>
        <w:gridCol w:w="4320"/>
      </w:tblGrid>
      <w:tr w:rsidR="0095177C" w14:paraId="093DCDDF" w14:textId="77777777">
        <w:trPr>
          <w:jc w:val="center"/>
        </w:trPr>
        <w:tc>
          <w:tcPr>
            <w:tcW w:w="4195" w:type="dxa"/>
          </w:tcPr>
          <w:p w14:paraId="7192FB0A" w14:textId="77777777" w:rsidR="0095177C" w:rsidRDefault="00000000">
            <w:pPr>
              <w:jc w:val="center"/>
              <w:rPr>
                <w:rFonts w:hint="eastAsia"/>
              </w:rPr>
            </w:pPr>
            <w:r>
              <w:rPr>
                <w:noProof/>
              </w:rPr>
              <w:drawing>
                <wp:inline distT="0" distB="0" distL="0" distR="0" wp14:anchorId="2D6869E2" wp14:editId="19B2D9B9">
                  <wp:extent cx="2448000" cy="24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_south.png"/>
                          <pic:cNvPicPr/>
                        </pic:nvPicPr>
                        <pic:blipFill>
                          <a:blip r:embed="rId10"/>
                          <a:stretch>
                            <a:fillRect/>
                          </a:stretch>
                        </pic:blipFill>
                        <pic:spPr>
                          <a:xfrm>
                            <a:off x="0" y="0"/>
                            <a:ext cx="2448000" cy="2448000"/>
                          </a:xfrm>
                          <a:prstGeom prst="rect">
                            <a:avLst/>
                          </a:prstGeom>
                        </pic:spPr>
                      </pic:pic>
                    </a:graphicData>
                  </a:graphic>
                </wp:inline>
              </w:drawing>
            </w:r>
          </w:p>
        </w:tc>
        <w:tc>
          <w:tcPr>
            <w:tcW w:w="4195" w:type="dxa"/>
          </w:tcPr>
          <w:p w14:paraId="2EB5A313" w14:textId="77777777" w:rsidR="0095177C" w:rsidRDefault="00000000">
            <w:pPr>
              <w:jc w:val="center"/>
              <w:rPr>
                <w:rFonts w:hint="eastAsia"/>
              </w:rPr>
            </w:pPr>
            <w:r>
              <w:rPr>
                <w:noProof/>
              </w:rPr>
              <w:drawing>
                <wp:inline distT="0" distB="0" distL="0" distR="0" wp14:anchorId="7D5740C8" wp14:editId="175D29CD">
                  <wp:extent cx="2448000" cy="24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_north.png"/>
                          <pic:cNvPicPr/>
                        </pic:nvPicPr>
                        <pic:blipFill>
                          <a:blip r:embed="rId11"/>
                          <a:stretch>
                            <a:fillRect/>
                          </a:stretch>
                        </pic:blipFill>
                        <pic:spPr>
                          <a:xfrm>
                            <a:off x="0" y="0"/>
                            <a:ext cx="2448000" cy="2448000"/>
                          </a:xfrm>
                          <a:prstGeom prst="rect">
                            <a:avLst/>
                          </a:prstGeom>
                        </pic:spPr>
                      </pic:pic>
                    </a:graphicData>
                  </a:graphic>
                </wp:inline>
              </w:drawing>
            </w:r>
          </w:p>
        </w:tc>
      </w:tr>
      <w:tr w:rsidR="0095177C" w14:paraId="27B4B0E2" w14:textId="77777777">
        <w:trPr>
          <w:jc w:val="center"/>
        </w:trPr>
        <w:tc>
          <w:tcPr>
            <w:tcW w:w="4320" w:type="dxa"/>
          </w:tcPr>
          <w:p w14:paraId="230F9FCE" w14:textId="77777777" w:rsidR="0095177C" w:rsidRDefault="00000000">
            <w:pPr>
              <w:spacing w:before="120"/>
              <w:jc w:val="center"/>
              <w:rPr>
                <w:rFonts w:hint="eastAsia"/>
              </w:rPr>
            </w:pPr>
            <w:r>
              <w:rPr>
                <w:rFonts w:eastAsia="Gentium Book Basic" w:cs="Gentium Book Basic"/>
                <w:b/>
                <w:color w:val="6E1F2A"/>
              </w:rPr>
              <w:t>South Indian (Śukra Cakra)</w:t>
            </w:r>
          </w:p>
        </w:tc>
        <w:tc>
          <w:tcPr>
            <w:tcW w:w="4320" w:type="dxa"/>
          </w:tcPr>
          <w:p w14:paraId="297279BB" w14:textId="77777777" w:rsidR="0095177C" w:rsidRDefault="00000000">
            <w:pPr>
              <w:spacing w:before="120"/>
              <w:jc w:val="center"/>
              <w:rPr>
                <w:rFonts w:hint="eastAsia"/>
              </w:rPr>
            </w:pPr>
            <w:r>
              <w:rPr>
                <w:rFonts w:eastAsia="Gentium Book Basic" w:cs="Gentium Book Basic"/>
                <w:b/>
                <w:color w:val="6E1F2A"/>
              </w:rPr>
              <w:t>North Indian (Guru Cakra)</w:t>
            </w:r>
          </w:p>
        </w:tc>
      </w:tr>
    </w:tbl>
    <w:p w14:paraId="59F29F8C" w14:textId="77777777" w:rsidR="0095177C" w:rsidRDefault="00000000">
      <w:pPr>
        <w:spacing w:before="80" w:after="400"/>
        <w:jc w:val="center"/>
        <w:rPr>
          <w:rFonts w:hint="eastAsia"/>
        </w:rPr>
      </w:pPr>
      <w:r>
        <w:rPr>
          <w:rFonts w:eastAsia="Gentium Book Basic" w:cs="Gentium Book Basic"/>
          <w:i/>
          <w:color w:val="9A7B2E"/>
          <w:sz w:val="20"/>
        </w:rPr>
        <w:lastRenderedPageBreak/>
        <w:t>The same underlying placement — Sun in Aries — drawn two different ways. The South Indian (Śukra Cakra) chart keeps the signs fixed and moves the house numbers; the North Indian (Guru Cakra) chart keeps the houses fixed — Lagna always at the top — and moves the sign numbers instead.</w:t>
      </w:r>
    </w:p>
    <w:p w14:paraId="4BDFA8B5" w14:textId="77777777" w:rsidR="0095177C" w:rsidRDefault="00000000">
      <w:pPr>
        <w:spacing w:before="240" w:after="80"/>
        <w:rPr>
          <w:rFonts w:hint="eastAsia"/>
        </w:rPr>
      </w:pPr>
      <w:r>
        <w:rPr>
          <w:rFonts w:eastAsia="Gentium Book Basic" w:cs="Gentium Book Basic"/>
          <w:b/>
          <w:i/>
          <w:color w:val="6E1F2A"/>
          <w:sz w:val="28"/>
        </w:rPr>
        <w:t>2. Whole-Sign Houses and the Use of Cusps</w:t>
      </w:r>
    </w:p>
    <w:p w14:paraId="5E580257" w14:textId="77777777" w:rsidR="0095177C" w:rsidRDefault="00000000">
      <w:pPr>
        <w:jc w:val="both"/>
        <w:rPr>
          <w:rFonts w:hint="eastAsia"/>
        </w:rPr>
      </w:pPr>
      <w:r>
        <w:rPr>
          <w:rFonts w:eastAsia="Gentium Book Basic" w:cs="Gentium Book Basic"/>
          <w:sz w:val="23"/>
        </w:rPr>
        <w:t>Classical Vedic astrology's default and most widely taught house system is whole-sign — the sign containing the Ascendant is treated as the entire 1st house, the next sign the entire 2nd house, and so on, regardless of what degree the Ascendant actually falls at within that first sign. This is the system reflected in the diagrams above, and it remains the standard starting point across most of the tradition.</w:t>
      </w:r>
    </w:p>
    <w:p w14:paraId="715EB498" w14:textId="77777777" w:rsidR="0095177C" w:rsidRDefault="00000000">
      <w:pPr>
        <w:jc w:val="both"/>
        <w:rPr>
          <w:rFonts w:hint="eastAsia"/>
        </w:rPr>
      </w:pPr>
      <w:r>
        <w:rPr>
          <w:rFonts w:eastAsia="Gentium Book Basic" w:cs="Gentium Book Basic"/>
          <w:sz w:val="23"/>
        </w:rPr>
        <w:t>It would be inaccurate, though, to say Vedic astrology has no use for cusps. Several classical and widely-practiced sub-systems bring degree-based cusp calculation in for specific, well-defined purposes: the Bhāva Cakra (Chalit chart) recalculates house cusps from the Ascendant's exact degree rather than the whole sign, and is regularly consulted alongside the Rāśi chart to check whether a planet sitting near a sign boundary should be read as functioning in the adjacent house. The Śrīpati house system, used by some traditional schools, is a cusp-based method broadly comparable in spirit to Western quadrant systems. Praśna (horary) astrology likewise leans on the exact rising degree far more precisely than a whole-sign Rāśi reading requires. Western astrology, for its part, most commonly uses quadrant systems like Placidus or Koch, which divide the chart based on the exact time and place of birth and can produce houses of noticeably unequal size — but even there, whole-sign houses have a documented ancient pedigree and have seen a real revival in parts of the modern Hellenistic astrology community. The more accurate statement, in both directions, is one of differing default emphasis rather than an absolute either/or: Vedic practice leads with whole-sign and reaches for cusps in specific technical contexts, while Western practice today leans the other way.</w:t>
      </w:r>
    </w:p>
    <w:p w14:paraId="5943281F" w14:textId="77777777" w:rsidR="0095177C" w:rsidRDefault="00000000">
      <w:pPr>
        <w:spacing w:before="240" w:after="80"/>
        <w:rPr>
          <w:rFonts w:hint="eastAsia"/>
        </w:rPr>
      </w:pPr>
      <w:r>
        <w:rPr>
          <w:rFonts w:eastAsia="Gentium Book Basic" w:cs="Gentium Book Basic"/>
          <w:b/>
          <w:i/>
          <w:color w:val="6E1F2A"/>
          <w:sz w:val="28"/>
        </w:rPr>
        <w:t>3. Nakṣatras and the Daśā Timeline</w:t>
      </w:r>
    </w:p>
    <w:p w14:paraId="006725AD" w14:textId="77777777" w:rsidR="0095177C" w:rsidRDefault="00000000">
      <w:pPr>
        <w:jc w:val="both"/>
        <w:rPr>
          <w:rFonts w:eastAsia="Gentium Book Basic" w:cs="Gentium Book Basic"/>
          <w:sz w:val="23"/>
        </w:rPr>
      </w:pPr>
      <w:r>
        <w:rPr>
          <w:rFonts w:eastAsia="Gentium Book Basic" w:cs="Gentium Book Basic"/>
          <w:sz w:val="23"/>
        </w:rPr>
        <w:t>Vedic Jyotiṣa divides the zodiac not only into 12 signs but into 27 nakṣatras (lunar constellations) of 13°20′ each, with no equivalent structure in Western practice. These nakṣatras feed directly into the Vimśottarī daśā system — a sequence of planetary periods, unique to each birth chart, that Jyotiṣa uses to time when specific life events are likely to unfold. Western astrology has no direct counterpart to this; its predictive tools (transits, progressions, solar returns) work quite differently, tracking the current sky's relationship to the birth chart rather than unfolding a pre-mapped internal timeline.</w:t>
      </w:r>
    </w:p>
    <w:p w14:paraId="03581278" w14:textId="77777777" w:rsidR="006D25F7" w:rsidRDefault="006D25F7">
      <w:pPr>
        <w:jc w:val="both"/>
        <w:rPr>
          <w:rFonts w:eastAsia="Gentium Book Basic" w:cs="Gentium Book Basic"/>
          <w:sz w:val="23"/>
        </w:rPr>
      </w:pPr>
    </w:p>
    <w:p w14:paraId="13A85B5B" w14:textId="77777777" w:rsidR="006D25F7" w:rsidRDefault="006D25F7">
      <w:pPr>
        <w:jc w:val="both"/>
        <w:rPr>
          <w:rFonts w:hint="eastAsia"/>
        </w:rPr>
      </w:pPr>
    </w:p>
    <w:p w14:paraId="101D0D5B" w14:textId="77777777" w:rsidR="0095177C" w:rsidRDefault="00000000">
      <w:pPr>
        <w:pBdr>
          <w:bottom w:val="single" w:sz="8" w:space="4" w:color="9A7B2E"/>
        </w:pBdr>
        <w:spacing w:before="360" w:after="160"/>
        <w:rPr>
          <w:rFonts w:hint="eastAsia"/>
        </w:rPr>
      </w:pPr>
      <w:r>
        <w:rPr>
          <w:rFonts w:eastAsia="Gentium Book Basic" w:cs="Gentium Book Basic"/>
          <w:b/>
          <w:color w:val="1B2A4A"/>
          <w:sz w:val="36"/>
        </w:rPr>
        <w:lastRenderedPageBreak/>
        <w:t>Glossary — The Navagraha</w:t>
      </w:r>
    </w:p>
    <w:p w14:paraId="459615AE" w14:textId="77777777" w:rsidR="0095177C" w:rsidRDefault="00000000">
      <w:pPr>
        <w:jc w:val="both"/>
        <w:rPr>
          <w:rFonts w:hint="eastAsia"/>
        </w:rPr>
      </w:pPr>
      <w:r>
        <w:rPr>
          <w:rFonts w:eastAsia="Gentium Book Basic" w:cs="Gentium Book Basic"/>
          <w:sz w:val="23"/>
        </w:rPr>
        <w:t>Every Vedic chart — South Indian, North Indian, or any other regional style — is built from the same nine graha ("seizers" or planetary influences): seven physical bodies plus the two lunar nodes, Rāhu and Ketu, which are mathematical points rather than physical bodies but are treated as full grahas in Jyotiṣa. The table below gives each graha's Sanskrit name, its standard astrological glyph, and the two-letter abbreviation used on chart diagrams.</w:t>
      </w:r>
    </w:p>
    <w:tbl>
      <w:tblPr>
        <w:tblW w:w="0" w:type="auto"/>
        <w:jc w:val="center"/>
        <w:tblLook w:val="04A0" w:firstRow="1" w:lastRow="0" w:firstColumn="1" w:lastColumn="0" w:noHBand="0" w:noVBand="1"/>
      </w:tblPr>
      <w:tblGrid>
        <w:gridCol w:w="1814"/>
        <w:gridCol w:w="1474"/>
        <w:gridCol w:w="907"/>
        <w:gridCol w:w="964"/>
        <w:gridCol w:w="3572"/>
      </w:tblGrid>
      <w:tr w:rsidR="0095177C" w14:paraId="4B2D3C84" w14:textId="77777777">
        <w:trPr>
          <w:jc w:val="center"/>
        </w:trPr>
        <w:tc>
          <w:tcPr>
            <w:tcW w:w="1814" w:type="dxa"/>
            <w:shd w:val="clear" w:color="auto" w:fill="1B2A4A"/>
          </w:tcPr>
          <w:p w14:paraId="29CA9035" w14:textId="77777777" w:rsidR="0095177C" w:rsidRDefault="00000000">
            <w:pPr>
              <w:jc w:val="center"/>
              <w:rPr>
                <w:rFonts w:hint="eastAsia"/>
              </w:rPr>
            </w:pPr>
            <w:r>
              <w:rPr>
                <w:rFonts w:eastAsia="Gentium Book Basic" w:cs="Gentium Book Basic"/>
                <w:b/>
                <w:color w:val="FFFFFF"/>
                <w:sz w:val="20"/>
              </w:rPr>
              <w:t>Graha (Sanskrit)</w:t>
            </w:r>
          </w:p>
        </w:tc>
        <w:tc>
          <w:tcPr>
            <w:tcW w:w="1474" w:type="dxa"/>
            <w:shd w:val="clear" w:color="auto" w:fill="1B2A4A"/>
          </w:tcPr>
          <w:p w14:paraId="5B0AFEB2" w14:textId="77777777" w:rsidR="0095177C" w:rsidRDefault="00000000">
            <w:pPr>
              <w:jc w:val="center"/>
              <w:rPr>
                <w:rFonts w:hint="eastAsia"/>
              </w:rPr>
            </w:pPr>
            <w:r>
              <w:rPr>
                <w:rFonts w:eastAsia="Gentium Book Basic" w:cs="Gentium Book Basic"/>
                <w:b/>
                <w:color w:val="FFFFFF"/>
                <w:sz w:val="20"/>
              </w:rPr>
              <w:t>English</w:t>
            </w:r>
          </w:p>
        </w:tc>
        <w:tc>
          <w:tcPr>
            <w:tcW w:w="907" w:type="dxa"/>
            <w:shd w:val="clear" w:color="auto" w:fill="1B2A4A"/>
          </w:tcPr>
          <w:p w14:paraId="4FD9CA68" w14:textId="77777777" w:rsidR="0095177C" w:rsidRDefault="00000000">
            <w:pPr>
              <w:jc w:val="center"/>
              <w:rPr>
                <w:rFonts w:hint="eastAsia"/>
              </w:rPr>
            </w:pPr>
            <w:r>
              <w:rPr>
                <w:rFonts w:eastAsia="Gentium Book Basic" w:cs="Gentium Book Basic"/>
                <w:b/>
                <w:color w:val="FFFFFF"/>
                <w:sz w:val="20"/>
              </w:rPr>
              <w:t>Symbol</w:t>
            </w:r>
          </w:p>
        </w:tc>
        <w:tc>
          <w:tcPr>
            <w:tcW w:w="964" w:type="dxa"/>
            <w:shd w:val="clear" w:color="auto" w:fill="1B2A4A"/>
          </w:tcPr>
          <w:p w14:paraId="7136C627" w14:textId="77777777" w:rsidR="0095177C" w:rsidRDefault="00000000">
            <w:pPr>
              <w:jc w:val="center"/>
              <w:rPr>
                <w:rFonts w:hint="eastAsia"/>
              </w:rPr>
            </w:pPr>
            <w:r>
              <w:rPr>
                <w:rFonts w:eastAsia="Gentium Book Basic" w:cs="Gentium Book Basic"/>
                <w:b/>
                <w:color w:val="FFFFFF"/>
                <w:sz w:val="20"/>
              </w:rPr>
              <w:t>Abbrev.</w:t>
            </w:r>
          </w:p>
        </w:tc>
        <w:tc>
          <w:tcPr>
            <w:tcW w:w="3572" w:type="dxa"/>
            <w:shd w:val="clear" w:color="auto" w:fill="1B2A4A"/>
          </w:tcPr>
          <w:p w14:paraId="5D5CC638" w14:textId="77777777" w:rsidR="0095177C" w:rsidRDefault="00000000">
            <w:pPr>
              <w:jc w:val="center"/>
              <w:rPr>
                <w:rFonts w:hint="eastAsia"/>
              </w:rPr>
            </w:pPr>
            <w:r>
              <w:rPr>
                <w:rFonts w:eastAsia="Gentium Book Basic" w:cs="Gentium Book Basic"/>
                <w:b/>
                <w:color w:val="FFFFFF"/>
                <w:sz w:val="20"/>
              </w:rPr>
              <w:t>Nature</w:t>
            </w:r>
          </w:p>
        </w:tc>
      </w:tr>
      <w:tr w:rsidR="0095177C" w14:paraId="4BC5FE4A" w14:textId="77777777">
        <w:trPr>
          <w:jc w:val="center"/>
        </w:trPr>
        <w:tc>
          <w:tcPr>
            <w:tcW w:w="1814" w:type="dxa"/>
            <w:shd w:val="clear" w:color="auto" w:fill="FFFFFF"/>
          </w:tcPr>
          <w:p w14:paraId="21777C8E" w14:textId="77777777" w:rsidR="0095177C" w:rsidRDefault="00000000">
            <w:pPr>
              <w:jc w:val="center"/>
              <w:rPr>
                <w:rFonts w:hint="eastAsia"/>
              </w:rPr>
            </w:pPr>
            <w:r>
              <w:rPr>
                <w:rFonts w:eastAsia="Gentium Book Basic" w:cs="Gentium Book Basic"/>
                <w:sz w:val="20"/>
              </w:rPr>
              <w:t>Sūrya</w:t>
            </w:r>
          </w:p>
        </w:tc>
        <w:tc>
          <w:tcPr>
            <w:tcW w:w="1474" w:type="dxa"/>
            <w:shd w:val="clear" w:color="auto" w:fill="FFFFFF"/>
          </w:tcPr>
          <w:p w14:paraId="7FF21CF0" w14:textId="77777777" w:rsidR="0095177C" w:rsidRDefault="00000000">
            <w:pPr>
              <w:jc w:val="center"/>
              <w:rPr>
                <w:rFonts w:hint="eastAsia"/>
              </w:rPr>
            </w:pPr>
            <w:r>
              <w:rPr>
                <w:rFonts w:eastAsia="Gentium Book Basic" w:cs="Gentium Book Basic"/>
                <w:sz w:val="20"/>
              </w:rPr>
              <w:t>Sun</w:t>
            </w:r>
          </w:p>
        </w:tc>
        <w:tc>
          <w:tcPr>
            <w:tcW w:w="907" w:type="dxa"/>
            <w:shd w:val="clear" w:color="auto" w:fill="FFFFFF"/>
          </w:tcPr>
          <w:p w14:paraId="064D1CBA" w14:textId="77777777" w:rsidR="0095177C" w:rsidRDefault="00000000">
            <w:pPr>
              <w:jc w:val="center"/>
              <w:rPr>
                <w:rFonts w:hint="eastAsia"/>
              </w:rPr>
            </w:pPr>
            <w:r>
              <w:rPr>
                <w:rFonts w:eastAsia="Gentium Book Basic" w:cs="Gentium Book Basic"/>
                <w:sz w:val="20"/>
              </w:rPr>
              <w:t>☉</w:t>
            </w:r>
          </w:p>
        </w:tc>
        <w:tc>
          <w:tcPr>
            <w:tcW w:w="964" w:type="dxa"/>
            <w:shd w:val="clear" w:color="auto" w:fill="FFFFFF"/>
          </w:tcPr>
          <w:p w14:paraId="5753B0A9" w14:textId="77777777" w:rsidR="0095177C" w:rsidRDefault="00000000">
            <w:pPr>
              <w:jc w:val="center"/>
              <w:rPr>
                <w:rFonts w:hint="eastAsia"/>
              </w:rPr>
            </w:pPr>
            <w:r>
              <w:rPr>
                <w:rFonts w:eastAsia="Gentium Book Basic" w:cs="Gentium Book Basic"/>
                <w:sz w:val="20"/>
              </w:rPr>
              <w:t>Su</w:t>
            </w:r>
          </w:p>
        </w:tc>
        <w:tc>
          <w:tcPr>
            <w:tcW w:w="3572" w:type="dxa"/>
            <w:shd w:val="clear" w:color="auto" w:fill="FFFFFF"/>
          </w:tcPr>
          <w:p w14:paraId="40AD19DD" w14:textId="77777777" w:rsidR="0095177C" w:rsidRDefault="00000000">
            <w:pPr>
              <w:jc w:val="center"/>
              <w:rPr>
                <w:rFonts w:hint="eastAsia"/>
              </w:rPr>
            </w:pPr>
            <w:r>
              <w:rPr>
                <w:rFonts w:eastAsia="Gentium Book Basic" w:cs="Gentium Book Basic"/>
                <w:sz w:val="20"/>
              </w:rPr>
              <w:t>Kṛūra (mild malefic); soul, authority, father</w:t>
            </w:r>
          </w:p>
        </w:tc>
      </w:tr>
      <w:tr w:rsidR="0095177C" w14:paraId="1C67B1CA" w14:textId="77777777">
        <w:trPr>
          <w:jc w:val="center"/>
        </w:trPr>
        <w:tc>
          <w:tcPr>
            <w:tcW w:w="1814" w:type="dxa"/>
            <w:shd w:val="clear" w:color="auto" w:fill="F4EFE3"/>
          </w:tcPr>
          <w:p w14:paraId="05B92FE8" w14:textId="77777777" w:rsidR="0095177C" w:rsidRDefault="00000000">
            <w:pPr>
              <w:jc w:val="center"/>
              <w:rPr>
                <w:rFonts w:hint="eastAsia"/>
              </w:rPr>
            </w:pPr>
            <w:r>
              <w:rPr>
                <w:rFonts w:eastAsia="Gentium Book Basic" w:cs="Gentium Book Basic"/>
                <w:sz w:val="20"/>
              </w:rPr>
              <w:t>Candra</w:t>
            </w:r>
          </w:p>
        </w:tc>
        <w:tc>
          <w:tcPr>
            <w:tcW w:w="1474" w:type="dxa"/>
            <w:shd w:val="clear" w:color="auto" w:fill="F4EFE3"/>
          </w:tcPr>
          <w:p w14:paraId="2C6F94A6" w14:textId="77777777" w:rsidR="0095177C" w:rsidRDefault="00000000">
            <w:pPr>
              <w:jc w:val="center"/>
              <w:rPr>
                <w:rFonts w:hint="eastAsia"/>
              </w:rPr>
            </w:pPr>
            <w:r>
              <w:rPr>
                <w:rFonts w:eastAsia="Gentium Book Basic" w:cs="Gentium Book Basic"/>
                <w:sz w:val="20"/>
              </w:rPr>
              <w:t>Moon</w:t>
            </w:r>
          </w:p>
        </w:tc>
        <w:tc>
          <w:tcPr>
            <w:tcW w:w="907" w:type="dxa"/>
            <w:shd w:val="clear" w:color="auto" w:fill="F4EFE3"/>
          </w:tcPr>
          <w:p w14:paraId="4FA67514" w14:textId="77777777" w:rsidR="0095177C" w:rsidRDefault="00000000">
            <w:pPr>
              <w:jc w:val="center"/>
              <w:rPr>
                <w:rFonts w:hint="eastAsia"/>
              </w:rPr>
            </w:pPr>
            <w:r>
              <w:rPr>
                <w:rFonts w:eastAsia="Gentium Book Basic" w:cs="Gentium Book Basic"/>
                <w:sz w:val="20"/>
              </w:rPr>
              <w:t>☽</w:t>
            </w:r>
          </w:p>
        </w:tc>
        <w:tc>
          <w:tcPr>
            <w:tcW w:w="964" w:type="dxa"/>
            <w:shd w:val="clear" w:color="auto" w:fill="F4EFE3"/>
          </w:tcPr>
          <w:p w14:paraId="3FE652C3" w14:textId="77777777" w:rsidR="0095177C" w:rsidRDefault="00000000">
            <w:pPr>
              <w:jc w:val="center"/>
              <w:rPr>
                <w:rFonts w:hint="eastAsia"/>
              </w:rPr>
            </w:pPr>
            <w:r>
              <w:rPr>
                <w:rFonts w:eastAsia="Gentium Book Basic" w:cs="Gentium Book Basic"/>
                <w:sz w:val="20"/>
              </w:rPr>
              <w:t>Mo</w:t>
            </w:r>
          </w:p>
        </w:tc>
        <w:tc>
          <w:tcPr>
            <w:tcW w:w="3572" w:type="dxa"/>
            <w:shd w:val="clear" w:color="auto" w:fill="F4EFE3"/>
          </w:tcPr>
          <w:p w14:paraId="0201DC29" w14:textId="77777777" w:rsidR="0095177C" w:rsidRDefault="00000000">
            <w:pPr>
              <w:jc w:val="center"/>
              <w:rPr>
                <w:rFonts w:hint="eastAsia"/>
              </w:rPr>
            </w:pPr>
            <w:r>
              <w:rPr>
                <w:rFonts w:eastAsia="Gentium Book Basic" w:cs="Gentium Book Basic"/>
                <w:sz w:val="20"/>
              </w:rPr>
              <w:t>Saumya (benefic) when waxing; mind, mother</w:t>
            </w:r>
          </w:p>
        </w:tc>
      </w:tr>
      <w:tr w:rsidR="0095177C" w14:paraId="31A58580" w14:textId="77777777">
        <w:trPr>
          <w:jc w:val="center"/>
        </w:trPr>
        <w:tc>
          <w:tcPr>
            <w:tcW w:w="1814" w:type="dxa"/>
            <w:shd w:val="clear" w:color="auto" w:fill="FFFFFF"/>
          </w:tcPr>
          <w:p w14:paraId="511C6242" w14:textId="77777777" w:rsidR="0095177C" w:rsidRDefault="00000000">
            <w:pPr>
              <w:jc w:val="center"/>
              <w:rPr>
                <w:rFonts w:hint="eastAsia"/>
              </w:rPr>
            </w:pPr>
            <w:r>
              <w:rPr>
                <w:rFonts w:eastAsia="Gentium Book Basic" w:cs="Gentium Book Basic"/>
                <w:sz w:val="20"/>
              </w:rPr>
              <w:t>Maṅgala / Kuja</w:t>
            </w:r>
          </w:p>
        </w:tc>
        <w:tc>
          <w:tcPr>
            <w:tcW w:w="1474" w:type="dxa"/>
            <w:shd w:val="clear" w:color="auto" w:fill="FFFFFF"/>
          </w:tcPr>
          <w:p w14:paraId="48F26095" w14:textId="77777777" w:rsidR="0095177C" w:rsidRDefault="00000000">
            <w:pPr>
              <w:jc w:val="center"/>
              <w:rPr>
                <w:rFonts w:hint="eastAsia"/>
              </w:rPr>
            </w:pPr>
            <w:r>
              <w:rPr>
                <w:rFonts w:eastAsia="Gentium Book Basic" w:cs="Gentium Book Basic"/>
                <w:sz w:val="20"/>
              </w:rPr>
              <w:t>Mars</w:t>
            </w:r>
          </w:p>
        </w:tc>
        <w:tc>
          <w:tcPr>
            <w:tcW w:w="907" w:type="dxa"/>
            <w:shd w:val="clear" w:color="auto" w:fill="FFFFFF"/>
          </w:tcPr>
          <w:p w14:paraId="15700F78" w14:textId="77777777" w:rsidR="0095177C" w:rsidRDefault="00000000">
            <w:pPr>
              <w:jc w:val="center"/>
              <w:rPr>
                <w:rFonts w:hint="eastAsia"/>
              </w:rPr>
            </w:pPr>
            <w:r>
              <w:rPr>
                <w:rFonts w:eastAsia="Gentium Book Basic" w:cs="Gentium Book Basic"/>
                <w:sz w:val="20"/>
              </w:rPr>
              <w:t>♂</w:t>
            </w:r>
          </w:p>
        </w:tc>
        <w:tc>
          <w:tcPr>
            <w:tcW w:w="964" w:type="dxa"/>
            <w:shd w:val="clear" w:color="auto" w:fill="FFFFFF"/>
          </w:tcPr>
          <w:p w14:paraId="070E322F" w14:textId="77777777" w:rsidR="0095177C" w:rsidRDefault="00000000">
            <w:pPr>
              <w:jc w:val="center"/>
              <w:rPr>
                <w:rFonts w:hint="eastAsia"/>
              </w:rPr>
            </w:pPr>
            <w:r>
              <w:rPr>
                <w:rFonts w:eastAsia="Gentium Book Basic" w:cs="Gentium Book Basic"/>
                <w:sz w:val="20"/>
              </w:rPr>
              <w:t>Ma</w:t>
            </w:r>
          </w:p>
        </w:tc>
        <w:tc>
          <w:tcPr>
            <w:tcW w:w="3572" w:type="dxa"/>
            <w:shd w:val="clear" w:color="auto" w:fill="FFFFFF"/>
          </w:tcPr>
          <w:p w14:paraId="46A7E268" w14:textId="77777777" w:rsidR="0095177C" w:rsidRDefault="00000000">
            <w:pPr>
              <w:jc w:val="center"/>
              <w:rPr>
                <w:rFonts w:hint="eastAsia"/>
              </w:rPr>
            </w:pPr>
            <w:r>
              <w:rPr>
                <w:rFonts w:eastAsia="Gentium Book Basic" w:cs="Gentium Book Basic"/>
                <w:sz w:val="20"/>
              </w:rPr>
              <w:t>Kṛūra (malefic); courage, energy, siblings</w:t>
            </w:r>
          </w:p>
        </w:tc>
      </w:tr>
      <w:tr w:rsidR="0095177C" w14:paraId="46F46047" w14:textId="77777777">
        <w:trPr>
          <w:jc w:val="center"/>
        </w:trPr>
        <w:tc>
          <w:tcPr>
            <w:tcW w:w="1814" w:type="dxa"/>
            <w:shd w:val="clear" w:color="auto" w:fill="F4EFE3"/>
          </w:tcPr>
          <w:p w14:paraId="35FF518C" w14:textId="77777777" w:rsidR="0095177C" w:rsidRDefault="00000000">
            <w:pPr>
              <w:jc w:val="center"/>
              <w:rPr>
                <w:rFonts w:hint="eastAsia"/>
              </w:rPr>
            </w:pPr>
            <w:r>
              <w:rPr>
                <w:rFonts w:eastAsia="Gentium Book Basic" w:cs="Gentium Book Basic"/>
                <w:sz w:val="20"/>
              </w:rPr>
              <w:t>Budha</w:t>
            </w:r>
          </w:p>
        </w:tc>
        <w:tc>
          <w:tcPr>
            <w:tcW w:w="1474" w:type="dxa"/>
            <w:shd w:val="clear" w:color="auto" w:fill="F4EFE3"/>
          </w:tcPr>
          <w:p w14:paraId="1EE83DBB" w14:textId="77777777" w:rsidR="0095177C" w:rsidRDefault="00000000">
            <w:pPr>
              <w:jc w:val="center"/>
              <w:rPr>
                <w:rFonts w:hint="eastAsia"/>
              </w:rPr>
            </w:pPr>
            <w:r>
              <w:rPr>
                <w:rFonts w:eastAsia="Gentium Book Basic" w:cs="Gentium Book Basic"/>
                <w:sz w:val="20"/>
              </w:rPr>
              <w:t>Mercury</w:t>
            </w:r>
          </w:p>
        </w:tc>
        <w:tc>
          <w:tcPr>
            <w:tcW w:w="907" w:type="dxa"/>
            <w:shd w:val="clear" w:color="auto" w:fill="F4EFE3"/>
          </w:tcPr>
          <w:p w14:paraId="4E94E88E" w14:textId="77777777" w:rsidR="0095177C" w:rsidRDefault="00000000">
            <w:pPr>
              <w:jc w:val="center"/>
              <w:rPr>
                <w:rFonts w:hint="eastAsia"/>
              </w:rPr>
            </w:pPr>
            <w:r>
              <w:rPr>
                <w:rFonts w:eastAsia="Gentium Book Basic" w:cs="Gentium Book Basic"/>
                <w:sz w:val="20"/>
              </w:rPr>
              <w:t>☿</w:t>
            </w:r>
          </w:p>
        </w:tc>
        <w:tc>
          <w:tcPr>
            <w:tcW w:w="964" w:type="dxa"/>
            <w:shd w:val="clear" w:color="auto" w:fill="F4EFE3"/>
          </w:tcPr>
          <w:p w14:paraId="41AA5D36" w14:textId="77777777" w:rsidR="0095177C" w:rsidRDefault="00000000">
            <w:pPr>
              <w:jc w:val="center"/>
              <w:rPr>
                <w:rFonts w:hint="eastAsia"/>
              </w:rPr>
            </w:pPr>
            <w:r>
              <w:rPr>
                <w:rFonts w:eastAsia="Gentium Book Basic" w:cs="Gentium Book Basic"/>
                <w:sz w:val="20"/>
              </w:rPr>
              <w:t>Me</w:t>
            </w:r>
          </w:p>
        </w:tc>
        <w:tc>
          <w:tcPr>
            <w:tcW w:w="3572" w:type="dxa"/>
            <w:shd w:val="clear" w:color="auto" w:fill="F4EFE3"/>
          </w:tcPr>
          <w:p w14:paraId="3FC6C15A" w14:textId="77777777" w:rsidR="0095177C" w:rsidRDefault="00000000">
            <w:pPr>
              <w:jc w:val="center"/>
              <w:rPr>
                <w:rFonts w:hint="eastAsia"/>
              </w:rPr>
            </w:pPr>
            <w:r>
              <w:rPr>
                <w:rFonts w:eastAsia="Gentium Book Basic" w:cs="Gentium Book Basic"/>
                <w:sz w:val="20"/>
              </w:rPr>
              <w:t>Neutral — benefic/malefic by association; intellect, speech</w:t>
            </w:r>
          </w:p>
        </w:tc>
      </w:tr>
      <w:tr w:rsidR="0095177C" w14:paraId="59E9B8EE" w14:textId="77777777">
        <w:trPr>
          <w:jc w:val="center"/>
        </w:trPr>
        <w:tc>
          <w:tcPr>
            <w:tcW w:w="1814" w:type="dxa"/>
            <w:shd w:val="clear" w:color="auto" w:fill="FFFFFF"/>
          </w:tcPr>
          <w:p w14:paraId="281E61AE" w14:textId="77777777" w:rsidR="0095177C" w:rsidRDefault="00000000">
            <w:pPr>
              <w:jc w:val="center"/>
              <w:rPr>
                <w:rFonts w:hint="eastAsia"/>
              </w:rPr>
            </w:pPr>
            <w:r>
              <w:rPr>
                <w:rFonts w:eastAsia="Gentium Book Basic" w:cs="Gentium Book Basic"/>
                <w:sz w:val="20"/>
              </w:rPr>
              <w:t>Bṛhaspati / Guru</w:t>
            </w:r>
          </w:p>
        </w:tc>
        <w:tc>
          <w:tcPr>
            <w:tcW w:w="1474" w:type="dxa"/>
            <w:shd w:val="clear" w:color="auto" w:fill="FFFFFF"/>
          </w:tcPr>
          <w:p w14:paraId="30961A8B" w14:textId="77777777" w:rsidR="0095177C" w:rsidRDefault="00000000">
            <w:pPr>
              <w:jc w:val="center"/>
              <w:rPr>
                <w:rFonts w:hint="eastAsia"/>
              </w:rPr>
            </w:pPr>
            <w:r>
              <w:rPr>
                <w:rFonts w:eastAsia="Gentium Book Basic" w:cs="Gentium Book Basic"/>
                <w:sz w:val="20"/>
              </w:rPr>
              <w:t>Jupiter</w:t>
            </w:r>
          </w:p>
        </w:tc>
        <w:tc>
          <w:tcPr>
            <w:tcW w:w="907" w:type="dxa"/>
            <w:shd w:val="clear" w:color="auto" w:fill="FFFFFF"/>
          </w:tcPr>
          <w:p w14:paraId="0985012B" w14:textId="77777777" w:rsidR="0095177C" w:rsidRDefault="00000000">
            <w:pPr>
              <w:jc w:val="center"/>
              <w:rPr>
                <w:rFonts w:hint="eastAsia"/>
              </w:rPr>
            </w:pPr>
            <w:r>
              <w:rPr>
                <w:rFonts w:eastAsia="Gentium Book Basic" w:cs="Gentium Book Basic"/>
                <w:sz w:val="20"/>
              </w:rPr>
              <w:t>♃</w:t>
            </w:r>
          </w:p>
        </w:tc>
        <w:tc>
          <w:tcPr>
            <w:tcW w:w="964" w:type="dxa"/>
            <w:shd w:val="clear" w:color="auto" w:fill="FFFFFF"/>
          </w:tcPr>
          <w:p w14:paraId="4E8A8AB7" w14:textId="77777777" w:rsidR="0095177C" w:rsidRDefault="00000000">
            <w:pPr>
              <w:jc w:val="center"/>
              <w:rPr>
                <w:rFonts w:hint="eastAsia"/>
              </w:rPr>
            </w:pPr>
            <w:r>
              <w:rPr>
                <w:rFonts w:eastAsia="Gentium Book Basic" w:cs="Gentium Book Basic"/>
                <w:sz w:val="20"/>
              </w:rPr>
              <w:t>Ju</w:t>
            </w:r>
          </w:p>
        </w:tc>
        <w:tc>
          <w:tcPr>
            <w:tcW w:w="3572" w:type="dxa"/>
            <w:shd w:val="clear" w:color="auto" w:fill="FFFFFF"/>
          </w:tcPr>
          <w:p w14:paraId="33F85BE2" w14:textId="77777777" w:rsidR="0095177C" w:rsidRDefault="00000000">
            <w:pPr>
              <w:jc w:val="center"/>
              <w:rPr>
                <w:rFonts w:hint="eastAsia"/>
              </w:rPr>
            </w:pPr>
            <w:r>
              <w:rPr>
                <w:rFonts w:eastAsia="Gentium Book Basic" w:cs="Gentium Book Basic"/>
                <w:sz w:val="20"/>
              </w:rPr>
              <w:t>Saumya (benefic); wisdom, dharma, expansion</w:t>
            </w:r>
          </w:p>
        </w:tc>
      </w:tr>
      <w:tr w:rsidR="0095177C" w14:paraId="6AF0894D" w14:textId="77777777">
        <w:trPr>
          <w:jc w:val="center"/>
        </w:trPr>
        <w:tc>
          <w:tcPr>
            <w:tcW w:w="1814" w:type="dxa"/>
            <w:shd w:val="clear" w:color="auto" w:fill="F4EFE3"/>
          </w:tcPr>
          <w:p w14:paraId="76685567" w14:textId="77777777" w:rsidR="0095177C" w:rsidRDefault="00000000">
            <w:pPr>
              <w:jc w:val="center"/>
              <w:rPr>
                <w:rFonts w:hint="eastAsia"/>
              </w:rPr>
            </w:pPr>
            <w:r>
              <w:rPr>
                <w:rFonts w:eastAsia="Gentium Book Basic" w:cs="Gentium Book Basic"/>
                <w:sz w:val="20"/>
              </w:rPr>
              <w:t>Śukra</w:t>
            </w:r>
          </w:p>
        </w:tc>
        <w:tc>
          <w:tcPr>
            <w:tcW w:w="1474" w:type="dxa"/>
            <w:shd w:val="clear" w:color="auto" w:fill="F4EFE3"/>
          </w:tcPr>
          <w:p w14:paraId="1BA1538C" w14:textId="77777777" w:rsidR="0095177C" w:rsidRDefault="00000000">
            <w:pPr>
              <w:jc w:val="center"/>
              <w:rPr>
                <w:rFonts w:hint="eastAsia"/>
              </w:rPr>
            </w:pPr>
            <w:r>
              <w:rPr>
                <w:rFonts w:eastAsia="Gentium Book Basic" w:cs="Gentium Book Basic"/>
                <w:sz w:val="20"/>
              </w:rPr>
              <w:t>Venus</w:t>
            </w:r>
          </w:p>
        </w:tc>
        <w:tc>
          <w:tcPr>
            <w:tcW w:w="907" w:type="dxa"/>
            <w:shd w:val="clear" w:color="auto" w:fill="F4EFE3"/>
          </w:tcPr>
          <w:p w14:paraId="170ED08B" w14:textId="77777777" w:rsidR="0095177C" w:rsidRDefault="00000000">
            <w:pPr>
              <w:jc w:val="center"/>
              <w:rPr>
                <w:rFonts w:hint="eastAsia"/>
              </w:rPr>
            </w:pPr>
            <w:r>
              <w:rPr>
                <w:rFonts w:eastAsia="Gentium Book Basic" w:cs="Gentium Book Basic"/>
                <w:sz w:val="20"/>
              </w:rPr>
              <w:t>♀</w:t>
            </w:r>
          </w:p>
        </w:tc>
        <w:tc>
          <w:tcPr>
            <w:tcW w:w="964" w:type="dxa"/>
            <w:shd w:val="clear" w:color="auto" w:fill="F4EFE3"/>
          </w:tcPr>
          <w:p w14:paraId="2E631E31" w14:textId="77777777" w:rsidR="0095177C" w:rsidRDefault="00000000">
            <w:pPr>
              <w:jc w:val="center"/>
              <w:rPr>
                <w:rFonts w:hint="eastAsia"/>
              </w:rPr>
            </w:pPr>
            <w:r>
              <w:rPr>
                <w:rFonts w:eastAsia="Gentium Book Basic" w:cs="Gentium Book Basic"/>
                <w:sz w:val="20"/>
              </w:rPr>
              <w:t>Ve</w:t>
            </w:r>
          </w:p>
        </w:tc>
        <w:tc>
          <w:tcPr>
            <w:tcW w:w="3572" w:type="dxa"/>
            <w:shd w:val="clear" w:color="auto" w:fill="F4EFE3"/>
          </w:tcPr>
          <w:p w14:paraId="2B8A1265" w14:textId="77777777" w:rsidR="0095177C" w:rsidRDefault="00000000">
            <w:pPr>
              <w:jc w:val="center"/>
              <w:rPr>
                <w:rFonts w:hint="eastAsia"/>
              </w:rPr>
            </w:pPr>
            <w:r>
              <w:rPr>
                <w:rFonts w:eastAsia="Gentium Book Basic" w:cs="Gentium Book Basic"/>
                <w:sz w:val="20"/>
              </w:rPr>
              <w:t>Saumya (benefic); love, beauty, relationships</w:t>
            </w:r>
          </w:p>
        </w:tc>
      </w:tr>
      <w:tr w:rsidR="0095177C" w14:paraId="1FE7489D" w14:textId="77777777">
        <w:trPr>
          <w:jc w:val="center"/>
        </w:trPr>
        <w:tc>
          <w:tcPr>
            <w:tcW w:w="1814" w:type="dxa"/>
            <w:shd w:val="clear" w:color="auto" w:fill="FFFFFF"/>
          </w:tcPr>
          <w:p w14:paraId="28D03C4B" w14:textId="77777777" w:rsidR="0095177C" w:rsidRDefault="00000000">
            <w:pPr>
              <w:jc w:val="center"/>
              <w:rPr>
                <w:rFonts w:hint="eastAsia"/>
              </w:rPr>
            </w:pPr>
            <w:r>
              <w:rPr>
                <w:rFonts w:eastAsia="Gentium Book Basic" w:cs="Gentium Book Basic"/>
                <w:sz w:val="20"/>
              </w:rPr>
              <w:t>Śani</w:t>
            </w:r>
          </w:p>
        </w:tc>
        <w:tc>
          <w:tcPr>
            <w:tcW w:w="1474" w:type="dxa"/>
            <w:shd w:val="clear" w:color="auto" w:fill="FFFFFF"/>
          </w:tcPr>
          <w:p w14:paraId="57A5E3AF" w14:textId="77777777" w:rsidR="0095177C" w:rsidRDefault="00000000">
            <w:pPr>
              <w:jc w:val="center"/>
              <w:rPr>
                <w:rFonts w:hint="eastAsia"/>
              </w:rPr>
            </w:pPr>
            <w:r>
              <w:rPr>
                <w:rFonts w:eastAsia="Gentium Book Basic" w:cs="Gentium Book Basic"/>
                <w:sz w:val="20"/>
              </w:rPr>
              <w:t>Saturn</w:t>
            </w:r>
          </w:p>
        </w:tc>
        <w:tc>
          <w:tcPr>
            <w:tcW w:w="907" w:type="dxa"/>
            <w:shd w:val="clear" w:color="auto" w:fill="FFFFFF"/>
          </w:tcPr>
          <w:p w14:paraId="121C93A2" w14:textId="77777777" w:rsidR="0095177C" w:rsidRDefault="00000000">
            <w:pPr>
              <w:jc w:val="center"/>
              <w:rPr>
                <w:rFonts w:hint="eastAsia"/>
              </w:rPr>
            </w:pPr>
            <w:r>
              <w:rPr>
                <w:rFonts w:eastAsia="Gentium Book Basic" w:cs="Gentium Book Basic"/>
                <w:sz w:val="20"/>
              </w:rPr>
              <w:t>♄</w:t>
            </w:r>
          </w:p>
        </w:tc>
        <w:tc>
          <w:tcPr>
            <w:tcW w:w="964" w:type="dxa"/>
            <w:shd w:val="clear" w:color="auto" w:fill="FFFFFF"/>
          </w:tcPr>
          <w:p w14:paraId="6D586645" w14:textId="77777777" w:rsidR="0095177C" w:rsidRDefault="00000000">
            <w:pPr>
              <w:jc w:val="center"/>
              <w:rPr>
                <w:rFonts w:hint="eastAsia"/>
              </w:rPr>
            </w:pPr>
            <w:r>
              <w:rPr>
                <w:rFonts w:eastAsia="Gentium Book Basic" w:cs="Gentium Book Basic"/>
                <w:sz w:val="20"/>
              </w:rPr>
              <w:t>Sa</w:t>
            </w:r>
          </w:p>
        </w:tc>
        <w:tc>
          <w:tcPr>
            <w:tcW w:w="3572" w:type="dxa"/>
            <w:shd w:val="clear" w:color="auto" w:fill="FFFFFF"/>
          </w:tcPr>
          <w:p w14:paraId="73585CA6" w14:textId="77777777" w:rsidR="0095177C" w:rsidRDefault="00000000">
            <w:pPr>
              <w:jc w:val="center"/>
              <w:rPr>
                <w:rFonts w:hint="eastAsia"/>
              </w:rPr>
            </w:pPr>
            <w:r>
              <w:rPr>
                <w:rFonts w:eastAsia="Gentium Book Basic" w:cs="Gentium Book Basic"/>
                <w:sz w:val="20"/>
              </w:rPr>
              <w:t>Kṛūra (malefic); discipline, delay, longevity</w:t>
            </w:r>
          </w:p>
        </w:tc>
      </w:tr>
      <w:tr w:rsidR="0095177C" w14:paraId="574C5BD0" w14:textId="77777777">
        <w:trPr>
          <w:jc w:val="center"/>
        </w:trPr>
        <w:tc>
          <w:tcPr>
            <w:tcW w:w="1814" w:type="dxa"/>
            <w:shd w:val="clear" w:color="auto" w:fill="F4EFE3"/>
          </w:tcPr>
          <w:p w14:paraId="06D96FB4" w14:textId="77777777" w:rsidR="0095177C" w:rsidRDefault="00000000">
            <w:pPr>
              <w:jc w:val="center"/>
              <w:rPr>
                <w:rFonts w:hint="eastAsia"/>
              </w:rPr>
            </w:pPr>
            <w:r>
              <w:rPr>
                <w:rFonts w:eastAsia="Gentium Book Basic" w:cs="Gentium Book Basic"/>
                <w:sz w:val="20"/>
              </w:rPr>
              <w:t>Rāhu</w:t>
            </w:r>
          </w:p>
        </w:tc>
        <w:tc>
          <w:tcPr>
            <w:tcW w:w="1474" w:type="dxa"/>
            <w:shd w:val="clear" w:color="auto" w:fill="F4EFE3"/>
          </w:tcPr>
          <w:p w14:paraId="5E9EF680" w14:textId="77777777" w:rsidR="0095177C" w:rsidRDefault="00000000">
            <w:pPr>
              <w:jc w:val="center"/>
              <w:rPr>
                <w:rFonts w:hint="eastAsia"/>
              </w:rPr>
            </w:pPr>
            <w:r>
              <w:rPr>
                <w:rFonts w:eastAsia="Gentium Book Basic" w:cs="Gentium Book Basic"/>
                <w:sz w:val="20"/>
              </w:rPr>
              <w:t>North Lunar Node</w:t>
            </w:r>
          </w:p>
        </w:tc>
        <w:tc>
          <w:tcPr>
            <w:tcW w:w="907" w:type="dxa"/>
            <w:shd w:val="clear" w:color="auto" w:fill="F4EFE3"/>
          </w:tcPr>
          <w:p w14:paraId="1363697D" w14:textId="77777777" w:rsidR="0095177C" w:rsidRDefault="00000000">
            <w:pPr>
              <w:jc w:val="center"/>
              <w:rPr>
                <w:rFonts w:hint="eastAsia"/>
              </w:rPr>
            </w:pPr>
            <w:r>
              <w:rPr>
                <w:rFonts w:eastAsia="Gentium Book Basic" w:cs="Gentium Book Basic"/>
                <w:sz w:val="20"/>
              </w:rPr>
              <w:t>☊</w:t>
            </w:r>
          </w:p>
        </w:tc>
        <w:tc>
          <w:tcPr>
            <w:tcW w:w="964" w:type="dxa"/>
            <w:shd w:val="clear" w:color="auto" w:fill="F4EFE3"/>
          </w:tcPr>
          <w:p w14:paraId="67D2A3D8" w14:textId="77777777" w:rsidR="0095177C" w:rsidRDefault="00000000">
            <w:pPr>
              <w:jc w:val="center"/>
              <w:rPr>
                <w:rFonts w:hint="eastAsia"/>
              </w:rPr>
            </w:pPr>
            <w:r>
              <w:rPr>
                <w:rFonts w:eastAsia="Gentium Book Basic" w:cs="Gentium Book Basic"/>
                <w:sz w:val="20"/>
              </w:rPr>
              <w:t>Ra</w:t>
            </w:r>
          </w:p>
        </w:tc>
        <w:tc>
          <w:tcPr>
            <w:tcW w:w="3572" w:type="dxa"/>
            <w:shd w:val="clear" w:color="auto" w:fill="F4EFE3"/>
          </w:tcPr>
          <w:p w14:paraId="16E48198" w14:textId="77777777" w:rsidR="0095177C" w:rsidRDefault="00000000">
            <w:pPr>
              <w:jc w:val="center"/>
              <w:rPr>
                <w:rFonts w:hint="eastAsia"/>
              </w:rPr>
            </w:pPr>
            <w:r>
              <w:rPr>
                <w:rFonts w:eastAsia="Gentium Book Basic" w:cs="Gentium Book Basic"/>
                <w:sz w:val="20"/>
              </w:rPr>
              <w:t>Chāyā graha (shadow planet); desire, illusion, foreign</w:t>
            </w:r>
          </w:p>
        </w:tc>
      </w:tr>
      <w:tr w:rsidR="0095177C" w14:paraId="12778120" w14:textId="77777777">
        <w:trPr>
          <w:jc w:val="center"/>
        </w:trPr>
        <w:tc>
          <w:tcPr>
            <w:tcW w:w="1814" w:type="dxa"/>
            <w:shd w:val="clear" w:color="auto" w:fill="FFFFFF"/>
          </w:tcPr>
          <w:p w14:paraId="276B323A" w14:textId="77777777" w:rsidR="0095177C" w:rsidRDefault="00000000">
            <w:pPr>
              <w:jc w:val="center"/>
              <w:rPr>
                <w:rFonts w:hint="eastAsia"/>
              </w:rPr>
            </w:pPr>
            <w:r>
              <w:rPr>
                <w:rFonts w:eastAsia="Gentium Book Basic" w:cs="Gentium Book Basic"/>
                <w:sz w:val="20"/>
              </w:rPr>
              <w:t>Ketu</w:t>
            </w:r>
          </w:p>
        </w:tc>
        <w:tc>
          <w:tcPr>
            <w:tcW w:w="1474" w:type="dxa"/>
            <w:shd w:val="clear" w:color="auto" w:fill="FFFFFF"/>
          </w:tcPr>
          <w:p w14:paraId="5672919E" w14:textId="77777777" w:rsidR="0095177C" w:rsidRDefault="00000000">
            <w:pPr>
              <w:jc w:val="center"/>
              <w:rPr>
                <w:rFonts w:hint="eastAsia"/>
              </w:rPr>
            </w:pPr>
            <w:r>
              <w:rPr>
                <w:rFonts w:eastAsia="Gentium Book Basic" w:cs="Gentium Book Basic"/>
                <w:sz w:val="20"/>
              </w:rPr>
              <w:t>South Lunar Node</w:t>
            </w:r>
          </w:p>
        </w:tc>
        <w:tc>
          <w:tcPr>
            <w:tcW w:w="907" w:type="dxa"/>
            <w:shd w:val="clear" w:color="auto" w:fill="FFFFFF"/>
          </w:tcPr>
          <w:p w14:paraId="04493D3C" w14:textId="77777777" w:rsidR="0095177C" w:rsidRDefault="00000000">
            <w:pPr>
              <w:jc w:val="center"/>
              <w:rPr>
                <w:rFonts w:hint="eastAsia"/>
              </w:rPr>
            </w:pPr>
            <w:r>
              <w:rPr>
                <w:rFonts w:eastAsia="Gentium Book Basic" w:cs="Gentium Book Basic"/>
                <w:sz w:val="20"/>
              </w:rPr>
              <w:t>☋</w:t>
            </w:r>
          </w:p>
        </w:tc>
        <w:tc>
          <w:tcPr>
            <w:tcW w:w="964" w:type="dxa"/>
            <w:shd w:val="clear" w:color="auto" w:fill="FFFFFF"/>
          </w:tcPr>
          <w:p w14:paraId="08BECA51" w14:textId="77777777" w:rsidR="0095177C" w:rsidRDefault="00000000">
            <w:pPr>
              <w:jc w:val="center"/>
              <w:rPr>
                <w:rFonts w:hint="eastAsia"/>
              </w:rPr>
            </w:pPr>
            <w:r>
              <w:rPr>
                <w:rFonts w:eastAsia="Gentium Book Basic" w:cs="Gentium Book Basic"/>
                <w:sz w:val="20"/>
              </w:rPr>
              <w:t>Ke</w:t>
            </w:r>
          </w:p>
        </w:tc>
        <w:tc>
          <w:tcPr>
            <w:tcW w:w="3572" w:type="dxa"/>
            <w:shd w:val="clear" w:color="auto" w:fill="FFFFFF"/>
          </w:tcPr>
          <w:p w14:paraId="1A643CA7" w14:textId="77777777" w:rsidR="0095177C" w:rsidRDefault="00000000">
            <w:pPr>
              <w:jc w:val="center"/>
              <w:rPr>
                <w:rFonts w:hint="eastAsia"/>
              </w:rPr>
            </w:pPr>
            <w:r>
              <w:rPr>
                <w:rFonts w:eastAsia="Gentium Book Basic" w:cs="Gentium Book Basic"/>
                <w:sz w:val="20"/>
              </w:rPr>
              <w:t>Chāyā graha (shadow planet); detachment, mokṣa</w:t>
            </w:r>
          </w:p>
        </w:tc>
      </w:tr>
    </w:tbl>
    <w:p w14:paraId="0DA173C8" w14:textId="77777777" w:rsidR="0095177C" w:rsidRDefault="0095177C">
      <w:pPr>
        <w:spacing w:after="120"/>
        <w:rPr>
          <w:rFonts w:hint="eastAsia"/>
        </w:rPr>
      </w:pPr>
    </w:p>
    <w:p w14:paraId="05E37A41" w14:textId="77777777" w:rsidR="0095177C" w:rsidRDefault="00000000">
      <w:pPr>
        <w:jc w:val="both"/>
        <w:rPr>
          <w:rFonts w:hint="eastAsia"/>
        </w:rPr>
      </w:pPr>
      <w:r>
        <w:rPr>
          <w:rFonts w:eastAsia="Gentium Book Basic" w:cs="Gentium Book Basic"/>
          <w:sz w:val="23"/>
        </w:rPr>
        <w:t>Rāhu and Ketu are always placed exactly 180° apart in any chart, since both mark the two points where the Moon's orbital path crosses the ecliptic (the lunar nodes) — a purely geometric relationship rather than a physical one, which is why they are classed separately as chāyā graha, "shadow planets," distinct from the seven physically observable bodies.</w:t>
      </w:r>
    </w:p>
    <w:p w14:paraId="02D5C4BE" w14:textId="77777777" w:rsidR="0095177C" w:rsidRDefault="00000000">
      <w:pPr>
        <w:pBdr>
          <w:bottom w:val="single" w:sz="8" w:space="4" w:color="9A7B2E"/>
        </w:pBdr>
        <w:spacing w:before="360" w:after="160"/>
        <w:rPr>
          <w:rFonts w:hint="eastAsia"/>
        </w:rPr>
      </w:pPr>
      <w:r>
        <w:rPr>
          <w:rFonts w:eastAsia="Gentium Book Basic" w:cs="Gentium Book Basic"/>
          <w:b/>
          <w:color w:val="1B2A4A"/>
          <w:sz w:val="36"/>
        </w:rPr>
        <w:t>Why This Matters</w:t>
      </w:r>
    </w:p>
    <w:p w14:paraId="5DE9582E" w14:textId="77777777" w:rsidR="0095177C" w:rsidRDefault="00000000">
      <w:pPr>
        <w:jc w:val="both"/>
        <w:rPr>
          <w:rFonts w:hint="eastAsia"/>
        </w:rPr>
      </w:pPr>
      <w:r>
        <w:rPr>
          <w:rFonts w:eastAsia="Gentium Book Basic" w:cs="Gentium Book Basic"/>
          <w:sz w:val="23"/>
        </w:rPr>
        <w:lastRenderedPageBreak/>
        <w:t>None of this makes one system "more correct" than the other in an absolute sense — they're answering different questions, using different reference frames, built up over different (though related) intellectual traditions. But if you've ever wondered why your Vedic rāśi doesn't match your Western sun sign, now you know precisely why, down to the degree: a slow 25,800-year wobble in the Earth's axis, accumulated over two thousand years into a roughly 24° gap between two equally valid ways of asking "where is the Sun, really?"</w:t>
      </w:r>
    </w:p>
    <w:p w14:paraId="5BE8CE87" w14:textId="77777777" w:rsidR="0095177C" w:rsidRDefault="00000000">
      <w:pPr>
        <w:jc w:val="both"/>
        <w:rPr>
          <w:rFonts w:hint="eastAsia"/>
        </w:rPr>
      </w:pPr>
      <w:r>
        <w:rPr>
          <w:rFonts w:eastAsia="Gentium Book Basic" w:cs="Gentium Book Basic"/>
          <w:sz w:val="23"/>
        </w:rPr>
        <w:t>In the next article, we'll look at how this same ayanāṃśa shift plays out across an entire chart, not just one planet — and why the Ascendant itself is often the placement most dramatically affected by the switch from tropical to sidereal reckoning.</w:t>
      </w:r>
    </w:p>
    <w:sectPr w:rsidR="0095177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E4C6A" w14:textId="77777777" w:rsidR="00703E9C" w:rsidRDefault="00703E9C">
      <w:pPr>
        <w:spacing w:after="0" w:line="240" w:lineRule="auto"/>
        <w:rPr>
          <w:rFonts w:hint="eastAsia"/>
        </w:rPr>
      </w:pPr>
      <w:r>
        <w:separator/>
      </w:r>
    </w:p>
  </w:endnote>
  <w:endnote w:type="continuationSeparator" w:id="0">
    <w:p w14:paraId="1AF4D450" w14:textId="77777777" w:rsidR="00703E9C" w:rsidRDefault="00703E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Gentium Book Bas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BC24" w14:textId="39E08F91" w:rsidR="0095177C" w:rsidRDefault="00000000">
    <w:pPr>
      <w:pStyle w:val="Footer"/>
      <w:pBdr>
        <w:top w:val="single" w:sz="6" w:space="6" w:color="9A7B2E"/>
      </w:pBdr>
      <w:jc w:val="center"/>
      <w:rPr>
        <w:rFonts w:hint="eastAsia"/>
      </w:rPr>
    </w:pPr>
    <w:r w:rsidRPr="006D25F7">
      <w:rPr>
        <w:rFonts w:eastAsia="Gentium Book Basic" w:cs="Gentium Book Basic"/>
        <w:i/>
        <w:color w:val="6E1F2A"/>
        <w:sz w:val="18"/>
      </w:rPr>
      <w:t>M</w:t>
    </w:r>
    <w:r w:rsidR="006D25F7">
      <w:rPr>
        <w:rFonts w:eastAsia="Gentium Book Basic" w:cs="Gentium Book Basic"/>
        <w:i/>
        <w:color w:val="6E1F2A"/>
        <w:sz w:val="18"/>
      </w:rPr>
      <w:t>ā</w:t>
    </w:r>
    <w:r w:rsidR="006D25F7">
      <w:rPr>
        <w:rFonts w:eastAsia="Gentium Book Basic" w:cs="Gentium Book Basic"/>
        <w:i/>
        <w:color w:val="6E1F2A"/>
        <w:sz w:val="18"/>
      </w:rPr>
      <w:t>rta</w:t>
    </w:r>
    <w:r w:rsidR="006D25F7" w:rsidRPr="006D25F7">
      <w:rPr>
        <w:rFonts w:eastAsia="Gentium Book Basic" w:cs="Gentium Book Basic"/>
        <w:i/>
        <w:color w:val="6E1F2A"/>
        <w:sz w:val="18"/>
      </w:rPr>
      <w:t>ṇḍ</w:t>
    </w:r>
    <w:r w:rsidR="006D25F7">
      <w:rPr>
        <w:rFonts w:eastAsia="Gentium Book Basic" w:cs="Gentium Book Basic"/>
        <w:i/>
        <w:color w:val="6E1F2A"/>
        <w:sz w:val="18"/>
      </w:rPr>
      <w:t>a</w:t>
    </w:r>
    <w:r w:rsidRPr="006D25F7">
      <w:rPr>
        <w:rFonts w:eastAsia="Gentium Book Basic" w:cs="Gentium Book Basic"/>
        <w:i/>
        <w:color w:val="6E1F2A"/>
        <w:sz w:val="18"/>
      </w:rPr>
      <w:t xml:space="preserve"> </w:t>
    </w:r>
    <w:r w:rsidR="006D25F7" w:rsidRPr="006D25F7">
      <w:rPr>
        <w:rFonts w:eastAsia="Gentium Book Basic" w:cs="Gentium Book Basic"/>
        <w:i/>
        <w:color w:val="6E1F2A"/>
        <w:sz w:val="18"/>
      </w:rPr>
      <w:t>J</w:t>
    </w:r>
    <w:r w:rsidR="006D25F7">
      <w:rPr>
        <w:rFonts w:eastAsia="Gentium Book Basic" w:cs="Gentium Book Basic"/>
        <w:i/>
        <w:color w:val="6E1F2A"/>
        <w:sz w:val="18"/>
      </w:rPr>
      <w:t>yoti</w:t>
    </w:r>
    <w:r w:rsidR="006D25F7" w:rsidRPr="006D25F7">
      <w:rPr>
        <w:rFonts w:eastAsia="Gentium Book Basic" w:cs="Gentium Book Basic"/>
        <w:i/>
        <w:color w:val="6E1F2A"/>
        <w:sz w:val="18"/>
      </w:rPr>
      <w:t>ṣī</w:t>
    </w:r>
    <w:r w:rsidR="006D25F7">
      <w:rPr>
        <w:rFonts w:eastAsia="Gentium Book Basic" w:cs="Gentium Book Basic"/>
        <w:i/>
        <w:color w:val="6E1F2A"/>
        <w:sz w:val="18"/>
      </w:rPr>
      <w:t xml:space="preserve"> · Classical</w:t>
    </w:r>
    <w:r>
      <w:rPr>
        <w:rFonts w:eastAsia="Gentium Book Basic" w:cs="Gentium Book Basic"/>
        <w:i/>
        <w:color w:val="6E1F2A"/>
        <w:sz w:val="18"/>
      </w:rPr>
      <w:t xml:space="preserve"> Jyotiṣa — Parāśara &amp; Jaimini Traditions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8496" w14:textId="77777777" w:rsidR="00703E9C" w:rsidRDefault="00703E9C">
      <w:pPr>
        <w:spacing w:after="0" w:line="240" w:lineRule="auto"/>
        <w:rPr>
          <w:rFonts w:hint="eastAsia"/>
        </w:rPr>
      </w:pPr>
      <w:r>
        <w:separator/>
      </w:r>
    </w:p>
  </w:footnote>
  <w:footnote w:type="continuationSeparator" w:id="0">
    <w:p w14:paraId="6BE1B45E" w14:textId="77777777" w:rsidR="00703E9C" w:rsidRDefault="00703E9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4DDA" w14:textId="77777777" w:rsidR="0095177C" w:rsidRDefault="00000000">
    <w:pPr>
      <w:pStyle w:val="Header"/>
      <w:pBdr>
        <w:bottom w:val="single" w:sz="4" w:space="4" w:color="9A7B2E"/>
      </w:pBdr>
      <w:jc w:val="center"/>
      <w:rPr>
        <w:rFonts w:hint="eastAsia"/>
      </w:rPr>
    </w:pPr>
    <w:r>
      <w:rPr>
        <w:rFonts w:eastAsia="Gentium Book Basic" w:cs="Gentium Book Basic"/>
        <w:color w:val="9A7B2E"/>
        <w:sz w:val="18"/>
      </w:rPr>
      <w:t>VEDIC JYOTIṢA vs. WESTERN ASTROLOGY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82117">
    <w:abstractNumId w:val="8"/>
  </w:num>
  <w:num w:numId="2" w16cid:durableId="1869416513">
    <w:abstractNumId w:val="6"/>
  </w:num>
  <w:num w:numId="3" w16cid:durableId="1747729598">
    <w:abstractNumId w:val="5"/>
  </w:num>
  <w:num w:numId="4" w16cid:durableId="1542665905">
    <w:abstractNumId w:val="4"/>
  </w:num>
  <w:num w:numId="5" w16cid:durableId="1120800928">
    <w:abstractNumId w:val="7"/>
  </w:num>
  <w:num w:numId="6" w16cid:durableId="781001114">
    <w:abstractNumId w:val="3"/>
  </w:num>
  <w:num w:numId="7" w16cid:durableId="921766131">
    <w:abstractNumId w:val="2"/>
  </w:num>
  <w:num w:numId="8" w16cid:durableId="1846944353">
    <w:abstractNumId w:val="1"/>
  </w:num>
  <w:num w:numId="9" w16cid:durableId="77267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2F3"/>
    <w:rsid w:val="006D25F7"/>
    <w:rsid w:val="00703E9C"/>
    <w:rsid w:val="009517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9B9B1"/>
  <w14:defaultImageDpi w14:val="300"/>
  <w15:docId w15:val="{6393B1E1-8F6B-4B66-A916-6128937B5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ntium Book Basic" w:hAnsi="Gentium Book Basic"/>
      <w:color w:val="2A2A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Monarch Limaye</cp:lastModifiedBy>
  <cp:revision>2</cp:revision>
  <dcterms:created xsi:type="dcterms:W3CDTF">2013-12-23T23:15:00Z</dcterms:created>
  <dcterms:modified xsi:type="dcterms:W3CDTF">2026-08-21T07:15:00Z</dcterms:modified>
  <cp:category/>
</cp:coreProperties>
</file>