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Ñ</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BIENVENIDOS AL PASAPALABRA DE LOS SKYLABERS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normas son muy sencillas: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mostraran unas definiciones y el usuarió deberá responder con la palabra correcta. No se deben utilizar acentos. Se puede usar la tecla "intro" para responder en vez del botón. El usuario tiene la opción de pulsar Pasapalabra (o utilizar la tecla "espacio") y dejar esa definición para más adelante.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¿Estás preparado/a para jugar? ¡El tiempo empezará y no para!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¿Cuál es tu nombre?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JUGAR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RESPONDER PASAPALABRA STOP</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~~Ranking~~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Volver a jugar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 COMPLETADO EL ROSCO SIN FALLOS!!!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4743450" cy="2571750"/>
            <wp:effectExtent b="0" l="0" r="0" t="0"/>
            <wp:docPr descr="Funny image" id="1" name="image1.gif"/>
            <a:graphic>
              <a:graphicData uri="http://schemas.openxmlformats.org/drawingml/2006/picture">
                <pic:pic>
                  <pic:nvPicPr>
                    <pic:cNvPr descr="Funny image" id="0" name="image1.gif"/>
                    <pic:cNvPicPr preferRelativeResize="0"/>
                  </pic:nvPicPr>
                  <pic:blipFill>
                    <a:blip r:embed="rId6"/>
                    <a:srcRect b="0" l="0" r="0" t="0"/>
                    <a:stretch>
                      <a:fillRect/>
                    </a:stretch>
                  </pic:blipFill>
                  <pic:spPr>
                    <a:xfrm>
                      <a:off x="0" y="0"/>
                      <a:ext cx="4743450" cy="257175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