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A1933" w:rsidRDefault="00EA1933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:rsidR="0002496A" w:rsidRPr="00122C27" w:rsidRDefault="00692665">
      <w:pPr>
        <w:jc w:val="center"/>
        <w:rPr>
          <w:lang w:val="en-GB"/>
        </w:rPr>
      </w:pPr>
      <w:r w:rsidRPr="00122C2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Quantitative Trait Loci Mapping in chicken (</w:t>
      </w:r>
      <w:r w:rsidRPr="00122C27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 xml:space="preserve">Gallus </w:t>
      </w:r>
      <w:proofErr w:type="spellStart"/>
      <w:r w:rsidRPr="00122C27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>gallus</w:t>
      </w:r>
      <w:proofErr w:type="spellEnd"/>
      <w:r w:rsidRPr="00122C2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x </w:t>
      </w:r>
      <w:r w:rsidRPr="00122C27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 xml:space="preserve">Gallus </w:t>
      </w:r>
      <w:proofErr w:type="spellStart"/>
      <w:r w:rsidRPr="00122C27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>gallus</w:t>
      </w:r>
      <w:proofErr w:type="spellEnd"/>
      <w:r w:rsidRPr="00122C27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 xml:space="preserve"> </w:t>
      </w:r>
      <w:proofErr w:type="spellStart"/>
      <w:r w:rsidRPr="00122C27">
        <w:rPr>
          <w:rFonts w:ascii="Times New Roman" w:eastAsia="Times New Roman" w:hAnsi="Times New Roman" w:cs="Times New Roman"/>
          <w:b/>
          <w:i/>
          <w:sz w:val="24"/>
          <w:szCs w:val="24"/>
          <w:lang w:val="en-GB"/>
        </w:rPr>
        <w:t>domesticus</w:t>
      </w:r>
      <w:proofErr w:type="spellEnd"/>
      <w:r w:rsidRPr="00122C2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</w:t>
      </w:r>
    </w:p>
    <w:p w:rsidR="0002496A" w:rsidRPr="00122C27" w:rsidRDefault="0002496A">
      <w:pPr>
        <w:jc w:val="both"/>
        <w:rPr>
          <w:lang w:val="en-GB"/>
        </w:rPr>
      </w:pPr>
    </w:p>
    <w:p w:rsidR="0002496A" w:rsidRPr="00122C27" w:rsidRDefault="00692665">
      <w:pPr>
        <w:spacing w:line="360" w:lineRule="auto"/>
        <w:jc w:val="both"/>
        <w:rPr>
          <w:lang w:val="en-GB"/>
        </w:rPr>
      </w:pPr>
      <w:r w:rsidRPr="00122C2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Results</w:t>
      </w:r>
    </w:p>
    <w:p w:rsidR="0002496A" w:rsidRPr="00122C27" w:rsidRDefault="0002496A">
      <w:pPr>
        <w:spacing w:line="360" w:lineRule="auto"/>
        <w:jc w:val="both"/>
        <w:rPr>
          <w:lang w:val="en-GB"/>
        </w:rPr>
      </w:pPr>
    </w:p>
    <w:p w:rsidR="0002496A" w:rsidRPr="00122C27" w:rsidRDefault="00692665">
      <w:pPr>
        <w:spacing w:line="360" w:lineRule="auto"/>
        <w:jc w:val="both"/>
        <w:rPr>
          <w:lang w:val="en-GB"/>
        </w:rPr>
      </w:pP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Firstly, we detected the missing genotypes (figure 1); subsequently, we rearranged the plot according to the value of the individual’s phenotype. Most of the markers were genotyped for most individuals. The missing rate was low (3.7%).</w:t>
      </w:r>
    </w:p>
    <w:p w:rsidR="0002496A" w:rsidRPr="00122C27" w:rsidRDefault="0002496A">
      <w:pPr>
        <w:spacing w:line="360" w:lineRule="auto"/>
        <w:jc w:val="both"/>
        <w:rPr>
          <w:lang w:val="en-GB"/>
        </w:rPr>
      </w:pPr>
    </w:p>
    <w:p w:rsidR="0002496A" w:rsidRDefault="00692665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>
            <wp:extent cx="4987851" cy="2918460"/>
            <wp:effectExtent l="0" t="0" r="3810" b="0"/>
            <wp:docPr id="3" name="image08.png" descr="1. Missing genotypes (Reordere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1. Missing genotypes (Reordered)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881" cy="2923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496A" w:rsidRPr="00122C27" w:rsidRDefault="00692665">
      <w:pPr>
        <w:spacing w:line="240" w:lineRule="auto"/>
        <w:rPr>
          <w:lang w:val="en-GB"/>
        </w:rPr>
      </w:pP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Figure 1: Genotyp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ed markers for every individual of the population. White indicates available genotype, black indicates missing genotype</w:t>
      </w:r>
    </w:p>
    <w:p w:rsidR="00122C27" w:rsidRDefault="00122C2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02496A" w:rsidRPr="00122C27" w:rsidRDefault="00692665">
      <w:pPr>
        <w:spacing w:line="360" w:lineRule="auto"/>
        <w:jc w:val="both"/>
        <w:rPr>
          <w:lang w:val="en-GB"/>
        </w:rPr>
      </w:pP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br/>
        <w:t>The body weight in this population seemed to follow a normal distribution. The individuals differed highly, so the body weight was adde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d into the analysis as a covariate.</w:t>
      </w:r>
    </w:p>
    <w:p w:rsidR="0002496A" w:rsidRPr="00122C27" w:rsidRDefault="0002496A">
      <w:pPr>
        <w:spacing w:line="360" w:lineRule="auto"/>
        <w:jc w:val="both"/>
        <w:rPr>
          <w:lang w:val="en-GB"/>
        </w:rPr>
      </w:pPr>
    </w:p>
    <w:p w:rsidR="0002496A" w:rsidRDefault="00692665">
      <w:pPr>
        <w:spacing w:line="360" w:lineRule="auto"/>
        <w:jc w:val="both"/>
      </w:pPr>
      <w:r w:rsidRPr="00122C27">
        <w:rPr>
          <w:rFonts w:ascii="Times New Roman" w:eastAsia="Times New Roman" w:hAnsi="Times New Roman" w:cs="Times New Roman"/>
          <w:sz w:val="24"/>
          <w:szCs w:val="24"/>
          <w:highlight w:val="white"/>
          <w:lang w:val="en-GB"/>
        </w:rPr>
        <w:t xml:space="preserve">Additionally, a plot of the comb weight showed that there were differences in comb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weight</w:t>
      </w:r>
      <w:r w:rsidRPr="00122C27">
        <w:rPr>
          <w:rFonts w:ascii="Times New Roman" w:eastAsia="Times New Roman" w:hAnsi="Times New Roman" w:cs="Times New Roman"/>
          <w:sz w:val="24"/>
          <w:szCs w:val="24"/>
          <w:highlight w:val="white"/>
          <w:lang w:val="en-GB"/>
        </w:rPr>
        <w:t xml:space="preserve"> and in its frequency b</w:t>
      </w:r>
      <w:r w:rsidRPr="00122C27">
        <w:rPr>
          <w:rFonts w:ascii="Times New Roman" w:eastAsia="Times New Roman" w:hAnsi="Times New Roman" w:cs="Times New Roman"/>
          <w:sz w:val="24"/>
          <w:szCs w:val="24"/>
          <w:highlight w:val="white"/>
          <w:lang w:val="en-GB"/>
        </w:rPr>
        <w:t>etween</w:t>
      </w:r>
      <w:r w:rsidRPr="00122C27">
        <w:rPr>
          <w:rFonts w:ascii="Times New Roman" w:eastAsia="Times New Roman" w:hAnsi="Times New Roman" w:cs="Times New Roman"/>
          <w:sz w:val="24"/>
          <w:szCs w:val="24"/>
          <w:highlight w:val="white"/>
          <w:lang w:val="en-GB"/>
        </w:rPr>
        <w:t xml:space="preserve"> sexes (figure </w:t>
      </w:r>
      <w:r w:rsidRPr="00122C27">
        <w:rPr>
          <w:rFonts w:ascii="Times New Roman" w:eastAsia="Times New Roman" w:hAnsi="Times New Roman" w:cs="Times New Roman"/>
          <w:sz w:val="24"/>
          <w:szCs w:val="24"/>
          <w:highlight w:val="white"/>
          <w:lang w:val="en-GB"/>
        </w:rPr>
        <w:t>2</w:t>
      </w:r>
      <w:r w:rsidRPr="00122C27">
        <w:rPr>
          <w:rFonts w:ascii="Times New Roman" w:eastAsia="Times New Roman" w:hAnsi="Times New Roman" w:cs="Times New Roman"/>
          <w:sz w:val="24"/>
          <w:szCs w:val="24"/>
          <w:highlight w:val="white"/>
          <w:lang w:val="en-GB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Within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sexes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normally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distribut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496A" w:rsidRDefault="0002496A">
      <w:pPr>
        <w:spacing w:line="360" w:lineRule="auto"/>
        <w:jc w:val="both"/>
      </w:pPr>
    </w:p>
    <w:p w:rsidR="0002496A" w:rsidRDefault="00692665">
      <w:pPr>
        <w:spacing w:line="360" w:lineRule="auto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3688080" cy="2801463"/>
            <wp:effectExtent l="0" t="0" r="7620" b="0"/>
            <wp:docPr id="4" name="image10.png" descr="Sex_Combg_Differ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ex_Combg_Differenc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2504" cy="2804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496A" w:rsidRPr="00122C27" w:rsidRDefault="00692665">
      <w:pPr>
        <w:spacing w:line="360" w:lineRule="auto"/>
        <w:rPr>
          <w:lang w:val="en-GB"/>
        </w:rPr>
      </w:pP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Figure 2: Distribu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tion of the comb weight in males (1) and females (2)</w:t>
      </w:r>
    </w:p>
    <w:p w:rsidR="0002496A" w:rsidRPr="00122C27" w:rsidRDefault="0002496A">
      <w:pPr>
        <w:spacing w:line="360" w:lineRule="auto"/>
        <w:rPr>
          <w:lang w:val="en-GB"/>
        </w:rPr>
      </w:pPr>
    </w:p>
    <w:p w:rsidR="0002496A" w:rsidRPr="00122C27" w:rsidRDefault="00692665">
      <w:pPr>
        <w:spacing w:line="360" w:lineRule="auto"/>
        <w:jc w:val="both"/>
        <w:rPr>
          <w:lang w:val="en-GB"/>
        </w:rPr>
      </w:pP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We used the Lander-Green algorithm in R to estimate the genetic map (figure 3). All the markers were located on chromosome 3 and chromosome 5. The maximum genetic distance between neighboured markers wa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 2 </w:t>
      </w:r>
      <w:proofErr w:type="spellStart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cM.</w:t>
      </w:r>
      <w:proofErr w:type="spellEnd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As we had some genotype information for all the markers we did not delete any.</w:t>
      </w:r>
    </w:p>
    <w:p w:rsidR="0002496A" w:rsidRDefault="00692665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>
            <wp:extent cx="5860066" cy="3025140"/>
            <wp:effectExtent l="0" t="0" r="7620" b="3810"/>
            <wp:docPr id="8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3477" cy="3026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496A" w:rsidRPr="00122C27" w:rsidRDefault="00692665">
      <w:pPr>
        <w:spacing w:line="240" w:lineRule="auto"/>
        <w:rPr>
          <w:lang w:val="en-GB"/>
        </w:rPr>
      </w:pP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Figure 3: Genetic map with the label of the markers and their positions in the chromosomes 3 and 5</w:t>
      </w:r>
    </w:p>
    <w:p w:rsidR="0002496A" w:rsidRPr="00122C27" w:rsidRDefault="0002496A">
      <w:pPr>
        <w:spacing w:line="360" w:lineRule="auto"/>
        <w:jc w:val="both"/>
        <w:rPr>
          <w:lang w:val="en-GB"/>
        </w:rPr>
      </w:pPr>
    </w:p>
    <w:p w:rsidR="0002496A" w:rsidRDefault="006926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We continued by analysing the pairwise recombination fractions and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the logarithm of odds (</w:t>
      </w:r>
      <w:proofErr w:type="spellStart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LOD</w:t>
      </w:r>
      <w:proofErr w:type="spellEnd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) scores of our data, looking for abnormalities (figure 4). We found that the marker 7 in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>the chromosome 3 and the marker 34 in the chromosome 5 showed a very low recombination rate. We expected this recombination rate to be high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er, since these two markers were located in two different chromosomes. Furthermore, marker 3 on chromosome 3 had a high recombination rate with its neighbours.</w:t>
      </w:r>
    </w:p>
    <w:p w:rsidR="00EA1933" w:rsidRPr="00122C27" w:rsidRDefault="00EA1933">
      <w:pPr>
        <w:spacing w:line="360" w:lineRule="auto"/>
        <w:jc w:val="both"/>
        <w:rPr>
          <w:lang w:val="en-GB"/>
        </w:rPr>
      </w:pPr>
    </w:p>
    <w:p w:rsidR="0002496A" w:rsidRDefault="00122C27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2618740</wp:posOffset>
                </wp:positionV>
                <wp:extent cx="243840" cy="220980"/>
                <wp:effectExtent l="0" t="0" r="22860" b="2667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17634" id="Rechteck 10" o:spid="_x0000_s1026" style="position:absolute;margin-left:48pt;margin-top:206.2pt;width:19.2pt;height: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PmlQIAAIUFAAAOAAAAZHJzL2Uyb0RvYy54bWysVEtv2zAMvg/YfxB0X+1k6dYGdYqgRYYB&#10;RVv0gZ4VWYqNyaJGKXGyXz9KfjToih2G5eCIIvmR/Ejx4nLfGLZT6GuwBZ+c5JwpK6Gs7abgz0+r&#10;T2ec+SBsKQxYVfCD8vxy8fHDRevmagoVmFIhIxDr560reBWCm2eZl5VqhD8BpywpNWAjAom4yUoU&#10;LaE3Jpvm+ZesBSwdglTe0+11p+SLhK+1kuFOa68CMwWn3EL6Yvqu4zdbXIj5BoWratmnIf4hi0bU&#10;loKOUNciCLbF+g+oppYIHnQ4kdBkoHUtVaqBqpnkb6p5rIRTqRYix7uRJv//YOXt7h5ZXVLviB4r&#10;GurRg5JVUPIHoyvip3V+TmaP7h57ydMxFrvX2MR/KoPtE6eHkVO1D0zS5XT2+WxG0JJU02l+fpYw&#10;s1dnhz58U9CweCg4UssSk2J34wMFJNPBJMaysKqNSW0zNl54MHUZ75KAm/WVQbYT1O/VKqdfLIEw&#10;jsxIiq5ZLKwrJZ3CwaiIYeyD0kRJTD5lkoZRjbBCSmXDpFNVolRdtNPjYHF8o0cKnQAjsqYsR+we&#10;YLDsQAbsLufePrqqNMujc/63xDrn0SNFBhtG56a2gO8BGKqqj9zZDyR11ESW1lAeaGAQupfknVzV&#10;1Lcb4cO9QHo61GpaB+GOPtpAW3DoT5xVgL/eu4/2NNGk5aylp1hw/3MrUHFmvlua9fPJLE5QSMLs&#10;9OuUBDzWrI81dttcAXV/QovHyXSM9sEMR43QvNDWWMaopBJWUuyCy4CDcBW6FUF7R6rlMpnRe3Ui&#10;3NhHJyN4ZDXO5dP+RaDrhzfQ1N/C8GzF/M0Md7bR08JyG0DXacBfee35preeBqffS3GZHMvJ6nV7&#10;Ln4DAAD//wMAUEsDBBQABgAIAAAAIQCB3wMD3gAAAAoBAAAPAAAAZHJzL2Rvd25yZXYueG1sTI/N&#10;TsMwEITvSLyDtUjcqJMQtRDiVAjREwegVOLqxksS1V5bsdOGt2d7orf9mZ39pl7PzoojjnHwpCBf&#10;ZCCQWm8G6hTsvjZ3DyBi0mS09YQKfjHCurm+qnVl/Ik+8bhNnWATipVW0KcUKilj26PTceEDEu9+&#10;/Oh04nbspBn1ic2dlUWWLaXTA/GHXgd86bE9bCfHGMF+BDO9H3bf+bwZX81b1N1Kqdub+fkJRMI5&#10;/YvhjM830DDT3k9korAKHpccJSko86IEcRbcl1zseVKuCpBNLS8jNH8AAAD//wMAUEsBAi0AFAAG&#10;AAgAAAAhALaDOJL+AAAA4QEAABMAAAAAAAAAAAAAAAAAAAAAAFtDb250ZW50X1R5cGVzXS54bWxQ&#10;SwECLQAUAAYACAAAACEAOP0h/9YAAACUAQAACwAAAAAAAAAAAAAAAAAvAQAAX3JlbHMvLnJlbHNQ&#10;SwECLQAUAAYACAAAACEATihD5pUCAACFBQAADgAAAAAAAAAAAAAAAAAuAgAAZHJzL2Uyb0RvYy54&#10;bWxQSwECLQAUAAYACAAAACEAgd8DA9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1292860</wp:posOffset>
                </wp:positionV>
                <wp:extent cx="198120" cy="167640"/>
                <wp:effectExtent l="0" t="0" r="11430" b="2286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E6983" id="Rechteck 9" o:spid="_x0000_s1026" style="position:absolute;margin-left:73.2pt;margin-top:101.8pt;width:15.6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pglgIAAIMFAAAOAAAAZHJzL2Uyb0RvYy54bWysVEtv2zAMvg/YfxB0Xx0HfSWoUwQtMgwo&#10;2qLt0LMiS7ExWdQoJU7260fJjwZdscOwHBxRJD+SHyleXe8bw3YKfQ224PnJhDNlJZS13RT8+8vq&#10;yyVnPghbCgNWFfygPL9efP501bq5mkIFplTICMT6eesKXoXg5lnmZaUa4U/AKUtKDdiIQCJushJF&#10;S+iNyaaTyXnWApYOQSrv6fa2U/JFwtdayfCgtVeBmYJTbiF9MX3X8ZstrsR8g8JVtezTEP+QRSNq&#10;S0FHqFsRBNti/QdUU0sEDzqcSGgy0LqWKtVA1eSTd9U8V8KpVAuR491Ik/9/sPJ+94isLgs+48yK&#10;hlr0pGQVlPzBZpGd1vk5GT27R+wlT8dY6l5jE/+pCLZPjB5GRtU+MEmX+ewynxLvklT5+cX5aWI8&#10;e3N26MNXBQ2Lh4IjNSzxKHZ3PlBAMh1MYiwLq9qY1DRj44UHU5fxLgm4Wd8YZDtB3V6tJvSLJRDG&#10;kRlJ0TWLhXWlpFM4GBUxjH1Smgih5KcpkzSKaoQVUiob8k5ViVJ10c6Og8XhjR4pdAKMyJqyHLF7&#10;gMGyAxmwu5x7++iq0iSPzpO/JdY5jx4pMtgwOje1BfwIwFBVfeTOfiCpoyaytIbyQOOC0L0j7+Sq&#10;pr7dCR8eBdLDoVbTMggP9NEG2oJDf+KsAvz10X20p3kmLWctPcSC+59bgYoz883SpM/yU5oaFpJw&#10;enYRxwmPNetjjd02N0Ddz2ntOJmO0T6Y4agRmlfaGcsYlVTCSopdcBlwEG5CtyBo60i1XCYzeq1O&#10;hDv77GQEj6zGuXzZvwp0/fAGmvp7GB6tmL+b4c42elpYbgPoOg34G6893/TS0+D0WymukmM5Wb3t&#10;zsVvAAAA//8DAFBLAwQUAAYACAAAACEA9BFtZt4AAAALAQAADwAAAGRycy9kb3ducmV2LnhtbEyP&#10;T0/DMAzF70h8h8hI3FiyP2pR13RCiJ04ANskrlmTtdUSJ0rSrXx7vBPc/Ozn55/rzeQsu5iYBo8S&#10;5jMBzGDr9YCdhMN++/QMLGWFWlmPRsKPSbBp7u9qVWl/xS9z2eWOUQimSknocw4V56ntjVNp5oNB&#10;mp18dCqTjB3XUV0p3Fm+EKLgTg1IF3oVzGtv2vNudIQR7GfQ48f58D2ftvFNvyfVlVI+Pkwva2DZ&#10;TPnPDDd82oGGmI5+RJ2YJb0qVmSVsBDLAtjNUZZUHKmzFAJ4U/P/PzS/AAAA//8DAFBLAQItABQA&#10;BgAIAAAAIQC2gziS/gAAAOEBAAATAAAAAAAAAAAAAAAAAAAAAABbQ29udGVudF9UeXBlc10ueG1s&#10;UEsBAi0AFAAGAAgAAAAhADj9If/WAAAAlAEAAAsAAAAAAAAAAAAAAAAALwEAAF9yZWxzLy5yZWxz&#10;UEsBAi0AFAAGAAgAAAAhAO8QWmCWAgAAgwUAAA4AAAAAAAAAAAAAAAAALgIAAGRycy9lMm9Eb2Mu&#10;eG1sUEsBAi0AFAAGAAgAAAAhAPQRbWbeAAAACwEAAA8AAAAAAAAAAAAAAAAA8AQAAGRycy9kb3du&#10;cmV2LnhtbFBLBQYAAAAABAAEAPMAAAD7BQAAAAA=&#10;" filled="f" strokecolor="red" strokeweight="1pt"/>
            </w:pict>
          </mc:Fallback>
        </mc:AlternateContent>
      </w:r>
      <w:r w:rsidR="00692665">
        <w:rPr>
          <w:noProof/>
        </w:rPr>
        <w:drawing>
          <wp:inline distT="114300" distB="114300" distL="114300" distR="114300">
            <wp:extent cx="3963600" cy="3578400"/>
            <wp:effectExtent l="0" t="0" r="0" b="3175"/>
            <wp:docPr id="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357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496A" w:rsidRPr="00122C27" w:rsidRDefault="006926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Figure 4: Pairwise </w:t>
      </w:r>
      <w:proofErr w:type="spellStart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recombinations</w:t>
      </w:r>
      <w:proofErr w:type="spellEnd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LOD</w:t>
      </w:r>
      <w:proofErr w:type="spellEnd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scores for the markers in</w:t>
      </w:r>
      <w:r w:rsidR="00122C27">
        <w:rPr>
          <w:lang w:val="en-GB"/>
        </w:rPr>
        <w:t xml:space="preserve"> </w:t>
      </w:r>
      <w:r w:rsid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 chromosomes 3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and </w:t>
      </w:r>
      <w:r w:rsid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chromosome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5;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r</w:t>
      </w:r>
      <w:r w:rsid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ed frames indicate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recombination abnormalities</w:t>
      </w:r>
    </w:p>
    <w:p w:rsidR="0002496A" w:rsidRPr="00122C27" w:rsidRDefault="0002496A">
      <w:pPr>
        <w:spacing w:line="360" w:lineRule="auto"/>
        <w:jc w:val="both"/>
        <w:rPr>
          <w:lang w:val="en-GB"/>
        </w:rPr>
      </w:pPr>
    </w:p>
    <w:p w:rsidR="0002496A" w:rsidRPr="00122C27" w:rsidRDefault="00692665">
      <w:pPr>
        <w:spacing w:line="360" w:lineRule="auto"/>
        <w:jc w:val="both"/>
        <w:rPr>
          <w:lang w:val="en-GB"/>
        </w:rPr>
      </w:pP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Afterwards, we calculated a new genetic map using the recombination scores. Although the new map showed that most of the markers were homogeneously distributed in the chromosomes, there was one marker in chromosome 3 with a distance of 1000 </w:t>
      </w:r>
      <w:proofErr w:type="spellStart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cM</w:t>
      </w:r>
      <w:proofErr w:type="spellEnd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to its neigh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bouring markers. We did not expect this distance, so we continued our analysis by looking for genotyping errors.</w:t>
      </w:r>
      <w:r w:rsidR="00EA1933">
        <w:rPr>
          <w:lang w:val="en-GB"/>
        </w:rPr>
        <w:t xml:space="preserve">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We found a possible genotyping error in the third marker on chromosome 3 (Gg_rs15777012). Based on this, we considered that this marker was not well genotyped and the distances could not be estimated properly, thus we deleted it. The markers on the chromos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ome 5 showed none of these problematics so we kept them all. Afterwards we calculated a new genetic map, shown in figure 5.</w:t>
      </w:r>
    </w:p>
    <w:p w:rsidR="0002496A" w:rsidRDefault="00692665">
      <w:pPr>
        <w:spacing w:line="360" w:lineRule="auto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4106145" cy="2811780"/>
            <wp:effectExtent l="0" t="0" r="8890" b="7620"/>
            <wp:docPr id="2" name="image07.png" descr="new genetic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new genetic map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2138" cy="2815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496A" w:rsidRPr="00122C27" w:rsidRDefault="00692665">
      <w:pPr>
        <w:spacing w:line="240" w:lineRule="auto"/>
        <w:rPr>
          <w:lang w:val="en-GB"/>
        </w:rPr>
      </w:pP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Figure 5: New genetic map after deleting the marker Gg_rs15777012</w:t>
      </w:r>
    </w:p>
    <w:p w:rsidR="0002496A" w:rsidRPr="00122C27" w:rsidRDefault="0002496A">
      <w:pPr>
        <w:spacing w:line="360" w:lineRule="auto"/>
        <w:jc w:val="both"/>
        <w:rPr>
          <w:lang w:val="en-GB"/>
        </w:rPr>
      </w:pPr>
    </w:p>
    <w:p w:rsidR="0002496A" w:rsidRDefault="006926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We then continued with the quantitative trait loci (QTL) analy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sis. First we assessed whether sex and weight influenced comb weight (Pearson correlation weight </w:t>
      </w:r>
      <w:r w:rsidRPr="00122C27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vs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comb weight; r=0.739, p-value &lt;0.001, t-test comb weight </w:t>
      </w:r>
      <w:r w:rsidRPr="00122C27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vs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sex; t=38.176, p-value &lt; 0.001). As it can be seen for the results of the Pearson correlation an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 the t-test, these two factors (sex and weight) affected the comb weight. Therefore, we combined these data in one single vector and added </w:t>
      </w:r>
      <w:r w:rsidR="00EA1933">
        <w:rPr>
          <w:rFonts w:ascii="Times New Roman" w:eastAsia="Times New Roman" w:hAnsi="Times New Roman" w:cs="Times New Roman"/>
          <w:sz w:val="24"/>
          <w:szCs w:val="24"/>
          <w:lang w:val="en-GB"/>
        </w:rPr>
        <w:t>it to the model as a covariate.</w:t>
      </w:r>
    </w:p>
    <w:p w:rsidR="00EA1933" w:rsidRPr="00122C27" w:rsidRDefault="00EA1933">
      <w:pPr>
        <w:spacing w:line="360" w:lineRule="auto"/>
        <w:jc w:val="both"/>
        <w:rPr>
          <w:lang w:val="en-GB"/>
        </w:rPr>
      </w:pPr>
    </w:p>
    <w:p w:rsidR="0002496A" w:rsidRPr="00122C27" w:rsidRDefault="00692665">
      <w:pPr>
        <w:spacing w:line="360" w:lineRule="auto"/>
        <w:jc w:val="both"/>
        <w:rPr>
          <w:lang w:val="en-GB"/>
        </w:rPr>
      </w:pP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 order to detect possible QTL candidates, we first performed a single QTL genome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scan. To verify our results we applied three different methods, as shown in figure 6 (EM algorithm (black), Haley-Knott regression (blue) and multiple imputation method of Sen and Churchill (red)).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All three methods accomplished similar results: they indic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ated two high </w:t>
      </w:r>
      <w:proofErr w:type="spellStart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LOD</w:t>
      </w:r>
      <w:proofErr w:type="spellEnd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scores, corresponding to the markers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Gg_rs15749695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proofErr w:type="gramStart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chr</w:t>
      </w:r>
      <w:proofErr w:type="gramEnd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proofErr w:type="spellEnd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3) and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c5.loc360 (</w:t>
      </w:r>
      <w:proofErr w:type="spellStart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chr.</w:t>
      </w:r>
      <w:proofErr w:type="spellEnd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5)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, that exceeded the threshold set at 3.08 by the permutation test (</w:t>
      </w:r>
      <w:proofErr w:type="spellStart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LOD</w:t>
      </w:r>
      <w:proofErr w:type="spellEnd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scores: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21.45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and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5.84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, respectively). The similarity of all methods allowed us the a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ssumption of detecting QTLs at these chromosome positions.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We could ignore t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he additional peak of the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EM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algorithm because it was likely to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be caused by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 lack of markers in this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area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:rsidR="0002496A" w:rsidRPr="00122C27" w:rsidRDefault="0002496A">
      <w:pPr>
        <w:spacing w:line="360" w:lineRule="auto"/>
        <w:jc w:val="both"/>
        <w:rPr>
          <w:lang w:val="en-GB"/>
        </w:rPr>
      </w:pPr>
    </w:p>
    <w:p w:rsidR="0002496A" w:rsidRPr="00122C27" w:rsidRDefault="0002496A">
      <w:pPr>
        <w:spacing w:line="360" w:lineRule="auto"/>
        <w:jc w:val="both"/>
        <w:rPr>
          <w:lang w:val="en-GB"/>
        </w:rPr>
      </w:pPr>
    </w:p>
    <w:p w:rsidR="0002496A" w:rsidRDefault="00692665">
      <w:pPr>
        <w:spacing w:line="360" w:lineRule="auto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4669200" cy="3204000"/>
            <wp:effectExtent l="0" t="0" r="0" b="0"/>
            <wp:docPr id="5" name="image11.png" descr="three markers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three markers new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9200" cy="320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496A" w:rsidRPr="00122C27" w:rsidRDefault="00692665">
      <w:pPr>
        <w:spacing w:line="240" w:lineRule="auto"/>
        <w:rPr>
          <w:lang w:val="en-GB"/>
        </w:rPr>
      </w:pP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Figure 6: Single QTL genome scan using the EM algorithm (black), Ha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ley-Knott regression (blue) and multiple imputation method of Sen and Churchill (red) for chromosome 3 and 5.</w:t>
      </w:r>
    </w:p>
    <w:p w:rsidR="0002496A" w:rsidRPr="00122C27" w:rsidRDefault="00692665">
      <w:pPr>
        <w:spacing w:line="240" w:lineRule="auto"/>
        <w:rPr>
          <w:lang w:val="en-GB"/>
        </w:rPr>
      </w:pP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 threshold was set at a </w:t>
      </w:r>
      <w:proofErr w:type="spellStart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LOD</w:t>
      </w:r>
      <w:proofErr w:type="spellEnd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score of 3.08</w:t>
      </w:r>
    </w:p>
    <w:p w:rsidR="0002496A" w:rsidRPr="00122C27" w:rsidRDefault="00692665">
      <w:pPr>
        <w:spacing w:line="360" w:lineRule="auto"/>
        <w:jc w:val="both"/>
        <w:rPr>
          <w:lang w:val="en-GB"/>
        </w:rPr>
      </w:pP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:rsidR="0002496A" w:rsidRPr="00122C27" w:rsidRDefault="00692665">
      <w:pPr>
        <w:spacing w:line="360" w:lineRule="auto"/>
        <w:jc w:val="both"/>
        <w:rPr>
          <w:lang w:val="en-GB"/>
        </w:rPr>
      </w:pP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Table 1 showed the estimated additive and dominant genetic effects of the QTLs at the two positions a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nd their interaction within different genotypes (table 1 + figure 7). The comb weight depended on the combination of the genotypes in QTL 1 and QTL 2.</w:t>
      </w:r>
    </w:p>
    <w:p w:rsidR="0002496A" w:rsidRPr="00122C27" w:rsidRDefault="0002496A">
      <w:pPr>
        <w:spacing w:line="360" w:lineRule="auto"/>
        <w:jc w:val="both"/>
        <w:rPr>
          <w:lang w:val="en-GB"/>
        </w:rPr>
      </w:pPr>
    </w:p>
    <w:p w:rsidR="0002496A" w:rsidRPr="00122C27" w:rsidRDefault="00692665" w:rsidP="00A51F49">
      <w:pPr>
        <w:spacing w:line="240" w:lineRule="auto"/>
        <w:rPr>
          <w:lang w:val="en-GB"/>
        </w:rPr>
      </w:pP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Table 1. Estimated additive</w:t>
      </w:r>
      <w:r w:rsidR="00A51F4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(a)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dominance </w:t>
      </w:r>
      <w:r w:rsidR="00A51F4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(d)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effects of the QTLs</w:t>
      </w:r>
      <w:r w:rsidR="00A51F4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A51F49">
        <w:rPr>
          <w:rFonts w:ascii="Times New Roman" w:eastAsia="Times New Roman" w:hAnsi="Times New Roman" w:cs="Times New Roman"/>
          <w:sz w:val="24"/>
          <w:szCs w:val="24"/>
          <w:lang w:val="en-GB"/>
        </w:rPr>
        <w:t>chromosome</w:t>
      </w:r>
      <w:proofErr w:type="gramStart"/>
      <w:r w:rsidR="00A51F49">
        <w:rPr>
          <w:rFonts w:ascii="Times New Roman" w:eastAsia="Times New Roman" w:hAnsi="Times New Roman" w:cs="Times New Roman"/>
          <w:sz w:val="24"/>
          <w:szCs w:val="24"/>
          <w:lang w:val="en-GB"/>
        </w:rPr>
        <w:t>:position</w:t>
      </w:r>
      <w:proofErr w:type="spellEnd"/>
      <w:proofErr w:type="gramEnd"/>
      <w:r w:rsidR="00A51F49">
        <w:rPr>
          <w:rFonts w:ascii="Times New Roman" w:eastAsia="Times New Roman" w:hAnsi="Times New Roman" w:cs="Times New Roman"/>
          <w:sz w:val="24"/>
          <w:szCs w:val="24"/>
          <w:lang w:val="en-GB"/>
        </w:rPr>
        <w:t>)</w:t>
      </w:r>
      <w:r w:rsidR="002C73D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given with standard error (SE) and t-value for significance</w:t>
      </w:r>
    </w:p>
    <w:tbl>
      <w:tblPr>
        <w:tblStyle w:val="Tabellenraster"/>
        <w:tblW w:w="0" w:type="auto"/>
        <w:tblBorders>
          <w:left w:val="none" w:sz="0" w:space="0" w:color="auto"/>
          <w:bottom w:val="single" w:sz="8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22C27" w:rsidTr="002C73D3"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:rsidR="00122C27" w:rsidRPr="00122C27" w:rsidRDefault="00122C27" w:rsidP="002C73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:rsidR="00122C27" w:rsidRPr="00521452" w:rsidRDefault="00122C27" w:rsidP="002C73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1452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="002C73D3">
              <w:rPr>
                <w:rFonts w:ascii="Times New Roman" w:hAnsi="Times New Roman" w:cs="Times New Roman"/>
                <w:sz w:val="24"/>
                <w:szCs w:val="24"/>
              </w:rPr>
              <w:t>imate</w:t>
            </w:r>
            <w:proofErr w:type="spellEnd"/>
          </w:p>
        </w:tc>
        <w:tc>
          <w:tcPr>
            <w:tcW w:w="2266" w:type="dxa"/>
            <w:tcBorders>
              <w:top w:val="single" w:sz="12" w:space="0" w:color="auto"/>
              <w:bottom w:val="single" w:sz="8" w:space="0" w:color="auto"/>
            </w:tcBorders>
          </w:tcPr>
          <w:p w:rsidR="00122C27" w:rsidRPr="00521452" w:rsidRDefault="00122C27" w:rsidP="002C73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452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2266" w:type="dxa"/>
            <w:tcBorders>
              <w:top w:val="single" w:sz="12" w:space="0" w:color="auto"/>
              <w:bottom w:val="single" w:sz="8" w:space="0" w:color="auto"/>
            </w:tcBorders>
          </w:tcPr>
          <w:p w:rsidR="00122C27" w:rsidRPr="00521452" w:rsidRDefault="00122C27" w:rsidP="002C73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45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22C27" w:rsidTr="002C73D3">
        <w:tc>
          <w:tcPr>
            <w:tcW w:w="2265" w:type="dxa"/>
            <w:tcBorders>
              <w:top w:val="single" w:sz="8" w:space="0" w:color="auto"/>
              <w:bottom w:val="nil"/>
            </w:tcBorders>
          </w:tcPr>
          <w:p w:rsidR="00122C27" w:rsidRPr="00521452" w:rsidRDefault="00122C27" w:rsidP="002C73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1452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  <w:proofErr w:type="spellEnd"/>
          </w:p>
        </w:tc>
        <w:tc>
          <w:tcPr>
            <w:tcW w:w="2265" w:type="dxa"/>
            <w:tcBorders>
              <w:top w:val="single" w:sz="8" w:space="0" w:color="auto"/>
              <w:bottom w:val="nil"/>
            </w:tcBorders>
          </w:tcPr>
          <w:p w:rsidR="00122C27" w:rsidRPr="00521452" w:rsidRDefault="00122C27" w:rsidP="002C73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4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14.7781</w:t>
            </w:r>
          </w:p>
        </w:tc>
        <w:tc>
          <w:tcPr>
            <w:tcW w:w="2266" w:type="dxa"/>
            <w:tcBorders>
              <w:top w:val="single" w:sz="8" w:space="0" w:color="auto"/>
              <w:bottom w:val="nil"/>
            </w:tcBorders>
          </w:tcPr>
          <w:p w:rsidR="00122C27" w:rsidRPr="00521452" w:rsidRDefault="00122C27" w:rsidP="002C73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4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0.6996</w:t>
            </w:r>
          </w:p>
        </w:tc>
        <w:tc>
          <w:tcPr>
            <w:tcW w:w="2266" w:type="dxa"/>
            <w:tcBorders>
              <w:top w:val="single" w:sz="8" w:space="0" w:color="auto"/>
              <w:bottom w:val="nil"/>
            </w:tcBorders>
          </w:tcPr>
          <w:p w:rsidR="00122C27" w:rsidRPr="00521452" w:rsidRDefault="00122C27" w:rsidP="002C73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4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21.122</w:t>
            </w:r>
          </w:p>
        </w:tc>
      </w:tr>
      <w:tr w:rsidR="00122C27" w:rsidTr="002C73D3">
        <w:tc>
          <w:tcPr>
            <w:tcW w:w="2265" w:type="dxa"/>
            <w:tcBorders>
              <w:top w:val="nil"/>
              <w:bottom w:val="nil"/>
            </w:tcBorders>
          </w:tcPr>
          <w:p w:rsidR="00122C27" w:rsidRPr="00521452" w:rsidRDefault="00A51F49" w:rsidP="002C73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 3:15.8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:rsidR="00122C27" w:rsidRPr="00521452" w:rsidRDefault="00122C27" w:rsidP="002C73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4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4.0848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:rsidR="00122C27" w:rsidRPr="00521452" w:rsidRDefault="00122C27" w:rsidP="002C73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4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0.9936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:rsidR="00122C27" w:rsidRPr="00521452" w:rsidRDefault="00122C27" w:rsidP="002C73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4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4.111</w:t>
            </w:r>
          </w:p>
        </w:tc>
      </w:tr>
      <w:tr w:rsidR="00122C27" w:rsidTr="002C73D3">
        <w:tc>
          <w:tcPr>
            <w:tcW w:w="2265" w:type="dxa"/>
            <w:tcBorders>
              <w:top w:val="nil"/>
              <w:bottom w:val="nil"/>
            </w:tcBorders>
          </w:tcPr>
          <w:p w:rsidR="00122C27" w:rsidRPr="00521452" w:rsidRDefault="00A51F49" w:rsidP="00A51F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 3:</w:t>
            </w:r>
            <w:r w:rsidR="00122C27" w:rsidRPr="005214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15.8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:rsidR="00122C27" w:rsidRPr="00521452" w:rsidRDefault="00122C27" w:rsidP="002C73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4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-2.2537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:rsidR="00122C27" w:rsidRPr="00521452" w:rsidRDefault="00122C27" w:rsidP="002C73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4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1.4016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:rsidR="00122C27" w:rsidRPr="00521452" w:rsidRDefault="00122C27" w:rsidP="002C73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4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-1.608</w:t>
            </w:r>
          </w:p>
        </w:tc>
      </w:tr>
      <w:tr w:rsidR="00122C27" w:rsidTr="002C73D3">
        <w:tc>
          <w:tcPr>
            <w:tcW w:w="2265" w:type="dxa"/>
            <w:tcBorders>
              <w:top w:val="nil"/>
              <w:bottom w:val="nil"/>
            </w:tcBorders>
          </w:tcPr>
          <w:p w:rsidR="00122C27" w:rsidRPr="00521452" w:rsidRDefault="00A51F49" w:rsidP="00A51F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 5:</w:t>
            </w:r>
            <w:r w:rsidR="00122C27" w:rsidRPr="005214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361.0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:rsidR="00122C27" w:rsidRPr="00521452" w:rsidRDefault="00122C27" w:rsidP="002C73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4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-1.0385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:rsidR="00122C27" w:rsidRPr="00521452" w:rsidRDefault="00122C27" w:rsidP="002C73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4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1.0188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:rsidR="00122C27" w:rsidRPr="00521452" w:rsidRDefault="00122C27" w:rsidP="002C73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4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-1.019</w:t>
            </w:r>
          </w:p>
        </w:tc>
      </w:tr>
      <w:tr w:rsidR="00122C27" w:rsidTr="002C73D3">
        <w:tc>
          <w:tcPr>
            <w:tcW w:w="2265" w:type="dxa"/>
            <w:tcBorders>
              <w:top w:val="nil"/>
              <w:bottom w:val="single" w:sz="12" w:space="0" w:color="auto"/>
            </w:tcBorders>
          </w:tcPr>
          <w:p w:rsidR="00122C27" w:rsidRPr="00521452" w:rsidRDefault="00A51F49" w:rsidP="00A51F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 5:</w:t>
            </w:r>
            <w:r w:rsidR="00122C27" w:rsidRPr="005214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361.0</w:t>
            </w:r>
          </w:p>
        </w:tc>
        <w:tc>
          <w:tcPr>
            <w:tcW w:w="2265" w:type="dxa"/>
            <w:tcBorders>
              <w:top w:val="nil"/>
              <w:bottom w:val="single" w:sz="12" w:space="0" w:color="auto"/>
            </w:tcBorders>
          </w:tcPr>
          <w:p w:rsidR="00122C27" w:rsidRPr="00521452" w:rsidRDefault="00122C27" w:rsidP="002C73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4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-3.0465</w:t>
            </w:r>
          </w:p>
        </w:tc>
        <w:tc>
          <w:tcPr>
            <w:tcW w:w="2266" w:type="dxa"/>
            <w:tcBorders>
              <w:top w:val="nil"/>
              <w:bottom w:val="single" w:sz="12" w:space="0" w:color="auto"/>
            </w:tcBorders>
          </w:tcPr>
          <w:p w:rsidR="00122C27" w:rsidRPr="00521452" w:rsidRDefault="00122C27" w:rsidP="002C73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4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1.4539</w:t>
            </w:r>
          </w:p>
        </w:tc>
        <w:tc>
          <w:tcPr>
            <w:tcW w:w="2266" w:type="dxa"/>
            <w:tcBorders>
              <w:top w:val="nil"/>
              <w:bottom w:val="single" w:sz="12" w:space="0" w:color="auto"/>
            </w:tcBorders>
          </w:tcPr>
          <w:p w:rsidR="00122C27" w:rsidRPr="00521452" w:rsidRDefault="00122C27" w:rsidP="002C73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4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-2.095</w:t>
            </w:r>
          </w:p>
        </w:tc>
      </w:tr>
    </w:tbl>
    <w:p w:rsidR="0002496A" w:rsidRPr="00122C27" w:rsidRDefault="0002496A">
      <w:pPr>
        <w:spacing w:line="360" w:lineRule="auto"/>
        <w:jc w:val="both"/>
        <w:rPr>
          <w:lang w:val="en-GB"/>
        </w:rPr>
      </w:pPr>
    </w:p>
    <w:p w:rsidR="0002496A" w:rsidRDefault="00692665">
      <w:pPr>
        <w:spacing w:line="360" w:lineRule="auto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4124095" cy="3116580"/>
            <wp:effectExtent l="0" t="0" r="0" b="7620"/>
            <wp:docPr id="6" name="image13.png" descr="Screen Shot 2016-12-15 at 12.43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Screen Shot 2016-12-15 at 12.43.2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7070" cy="3118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496A" w:rsidRDefault="00692665" w:rsidP="00A51F49">
      <w:pPr>
        <w:spacing w:line="240" w:lineRule="auto"/>
        <w:jc w:val="both"/>
        <w:rPr>
          <w:lang w:val="en-GB"/>
        </w:rPr>
      </w:pP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Figure 7: Influen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ce of the interaction of the additive and dominance effects of the two QTLs on the comb weight; A and B indicate the parental lineage</w:t>
      </w:r>
    </w:p>
    <w:p w:rsidR="00A51F49" w:rsidRPr="00122C27" w:rsidRDefault="00A51F49">
      <w:pPr>
        <w:spacing w:line="360" w:lineRule="auto"/>
        <w:jc w:val="both"/>
        <w:rPr>
          <w:lang w:val="en-GB"/>
        </w:rPr>
      </w:pPr>
    </w:p>
    <w:p w:rsidR="000F1F96" w:rsidRPr="000F1F96" w:rsidRDefault="006926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Finally, we estimated these QTLs in the context of a multiple-QTL model. We tested the QTLs independently and combined. T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he model showed a high significance (p-value &lt;0.001). The positions of the QTLs changed from 15.8 </w:t>
      </w:r>
      <w:proofErr w:type="spellStart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cM</w:t>
      </w:r>
      <w:proofErr w:type="spellEnd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to 15.763 </w:t>
      </w:r>
      <w:proofErr w:type="spellStart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cM</w:t>
      </w:r>
      <w:proofErr w:type="spellEnd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in chromosome 3 and 361.0 </w:t>
      </w:r>
      <w:proofErr w:type="spellStart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cM</w:t>
      </w:r>
      <w:proofErr w:type="spellEnd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to 445.0 </w:t>
      </w:r>
      <w:proofErr w:type="spellStart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cM</w:t>
      </w:r>
      <w:proofErr w:type="spellEnd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in chromosome 5. We accepted these two positions as QTLs influencing the comb weight. Figure 8 showed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the final genetic map indicating the positions of the two QTLs.</w:t>
      </w:r>
    </w:p>
    <w:p w:rsidR="0002496A" w:rsidRDefault="00692665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>
            <wp:extent cx="3853878" cy="2636520"/>
            <wp:effectExtent l="0" t="0" r="0" b="0"/>
            <wp:docPr id="1" name="image04.png" descr="markermap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markermap new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4109" cy="2643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496A" w:rsidRPr="00122C27" w:rsidRDefault="00692665">
      <w:pPr>
        <w:spacing w:line="240" w:lineRule="auto"/>
        <w:rPr>
          <w:lang w:val="en-GB"/>
        </w:rPr>
      </w:pP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Figure 8: Genetic map with the positions of the found QTLs in each chromosome, indicated with red arrows</w:t>
      </w:r>
    </w:p>
    <w:p w:rsidR="0002496A" w:rsidRPr="00122C27" w:rsidRDefault="0002496A">
      <w:pPr>
        <w:spacing w:line="360" w:lineRule="auto"/>
        <w:jc w:val="both"/>
        <w:rPr>
          <w:lang w:val="en-GB"/>
        </w:rPr>
      </w:pPr>
      <w:bookmarkStart w:id="0" w:name="_gjdgxs" w:colFirst="0" w:colLast="0"/>
      <w:bookmarkEnd w:id="0"/>
    </w:p>
    <w:p w:rsidR="0002496A" w:rsidRPr="00122C27" w:rsidRDefault="00692665">
      <w:pPr>
        <w:spacing w:line="360" w:lineRule="auto"/>
        <w:jc w:val="both"/>
        <w:rPr>
          <w:lang w:val="en-GB"/>
        </w:rPr>
      </w:pPr>
      <w:r w:rsidRPr="00122C2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lastRenderedPageBreak/>
        <w:t>Discussion</w:t>
      </w:r>
    </w:p>
    <w:p w:rsidR="0002496A" w:rsidRPr="00122C27" w:rsidRDefault="0002496A">
      <w:pPr>
        <w:spacing w:line="360" w:lineRule="auto"/>
        <w:jc w:val="both"/>
        <w:rPr>
          <w:lang w:val="en-GB"/>
        </w:rPr>
      </w:pPr>
    </w:p>
    <w:p w:rsidR="0002496A" w:rsidRDefault="006926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Based on our results, we could conclude that there were two QTLs, one</w:t>
      </w:r>
      <w:bookmarkStart w:id="1" w:name="_GoBack"/>
      <w:bookmarkEnd w:id="1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in chromosome 3 and one in chromosome 5 that influenced the comb weight in these chicken. The changes we found in comb weight were purely genetic, since sex and body weight were added a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s covariates into the analysis.</w:t>
      </w:r>
      <w:r w:rsidR="000F1F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 QTL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located at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15.763 </w:t>
      </w:r>
      <w:proofErr w:type="spellStart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cM</w:t>
      </w:r>
      <w:proofErr w:type="spellEnd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(chromosome 3)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had a higher </w:t>
      </w:r>
      <w:proofErr w:type="spellStart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LOD</w:t>
      </w:r>
      <w:proofErr w:type="spellEnd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score and thus was more likely to have a higher influence than the QTL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located at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445.0 </w:t>
      </w:r>
      <w:proofErr w:type="spellStart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cM</w:t>
      </w:r>
      <w:proofErr w:type="spellEnd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(chromosome 5)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:rsidR="000F1F96" w:rsidRPr="00122C27" w:rsidRDefault="000F1F96">
      <w:pPr>
        <w:spacing w:line="360" w:lineRule="auto"/>
        <w:jc w:val="both"/>
        <w:rPr>
          <w:lang w:val="en-GB"/>
        </w:rPr>
      </w:pPr>
    </w:p>
    <w:p w:rsidR="0002496A" w:rsidRPr="00122C27" w:rsidRDefault="00692665">
      <w:pPr>
        <w:spacing w:line="360" w:lineRule="auto"/>
        <w:jc w:val="both"/>
        <w:rPr>
          <w:lang w:val="en-GB"/>
        </w:rPr>
      </w:pP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Nevertheless, further studies are needed to investiga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te how and how many genes in those regions contribute to the comb weight. For instance, an </w:t>
      </w:r>
      <w:proofErr w:type="spellStart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eQTL</w:t>
      </w:r>
      <w:proofErr w:type="spellEnd"/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mapping could be performed to detect which genes are more expressed and therefore have a bigger influen</w:t>
      </w:r>
      <w:r w:rsidR="000F1F96">
        <w:rPr>
          <w:rFonts w:ascii="Times New Roman" w:eastAsia="Times New Roman" w:hAnsi="Times New Roman" w:cs="Times New Roman"/>
          <w:sz w:val="24"/>
          <w:szCs w:val="24"/>
          <w:lang w:val="en-GB"/>
        </w:rPr>
        <w:t>ce on the phenotype of interest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. A</w:t>
      </w:r>
      <w:r w:rsidR="000F1F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knockout experiment o</w:t>
      </w:r>
      <w:r w:rsidRPr="00122C27">
        <w:rPr>
          <w:rFonts w:ascii="Times New Roman" w:eastAsia="Times New Roman" w:hAnsi="Times New Roman" w:cs="Times New Roman"/>
          <w:sz w:val="24"/>
          <w:szCs w:val="24"/>
          <w:lang w:val="en-GB"/>
        </w:rPr>
        <w:t>f identified genes in one or both of the QTLs could be performed to investigate the role of the QTLs.</w:t>
      </w:r>
    </w:p>
    <w:sectPr w:rsidR="0002496A" w:rsidRPr="00122C27" w:rsidSect="00EA1933">
      <w:headerReference w:type="default" r:id="rId14"/>
      <w:footerReference w:type="default" r:id="rId15"/>
      <w:headerReference w:type="first" r:id="rId16"/>
      <w:pgSz w:w="11909" w:h="16834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665" w:rsidRDefault="00692665">
      <w:pPr>
        <w:spacing w:line="240" w:lineRule="auto"/>
      </w:pPr>
      <w:r>
        <w:separator/>
      </w:r>
    </w:p>
  </w:endnote>
  <w:endnote w:type="continuationSeparator" w:id="0">
    <w:p w:rsidR="00692665" w:rsidRDefault="006926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96A" w:rsidRDefault="00692665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0F1F96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665" w:rsidRDefault="00692665">
      <w:pPr>
        <w:spacing w:line="240" w:lineRule="auto"/>
      </w:pPr>
      <w:r>
        <w:separator/>
      </w:r>
    </w:p>
  </w:footnote>
  <w:footnote w:type="continuationSeparator" w:id="0">
    <w:p w:rsidR="00692665" w:rsidRDefault="006926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96A" w:rsidRDefault="0002496A">
    <w:pPr>
      <w:spacing w:before="720" w:after="160" w:line="259" w:lineRule="auto"/>
      <w:jc w:val="right"/>
    </w:pPr>
  </w:p>
  <w:p w:rsidR="0002496A" w:rsidRDefault="0002496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96A" w:rsidRDefault="00692665">
    <w:pPr>
      <w:spacing w:before="720" w:after="160" w:line="259" w:lineRule="auto"/>
      <w:jc w:val="right"/>
    </w:pPr>
    <w:proofErr w:type="spellStart"/>
    <w:r>
      <w:rPr>
        <w:rFonts w:ascii="Times New Roman" w:eastAsia="Times New Roman" w:hAnsi="Times New Roman" w:cs="Times New Roman"/>
      </w:rPr>
      <w:t>Behaviour</w:t>
    </w:r>
    <w:proofErr w:type="spellEnd"/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Genetics</w:t>
    </w:r>
    <w:proofErr w:type="spellEnd"/>
  </w:p>
  <w:p w:rsidR="0002496A" w:rsidRDefault="00692665">
    <w:pPr>
      <w:spacing w:after="160" w:line="259" w:lineRule="auto"/>
      <w:jc w:val="right"/>
    </w:pPr>
    <w:r>
      <w:rPr>
        <w:rFonts w:ascii="Times New Roman" w:eastAsia="Times New Roman" w:hAnsi="Times New Roman" w:cs="Times New Roman"/>
      </w:rPr>
      <w:t xml:space="preserve">Group 3 </w:t>
    </w:r>
  </w:p>
  <w:p w:rsidR="0002496A" w:rsidRDefault="00692665" w:rsidP="00EA1933">
    <w:pPr>
      <w:spacing w:after="160" w:line="259" w:lineRule="auto"/>
      <w:jc w:val="right"/>
    </w:pPr>
    <w:r>
      <w:rPr>
        <w:rFonts w:ascii="Times New Roman" w:eastAsia="Times New Roman" w:hAnsi="Times New Roman" w:cs="Times New Roman"/>
      </w:rPr>
      <w:t xml:space="preserve">Marie-Therese Bleicher, Xavier Fernández-Sala, Nora </w:t>
    </w:r>
    <w:proofErr w:type="spellStart"/>
    <w:r>
      <w:rPr>
        <w:rFonts w:ascii="Times New Roman" w:eastAsia="Times New Roman" w:hAnsi="Times New Roman" w:cs="Times New Roman"/>
      </w:rPr>
      <w:t>Ko</w:t>
    </w:r>
    <w:r>
      <w:rPr>
        <w:rFonts w:ascii="Times New Roman" w:eastAsia="Times New Roman" w:hAnsi="Times New Roman" w:cs="Times New Roman"/>
      </w:rPr>
      <w:t>psch</w:t>
    </w:r>
    <w:proofErr w:type="spellEnd"/>
    <w:r>
      <w:rPr>
        <w:rFonts w:ascii="Times New Roman" w:eastAsia="Times New Roman" w:hAnsi="Times New Roman" w:cs="Times New Roman"/>
      </w:rPr>
      <w:t>, Marta Simón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496A"/>
    <w:rsid w:val="0002496A"/>
    <w:rsid w:val="000F1F96"/>
    <w:rsid w:val="00122C27"/>
    <w:rsid w:val="002C73D3"/>
    <w:rsid w:val="00692665"/>
    <w:rsid w:val="00A51F49"/>
    <w:rsid w:val="00EA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2C9F39-CB8F-44F5-B4CA-BFECC021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i/>
      <w:color w:val="666666"/>
      <w:sz w:val="30"/>
      <w:szCs w:val="30"/>
    </w:rPr>
  </w:style>
  <w:style w:type="table" w:styleId="Tabellenraster">
    <w:name w:val="Table Grid"/>
    <w:basedOn w:val="NormaleTabelle"/>
    <w:uiPriority w:val="39"/>
    <w:rsid w:val="00122C27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A193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1933"/>
  </w:style>
  <w:style w:type="paragraph" w:styleId="Fuzeile">
    <w:name w:val="footer"/>
    <w:basedOn w:val="Standard"/>
    <w:link w:val="FuzeileZchn"/>
    <w:uiPriority w:val="99"/>
    <w:unhideWhenUsed/>
    <w:rsid w:val="00EA193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1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97BDDD7047FD4A8CDFBA7CAB444392" ma:contentTypeVersion="0" ma:contentTypeDescription="Create a new document." ma:contentTypeScope="" ma:versionID="81861985bb1df550f8a60060b81c51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821EFE-BB1E-41E9-A84D-1AD174938F19}"/>
</file>

<file path=customXml/itemProps2.xml><?xml version="1.0" encoding="utf-8"?>
<ds:datastoreItem xmlns:ds="http://schemas.openxmlformats.org/officeDocument/2006/customXml" ds:itemID="{D4AC98B0-63B2-4DBD-AE44-D2CF72A0A13C}"/>
</file>

<file path=customXml/itemProps3.xml><?xml version="1.0" encoding="utf-8"?>
<ds:datastoreItem xmlns:ds="http://schemas.openxmlformats.org/officeDocument/2006/customXml" ds:itemID="{4BEFAC6D-93AC-4D3B-81DA-5CAF883394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880</Words>
  <Characters>5549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Marie-Therese Bleicher</cp:lastModifiedBy>
  <cp:revision>4</cp:revision>
  <dcterms:created xsi:type="dcterms:W3CDTF">2016-12-15T12:51:00Z</dcterms:created>
  <dcterms:modified xsi:type="dcterms:W3CDTF">2016-12-15T13:12:00Z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0x0101003097BDDD7047FD4A8CDFBA7CAB444392</vt:lpwstr>
  </property>
</Properties>
</file>