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Calibri" w:cs="Calibri" w:eastAsia="Calibri" w:hAnsi="Calibri"/>
          <w:b/>
          <w:bCs/>
          <w:color w:val="2E5395"/>
          <w:sz w:val="24"/>
          <w:szCs w:val="24"/>
        </w:rPr>
        <w:t xml:space="preserve">HACKATHON PROJECT PROPOSAL</w:t>
      </w:r>
    </w:p>
    <w:p>
      <w:pPr>
        <w:spacing w:after="200" w:before="200"/>
        <w:jc w:val="center"/>
      </w:pPr>
      <w:r>
        <w:rPr>
          <w:rFonts w:ascii="Calibri" w:cs="Calibri" w:eastAsia="Calibri" w:hAnsi="Calibri"/>
          <w:i/>
          <w:iCs/>
          <w:color w:val="555555"/>
          <w:sz w:val="22"/>
          <w:szCs w:val="22"/>
        </w:rPr>
        <w:t xml:space="preserve">[ Hackathon / Event Name ]</w:t>
      </w:r>
    </w:p>
    <w:p>
      <w:pPr>
        <w:spacing w:after="200" w:before="1200"/>
        <w:jc w:val="center"/>
      </w:pPr>
      <w:r>
        <w:rPr>
          <w:rFonts w:ascii="Calibri" w:cs="Calibri" w:eastAsia="Calibri" w:hAnsi="Calibri"/>
          <w:b/>
          <w:bCs/>
          <w:color w:val="1F3864"/>
          <w:sz w:val="56"/>
          <w:szCs w:val="56"/>
        </w:rPr>
        <w:t xml:space="preserve">EthiScore AI</w:t>
      </w:r>
    </w:p>
    <w:p>
      <w:pPr>
        <w:spacing w:after="800"/>
        <w:jc w:val="center"/>
      </w:pPr>
      <w:r>
        <w:rPr>
          <w:rFonts w:ascii="Calibri" w:cs="Calibri" w:eastAsia="Calibri" w:hAnsi="Calibri"/>
          <w:color w:val="2E5395"/>
          <w:sz w:val="28"/>
          <w:szCs w:val="28"/>
        </w:rPr>
        <w:t xml:space="preserve">An Explainable AI Credit Intelligence Platform for SME Lending</w:t>
      </w:r>
    </w:p>
    <w:p>
      <w:pPr>
        <w:spacing w:after="1600"/>
        <w:jc w:val="center"/>
      </w:pPr>
      <w:r>
        <w:rPr>
          <w:rFonts w:ascii="Calibri" w:cs="Calibri" w:eastAsia="Calibri" w:hAnsi="Calibri"/>
          <w:i/>
          <w:iCs/>
          <w:sz w:val="24"/>
          <w:szCs w:val="24"/>
        </w:rPr>
        <w:t xml:space="preserve">Project Proposal</w:t>
      </w:r>
    </w:p>
    <w:p>
      <w:pPr>
        <w:spacing w:after="100"/>
        <w:jc w:val="center"/>
      </w:pPr>
      <w:r>
        <w:rPr>
          <w:rFonts w:ascii="Calibri" w:cs="Calibri" w:eastAsia="Calibri" w:hAnsi="Calibri"/>
          <w:b/>
          <w:bCs/>
          <w:sz w:val="22"/>
          <w:szCs w:val="22"/>
        </w:rPr>
        <w:t xml:space="preserve">Prepared by:</w:t>
      </w:r>
    </w:p>
    <w:p>
      <w:pPr>
        <w:spacing w:after="400"/>
        <w:jc w:val="center"/>
      </w:pPr>
      <w:r>
        <w:rPr>
          <w:rFonts w:ascii="Calibri" w:cs="Calibri" w:eastAsia="Calibri" w:hAnsi="Calibri"/>
          <w:sz w:val="22"/>
          <w:szCs w:val="22"/>
        </w:rPr>
        <w:t xml:space="preserve">[ Team Name / Member Names ]</w:t>
      </w:r>
    </w:p>
    <w:p>
      <w:pPr>
        <w:spacing w:after="100"/>
        <w:jc w:val="center"/>
      </w:pPr>
      <w:r>
        <w:rPr>
          <w:rFonts w:ascii="Calibri" w:cs="Calibri" w:eastAsia="Calibri" w:hAnsi="Calibri"/>
          <w:b/>
          <w:bCs/>
          <w:sz w:val="22"/>
          <w:szCs w:val="22"/>
        </w:rPr>
        <w:t xml:space="preserve">Team Roles:</w:t>
      </w:r>
    </w:p>
    <w:p>
      <w:pPr>
        <w:spacing w:after="400"/>
        <w:jc w:val="center"/>
      </w:pPr>
      <w:r>
        <w:rPr>
          <w:rFonts w:ascii="Calibri" w:cs="Calibri" w:eastAsia="Calibri" w:hAnsi="Calibri"/>
          <w:i/>
          <w:iCs/>
          <w:color w:val="555555"/>
          <w:sz w:val="22"/>
          <w:szCs w:val="22"/>
        </w:rPr>
        <w:t xml:space="preserve">[ e.g. AI/ML Lead, Backend Engineer, Frontend Engineer, Product/Design ]</w:t>
      </w:r>
    </w:p>
    <w:p>
      <w:pPr>
        <w:spacing w:after="1200"/>
        <w:jc w:val="center"/>
      </w:pPr>
      <w:r>
        <w:rPr>
          <w:rFonts w:ascii="Calibri" w:cs="Calibri" w:eastAsia="Calibri" w:hAnsi="Calibri"/>
          <w:sz w:val="22"/>
          <w:szCs w:val="22"/>
        </w:rPr>
        <w:t xml:space="preserve">Track: FinTech / AI for Social Good</w:t>
      </w:r>
    </w:p>
    <w:p>
      <w:pPr>
        <w:jc w:val="center"/>
      </w:pPr>
      <w:r>
        <w:rPr>
          <w:rFonts w:ascii="Calibri" w:cs="Calibri" w:eastAsia="Calibri" w:hAnsi="Calibri"/>
          <w:sz w:val="22"/>
          <w:szCs w:val="22"/>
        </w:rPr>
        <w:t xml:space="preserve">Date: July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3864"/>
          <w:sz w:val="30"/>
          <w:szCs w:val="30"/>
        </w:rPr>
        <w:t xml:space="preserve">Acronyms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Acronym</w:t>
            </w:r>
          </w:p>
        </w:tc>
        <w:tc>
          <w:tcPr>
            <w:tcW w:type="dxa" w:w="65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Meaning</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AI</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Artificial Intelligence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ML</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Machine Learning</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SME</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Small and Medium-sized Enterprise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MFI</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Microfinance Institution</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SACCO</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Savings and Credit Cooperative Organization</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MVP</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Minimum Viable Product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SRS</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Software Requirements Specification</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API</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Application Programming Interface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UI/UX</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User Interface / User Experience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KYC</w:t>
            </w:r>
          </w:p>
        </w:tc>
        <w:tc>
          <w:tcPr>
            <w:tcW w:type="dxa" w:w="6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Know Your Customer</w:t>
            </w:r>
          </w:p>
        </w:tc>
      </w:tr>
    </w:tbl>
    <w:p>
      <w:r>
        <w:br w:type="page"/>
      </w:r>
    </w:p>
    <w:p>
      <w:pPr>
        <w:pStyle w:val="Heading1"/>
        <w:spacing w:after="200" w:before="400"/>
      </w:pPr>
      <w:r>
        <w:rPr>
          <w:rFonts w:ascii="Calibri" w:cs="Calibri" w:eastAsia="Calibri" w:hAnsi="Calibri"/>
          <w:b/>
          <w:bCs/>
          <w:color w:val="1F3864"/>
          <w:sz w:val="30"/>
          <w:szCs w:val="30"/>
        </w:rPr>
        <w:t xml:space="preserve">Abstract</w:t>
      </w:r>
    </w:p>
    <w:p>
      <w:pPr>
        <w:spacing w:after="200" w:line="276"/>
      </w:pPr>
      <w:r>
        <w:rPr>
          <w:rFonts w:ascii="Calibri" w:cs="Calibri" w:eastAsia="Calibri" w:hAnsi="Calibri"/>
          <w:sz w:val="22"/>
          <w:szCs w:val="22"/>
        </w:rPr>
        <w:t xml:space="preserve">Access to credit remains one of the most significant constraints on the growth of small and medium-sized enterprises (SMEs) in Ethiopia and across much of Africa. Many viable, revenue-generating businesses are unable to secure financing because conventional credit assessment relies heavily on collateral, audited financial statements, and long-standing credit histories that informal and early-stage businesses typically do not possess. EthiScore AI is proposed as an Explainable AI Credit Intelligence Platform that assists banks, microfinance institutions, and SACCOs in evaluating SME loan applicants by combining available financial records with additional, consent-based business indicators. Rather than issuing an opaque automated decision, the platform generates a transparent, human-readable credit intelligence report that supports — but does not replace — the judgment of a loan officer. This proposal, developed for hackathon submission, presents the background, problem statement, objectives, proposed system, feasibility analysis, scope, methodology, and project management plan for a Minimum Viable Product (MVP) intended to demonstrate this concept within a limited development window, with a longer-term roadmap toward pilot testing and deployment.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864"/>
          <w:sz w:val="30"/>
          <w:szCs w:val="30"/>
        </w:rPr>
        <w:t xml:space="preserve">1. Introduction</w:t>
      </w:r>
    </w:p>
    <w:p>
      <w:pPr>
        <w:pStyle w:val="Heading2"/>
        <w:spacing w:after="160" w:before="300"/>
      </w:pPr>
      <w:r>
        <w:rPr>
          <w:rFonts w:ascii="Calibri" w:cs="Calibri" w:eastAsia="Calibri" w:hAnsi="Calibri"/>
          <w:b/>
          <w:bCs/>
          <w:color w:val="2E5395"/>
          <w:sz w:val="26"/>
          <w:szCs w:val="26"/>
        </w:rPr>
        <w:t xml:space="preserve">1.1 Background</w:t>
      </w:r>
    </w:p>
    <w:p>
      <w:pPr>
        <w:pStyle w:val="Heading3"/>
        <w:spacing w:after="120" w:before="200"/>
      </w:pPr>
      <w:r>
        <w:rPr>
          <w:rFonts w:ascii="Calibri" w:cs="Calibri" w:eastAsia="Calibri" w:hAnsi="Calibri"/>
          <w:b/>
          <w:bCs/>
          <w:color w:val="2E5395"/>
          <w:sz w:val="23"/>
          <w:szCs w:val="23"/>
        </w:rPr>
        <w:t xml:space="preserve">1.1.1 Overview</w:t>
      </w:r>
    </w:p>
    <w:p>
      <w:pPr>
        <w:spacing w:after="200" w:line="276"/>
      </w:pPr>
      <w:r>
        <w:rPr>
          <w:rFonts w:ascii="Calibri" w:cs="Calibri" w:eastAsia="Calibri" w:hAnsi="Calibri"/>
          <w:sz w:val="22"/>
          <w:szCs w:val="22"/>
        </w:rPr>
        <w:t xml:space="preserve">Access to finance is one of the most important factors influencing business creation, growth, innovation, and employment. Financial institutions use credit assessment processes to determine whether individuals and businesses qualify for loans, balancing the goal of expanding access to credit against the need to manage lending risk responsibly.</w:t>
      </w:r>
    </w:p>
    <w:p>
      <w:pPr>
        <w:spacing w:after="200" w:line="276"/>
      </w:pPr>
      <w:r>
        <w:rPr>
          <w:rFonts w:ascii="Calibri" w:cs="Calibri" w:eastAsia="Calibri" w:hAnsi="Calibri"/>
          <w:sz w:val="22"/>
          <w:szCs w:val="22"/>
        </w:rPr>
        <w:t xml:space="preserve">Traditional credit assessment generally relies on formal credit history, collateral, audited financial statements, tax records, and established banking relationships. These methods work reasonably well for large, formally documented organizations, but they present a persistent barrier for small and medium-sized enterprises (SMEs), startups, and entrepreneurs who operate with limited formal financial documentation, even when their underlying businesses are profitable and well run.</w:t>
      </w:r>
    </w:p>
    <w:p>
      <w:pPr>
        <w:spacing w:after="200" w:line="276"/>
      </w:pPr>
      <w:r>
        <w:rPr>
          <w:rFonts w:ascii="Calibri" w:cs="Calibri" w:eastAsia="Calibri" w:hAnsi="Calibri"/>
          <w:sz w:val="22"/>
          <w:szCs w:val="22"/>
        </w:rPr>
        <w:t xml:space="preserve">This challenge is particularly relevant in Ethiopia and in many developing economies more broadly, where SMEs make up a large share of employment and economic activity, and where a considerable pool of skilled and motivated labor exists alongside a comparatively small base of formally financed startups. Development organizations such as the World Bank, the International Finance Corporation (IFC), and the African Development Bank have long documented a persistent "finance gap" facing African SMEs, and bodies such as CGAP and GSMA have tracked how mobile money and digital financial data are increasingly used to help close that gap.</w:t>
      </w:r>
    </w:p>
    <w:p>
      <w:pPr>
        <w:spacing w:after="200" w:line="276"/>
      </w:pPr>
      <w:r>
        <w:rPr>
          <w:rFonts w:ascii="Calibri" w:cs="Calibri" w:eastAsia="Calibri" w:hAnsi="Calibri"/>
          <w:sz w:val="22"/>
          <w:szCs w:val="22"/>
        </w:rPr>
        <w:t xml:space="preserve">Recent advances in Artificial Intelligence (AI), Machine Learning (ML), digital payments, and financial technology (FinTech) create new opportunities to improve credit assessment. AI can analyze multiple financial and operational indicators together, surface patterns in business data, and support lenders with explainable, evidence-based risk assessments. Used this way, AI functions as a decision-support tool that improves consistency, speed, and transparency, rather than as a replacement for human loan officers.</w:t>
      </w:r>
    </w:p>
    <w:p>
      <w:pPr>
        <w:spacing w:after="200" w:line="276"/>
      </w:pPr>
      <w:r>
        <w:rPr>
          <w:rFonts w:ascii="Calibri" w:cs="Calibri" w:eastAsia="Calibri" w:hAnsi="Calibri"/>
          <w:sz w:val="22"/>
          <w:szCs w:val="22"/>
        </w:rPr>
        <w:t xml:space="preserve">EthiScore AI is proposed as an Explainable AI Credit Intelligence Platform that assists financial institutions in evaluating SME loan applicants using both traditional financial information and additional, consent-based business indicators where available. The platform is designed to generate transparent credit intelligence reports that help loan officers make more informed decisions while supporting broader financial inclusion.</w:t>
      </w:r>
    </w:p>
    <w:p>
      <w:pPr>
        <w:pStyle w:val="Heading3"/>
        <w:spacing w:after="120" w:before="200"/>
      </w:pPr>
      <w:r>
        <w:rPr>
          <w:rFonts w:ascii="Calibri" w:cs="Calibri" w:eastAsia="Calibri" w:hAnsi="Calibri"/>
          <w:b/>
          <w:bCs/>
          <w:color w:val="2E5395"/>
          <w:sz w:val="23"/>
          <w:szCs w:val="23"/>
        </w:rPr>
        <w:t xml:space="preserve">1.1.2 Motivation</w:t>
      </w:r>
    </w:p>
    <w:p>
      <w:pPr>
        <w:spacing w:after="200" w:line="276"/>
      </w:pPr>
      <w:r>
        <w:rPr>
          <w:rFonts w:ascii="Calibri" w:cs="Calibri" w:eastAsia="Calibri" w:hAnsi="Calibri"/>
          <w:sz w:val="22"/>
          <w:szCs w:val="22"/>
        </w:rPr>
        <w:t xml:space="preserve">The motivation for EthiScore AI comes from three connected observations.</w:t>
      </w:r>
    </w:p>
    <w:p>
      <w:pPr>
        <w:pStyle w:val="ListParagraph"/>
        <w:numPr>
          <w:ilvl w:val="0"/>
          <w:numId w:val="2"/>
        </w:numPr>
        <w:spacing w:after="120"/>
      </w:pPr>
      <w:r>
        <w:rPr>
          <w:rFonts w:ascii="Calibri" w:cs="Calibri" w:eastAsia="Calibri" w:hAnsi="Calibri"/>
          <w:sz w:val="22"/>
          <w:szCs w:val="22"/>
        </w:rPr>
        <w:t xml:space="preserve">Untapped human and entrepreneurial capacity: Ethiopia has a large, young, and increasingly skilled workforce, but comparatively few of these individuals are able to convert their ideas into financed startups. A meaningful part of the gap is not a shortage of ability or effort, but a shortage of accessible tools that let promising businesses demonstrate creditworthiness in the sectors and locations where they actually operate.</w:t>
      </w:r>
    </w:p>
    <w:p>
      <w:pPr>
        <w:pStyle w:val="ListParagraph"/>
        <w:numPr>
          <w:ilvl w:val="0"/>
          <w:numId w:val="2"/>
        </w:numPr>
        <w:spacing w:after="120"/>
      </w:pPr>
      <w:r>
        <w:rPr>
          <w:rFonts w:ascii="Calibri" w:cs="Calibri" w:eastAsia="Calibri" w:hAnsi="Calibri"/>
          <w:sz w:val="22"/>
          <w:szCs w:val="22"/>
        </w:rPr>
        <w:t xml:space="preserve">Manual, time-intensive loan evaluation: Loan officers often spend considerable time manually reviewing applications and supporting documents, which slows processing and limits how many SME applicants a lender can realistically serve.</w:t>
      </w:r>
    </w:p>
    <w:p>
      <w:pPr>
        <w:pStyle w:val="ListParagraph"/>
        <w:numPr>
          <w:ilvl w:val="0"/>
          <w:numId w:val="2"/>
        </w:numPr>
        <w:spacing w:after="120"/>
      </w:pPr>
      <w:r>
        <w:rPr>
          <w:rFonts w:ascii="Calibri" w:cs="Calibri" w:eastAsia="Calibri" w:hAnsi="Calibri"/>
          <w:sz w:val="22"/>
          <w:szCs w:val="22"/>
        </w:rPr>
        <w:t xml:space="preserve">A track record elsewhere of credit systems enabling growth: Economies that industrialized earlier — for example in Western Europe, North America, and more recently East Asia — built broad, data-driven credit systems (credit bureaus, SME-focused lending programs, and, more recently, alternative-data underwriting) that gave a wide base of small businesses access to working capital. Research from organizations such as the World Bank and OECD has repeatedly linked deeper, better-functioning credit markets to higher rates of firm formation and job creation. This suggests that expanding access to well-designed, responsible credit assessment tools is a lever Ethiopia and similar economies can use as part of their own growth path, adapted to local realities rather than copied directly.</w:t>
      </w:r>
    </w:p>
    <w:p>
      <w:pPr>
        <w:spacing w:after="200" w:line="276"/>
      </w:pPr>
      <w:r>
        <w:rPr>
          <w:rFonts w:ascii="Calibri" w:cs="Calibri" w:eastAsia="Calibri" w:hAnsi="Calibri"/>
          <w:sz w:val="22"/>
          <w:szCs w:val="22"/>
        </w:rPr>
        <w:t xml:space="preserve">Taken together, these observations motivate a platform that helps entrepreneurs in their own working environments — including sectors and regions currently underserved by formal finance — access credit assessment tools appropriate to how they actually do business, while simultaneously giving lenders a more efficient and transparent way to evaluate them.</w:t>
      </w:r>
    </w:p>
    <w:p>
      <w:pPr>
        <w:pStyle w:val="Heading3"/>
        <w:spacing w:after="120" w:before="200"/>
      </w:pPr>
      <w:r>
        <w:rPr>
          <w:rFonts w:ascii="Calibri" w:cs="Calibri" w:eastAsia="Calibri" w:hAnsi="Calibri"/>
          <w:b/>
          <w:bCs/>
          <w:color w:val="2E5395"/>
          <w:sz w:val="23"/>
          <w:szCs w:val="23"/>
        </w:rPr>
        <w:t xml:space="preserve">1.1.3 Project Motivation</w:t>
      </w:r>
    </w:p>
    <w:p>
      <w:pPr>
        <w:spacing w:after="200" w:line="276"/>
      </w:pPr>
      <w:r>
        <w:rPr>
          <w:rFonts w:ascii="Calibri" w:cs="Calibri" w:eastAsia="Calibri" w:hAnsi="Calibri"/>
          <w:sz w:val="22"/>
          <w:szCs w:val="22"/>
        </w:rPr>
        <w:t xml:space="preserve">The project is motivated by the need to:</w:t>
      </w:r>
    </w:p>
    <w:p>
      <w:pPr>
        <w:pStyle w:val="ListParagraph"/>
        <w:numPr>
          <w:ilvl w:val="0"/>
          <w:numId w:val="2"/>
        </w:numPr>
        <w:spacing w:after="120"/>
      </w:pPr>
      <w:r>
        <w:rPr>
          <w:rFonts w:ascii="Calibri" w:cs="Calibri" w:eastAsia="Calibri" w:hAnsi="Calibri"/>
          <w:sz w:val="22"/>
          <w:szCs w:val="22"/>
        </w:rPr>
        <w:t xml:space="preserve">Improve financial inclusion for underserved entrepreneurs, including first-time business owners, women-led businesses, youth entrepreneurs, and informal enterprises.</w:t>
      </w:r>
    </w:p>
    <w:p>
      <w:pPr>
        <w:pStyle w:val="ListParagraph"/>
        <w:numPr>
          <w:ilvl w:val="0"/>
          <w:numId w:val="2"/>
        </w:numPr>
        <w:spacing w:after="120"/>
      </w:pPr>
      <w:r>
        <w:rPr>
          <w:rFonts w:ascii="Calibri" w:cs="Calibri" w:eastAsia="Calibri" w:hAnsi="Calibri"/>
          <w:sz w:val="22"/>
          <w:szCs w:val="22"/>
        </w:rPr>
        <w:t xml:space="preserve">Help banks, MFIs, and SACCOs make faster and more consistent lending decisions.</w:t>
      </w:r>
    </w:p>
    <w:p>
      <w:pPr>
        <w:pStyle w:val="ListParagraph"/>
        <w:numPr>
          <w:ilvl w:val="0"/>
          <w:numId w:val="2"/>
        </w:numPr>
        <w:spacing w:after="120"/>
      </w:pPr>
      <w:r>
        <w:rPr>
          <w:rFonts w:ascii="Calibri" w:cs="Calibri" w:eastAsia="Calibri" w:hAnsi="Calibri"/>
          <w:sz w:val="22"/>
          <w:szCs w:val="22"/>
        </w:rPr>
        <w:t xml:space="preserve">Reduce the manual workload involved in reviewing loan applications.</w:t>
      </w:r>
    </w:p>
    <w:p>
      <w:pPr>
        <w:pStyle w:val="ListParagraph"/>
        <w:numPr>
          <w:ilvl w:val="0"/>
          <w:numId w:val="2"/>
        </w:numPr>
        <w:spacing w:after="120"/>
      </w:pPr>
      <w:r>
        <w:rPr>
          <w:rFonts w:ascii="Calibri" w:cs="Calibri" w:eastAsia="Calibri" w:hAnsi="Calibri"/>
          <w:sz w:val="22"/>
          <w:szCs w:val="22"/>
        </w:rPr>
        <w:t xml:space="preserve">Promote explainable and responsible AI practices within financial services, rather than opaque automated decisions.</w:t>
      </w:r>
    </w:p>
    <w:p>
      <w:pPr>
        <w:pStyle w:val="ListParagraph"/>
        <w:numPr>
          <w:ilvl w:val="0"/>
          <w:numId w:val="2"/>
        </w:numPr>
        <w:spacing w:after="120"/>
      </w:pPr>
      <w:r>
        <w:rPr>
          <w:rFonts w:ascii="Calibri" w:cs="Calibri" w:eastAsia="Calibri" w:hAnsi="Calibri"/>
          <w:sz w:val="22"/>
          <w:szCs w:val="22"/>
        </w:rPr>
        <w:t xml:space="preserve">Support Ethiopia's ongoing digital transformation and financial-inclusion initiatives.</w:t>
      </w:r>
    </w:p>
    <w:p>
      <w:pPr>
        <w:pStyle w:val="ListParagraph"/>
        <w:numPr>
          <w:ilvl w:val="0"/>
          <w:numId w:val="2"/>
        </w:numPr>
        <w:spacing w:after="120"/>
      </w:pPr>
      <w:r>
        <w:rPr>
          <w:rFonts w:ascii="Calibri" w:cs="Calibri" w:eastAsia="Calibri" w:hAnsi="Calibri"/>
          <w:sz w:val="22"/>
          <w:szCs w:val="22"/>
        </w:rPr>
        <w:t xml:space="preserve">Build a platform whose underlying approach could, over time, extend to other African markets facing similar SME financing gaps.</w:t>
      </w:r>
    </w:p>
    <w:p>
      <w:pPr>
        <w:pStyle w:val="Heading3"/>
        <w:spacing w:after="120" w:before="200"/>
      </w:pPr>
      <w:r>
        <w:rPr>
          <w:rFonts w:ascii="Calibri" w:cs="Calibri" w:eastAsia="Calibri" w:hAnsi="Calibri"/>
          <w:b/>
          <w:bCs/>
          <w:color w:val="2E5395"/>
          <w:sz w:val="23"/>
          <w:szCs w:val="23"/>
        </w:rPr>
        <w:t xml:space="preserve">1.1.4 Customer and Beneficiaries</w:t>
      </w:r>
    </w:p>
    <w:p>
      <w:pPr>
        <w:spacing w:after="200" w:line="276"/>
      </w:pPr>
      <w:r>
        <w:rPr>
          <w:rFonts w:ascii="Calibri" w:cs="Calibri" w:eastAsia="Calibri" w:hAnsi="Calibri"/>
          <w:sz w:val="22"/>
          <w:szCs w:val="22"/>
        </w:rPr>
        <w:t xml:space="preserve">The primary customers for EthiScore AI are financial institutions that lend to SMEs, including commercial banks, microfinance institutions (MFIs), savings and credit cooperative organizations (SACCOs), digital lending platforms, and government-supported SME financing programs. The indirect beneficiaries are the SMEs themselves — including women-owned enterprises, youth-led startups, and rural business owners — who gain a clearer path to demonstrating creditworthiness.</w:t>
      </w:r>
    </w:p>
    <w:p>
      <w:pPr>
        <w:pStyle w:val="Heading3"/>
        <w:spacing w:after="120" w:before="200"/>
      </w:pPr>
      <w:r>
        <w:rPr>
          <w:rFonts w:ascii="Calibri" w:cs="Calibri" w:eastAsia="Calibri" w:hAnsi="Calibri"/>
          <w:b/>
          <w:bCs/>
          <w:color w:val="2E5395"/>
          <w:sz w:val="23"/>
          <w:szCs w:val="23"/>
        </w:rPr>
        <w:t xml:space="preserve">1.1.5 Project Deliverables</w:t>
      </w:r>
    </w:p>
    <w:p>
      <w:pPr>
        <w:spacing w:after="200" w:line="276"/>
      </w:pPr>
      <w:r>
        <w:rPr>
          <w:rFonts w:ascii="Calibri" w:cs="Calibri" w:eastAsia="Calibri" w:hAnsi="Calibri"/>
          <w:sz w:val="22"/>
          <w:szCs w:val="22"/>
        </w:rPr>
        <w:t xml:space="preserve">For the hackathon, the project will deliver a Minimum Viable Product (MVP) consisting of the following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Module</w:t>
            </w:r>
          </w:p>
        </w:tc>
        <w:tc>
          <w:tcPr>
            <w:tcW w:type="dxa" w:w="69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Core Functionality</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SME Portal</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Registration and authentication; business profile management; loan application submission; credit intelligence report viewing</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Bank Dashboard</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Loan application management; AI-generated credit intelligence reports; risk visualization; decision-support tools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AI Engine</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Credit intelligence analysis; risk classification; explainable AI recommendations; loan-readiness assessment</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Administration Module</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User management; system monitoring; analytics dashboard; audit logs</w:t>
            </w:r>
          </w:p>
        </w:tc>
      </w:tr>
    </w:tbl>
    <w:p>
      <w:pPr>
        <w:pStyle w:val="Heading3"/>
        <w:spacing w:after="120" w:before="200"/>
      </w:pPr>
      <w:r>
        <w:rPr>
          <w:rFonts w:ascii="Calibri" w:cs="Calibri" w:eastAsia="Calibri" w:hAnsi="Calibri"/>
          <w:b/>
          <w:bCs/>
          <w:color w:val="2E5395"/>
          <w:sz w:val="23"/>
          <w:szCs w:val="23"/>
        </w:rPr>
        <w:t xml:space="preserve">1.1.6 Estimated Development Cost</w:t>
      </w:r>
    </w:p>
    <w:p>
      <w:pPr>
        <w:spacing w:after="200" w:line="276"/>
      </w:pPr>
      <w:r>
        <w:rPr>
          <w:rFonts w:ascii="Calibri" w:cs="Calibri" w:eastAsia="Calibri" w:hAnsi="Calibri"/>
          <w:sz w:val="22"/>
          <w:szCs w:val="22"/>
        </w:rPr>
        <w:t xml:space="preserve">As a hackathon and academic-stage MVP, development cost is expected to remain low, since the project relies on open-source and free-tier technologies, including React.js, Node.js, Python, FastAPI, PostgreSQL, GitHub, Render, Vercel, and Supabase. No significant licensing costs are anticipated during MVP development; costs will increase in later phases if the project moves toward production use, integration with core banking systems, and compliance certification.</w:t>
      </w:r>
    </w:p>
    <w:p>
      <w:pPr>
        <w:pStyle w:val="Heading3"/>
        <w:spacing w:after="120" w:before="200"/>
      </w:pPr>
      <w:r>
        <w:rPr>
          <w:rFonts w:ascii="Calibri" w:cs="Calibri" w:eastAsia="Calibri" w:hAnsi="Calibri"/>
          <w:b/>
          <w:bCs/>
          <w:color w:val="2E5395"/>
          <w:sz w:val="23"/>
          <w:szCs w:val="23"/>
        </w:rPr>
        <w:t xml:space="preserve">1.1.7 Estimated Development Duration</w:t>
      </w:r>
    </w:p>
    <w:p>
      <w:pPr>
        <w:spacing w:after="200" w:line="276"/>
      </w:pPr>
      <w:r>
        <w:rPr>
          <w:rFonts w:ascii="Calibri" w:cs="Calibri" w:eastAsia="Calibri" w:hAnsi="Calibri"/>
          <w:sz w:val="22"/>
          <w:szCs w:val="22"/>
        </w:rPr>
        <w:t xml:space="preserve">The MVP will initially be developed within the hackathon's 20-hour build window, focusing on core functionality that demonstrates the platform's concept end-to-end. This is intended as the first of several planned phases:</w:t>
      </w:r>
    </w:p>
    <w:p>
      <w:pPr>
        <w:pStyle w:val="ListParagraph"/>
        <w:numPr>
          <w:ilvl w:val="0"/>
          <w:numId w:val="2"/>
        </w:numPr>
        <w:spacing w:after="120"/>
      </w:pPr>
      <w:r>
        <w:rPr>
          <w:rFonts w:ascii="Calibri" w:cs="Calibri" w:eastAsia="Calibri" w:hAnsi="Calibri"/>
          <w:sz w:val="22"/>
          <w:szCs w:val="22"/>
        </w:rPr>
        <w:t xml:space="preserve">Phase I — Hackathon MVP Development (20 hours)</w:t>
      </w:r>
    </w:p>
    <w:p>
      <w:pPr>
        <w:pStyle w:val="ListParagraph"/>
        <w:numPr>
          <w:ilvl w:val="0"/>
          <w:numId w:val="2"/>
        </w:numPr>
        <w:spacing w:after="120"/>
      </w:pPr>
      <w:r>
        <w:rPr>
          <w:rFonts w:ascii="Calibri" w:cs="Calibri" w:eastAsia="Calibri" w:hAnsi="Calibri"/>
          <w:sz w:val="22"/>
          <w:szCs w:val="22"/>
        </w:rPr>
        <w:t xml:space="preserve">Phase II — Pilot Testing with a small number of partner institutions</w:t>
      </w:r>
    </w:p>
    <w:p>
      <w:pPr>
        <w:pStyle w:val="ListParagraph"/>
        <w:numPr>
          <w:ilvl w:val="0"/>
          <w:numId w:val="2"/>
        </w:numPr>
        <w:spacing w:after="120"/>
      </w:pPr>
      <w:r>
        <w:rPr>
          <w:rFonts w:ascii="Calibri" w:cs="Calibri" w:eastAsia="Calibri" w:hAnsi="Calibri"/>
          <w:sz w:val="22"/>
          <w:szCs w:val="22"/>
        </w:rPr>
        <w:t xml:space="preserve">Phase III — Banking System Integration</w:t>
      </w:r>
    </w:p>
    <w:p>
      <w:pPr>
        <w:pStyle w:val="ListParagraph"/>
        <w:numPr>
          <w:ilvl w:val="0"/>
          <w:numId w:val="2"/>
        </w:numPr>
        <w:spacing w:after="120"/>
      </w:pPr>
      <w:r>
        <w:rPr>
          <w:rFonts w:ascii="Calibri" w:cs="Calibri" w:eastAsia="Calibri" w:hAnsi="Calibri"/>
          <w:sz w:val="22"/>
          <w:szCs w:val="22"/>
        </w:rPr>
        <w:t xml:space="preserve">Phase IV — National Deployment</w:t>
      </w:r>
    </w:p>
    <w:p>
      <w:pPr>
        <w:pStyle w:val="ListParagraph"/>
        <w:numPr>
          <w:ilvl w:val="0"/>
          <w:numId w:val="2"/>
        </w:numPr>
        <w:spacing w:after="120"/>
      </w:pPr>
      <w:r>
        <w:rPr>
          <w:rFonts w:ascii="Calibri" w:cs="Calibri" w:eastAsia="Calibri" w:hAnsi="Calibri"/>
          <w:sz w:val="22"/>
          <w:szCs w:val="22"/>
        </w:rPr>
        <w:t xml:space="preserve">Phase V — Regional (Pan-African) Expansion</w:t>
      </w:r>
    </w:p>
    <w:p>
      <w:pPr>
        <w:pStyle w:val="Heading3"/>
        <w:spacing w:after="120" w:before="200"/>
      </w:pPr>
      <w:r>
        <w:rPr>
          <w:rFonts w:ascii="Calibri" w:cs="Calibri" w:eastAsia="Calibri" w:hAnsi="Calibri"/>
          <w:b/>
          <w:bCs/>
          <w:color w:val="2E5395"/>
          <w:sz w:val="23"/>
          <w:szCs w:val="23"/>
        </w:rPr>
        <w:t xml:space="preserve">1.1.8 Potential Partners and Collaborators</w:t>
      </w:r>
    </w:p>
    <w:p>
      <w:pPr>
        <w:spacing w:after="200" w:line="276"/>
      </w:pPr>
      <w:r>
        <w:rPr>
          <w:rFonts w:ascii="Calibri" w:cs="Calibri" w:eastAsia="Calibri" w:hAnsi="Calibri"/>
          <w:sz w:val="22"/>
          <w:szCs w:val="22"/>
        </w:rPr>
        <w:t xml:space="preserve">Because EthiScore AI is intended to grow beyond the hackathon into a working platform, the project aims to build relationships with the following types of organizations over time:</w:t>
      </w:r>
    </w:p>
    <w:p>
      <w:pPr>
        <w:pStyle w:val="ListParagraph"/>
        <w:numPr>
          <w:ilvl w:val="0"/>
          <w:numId w:val="2"/>
        </w:numPr>
        <w:spacing w:after="120"/>
      </w:pPr>
      <w:r>
        <w:rPr>
          <w:rFonts w:ascii="Calibri" w:cs="Calibri" w:eastAsia="Calibri" w:hAnsi="Calibri"/>
          <w:sz w:val="22"/>
          <w:szCs w:val="22"/>
        </w:rPr>
        <w:t xml:space="preserve">Commercial banks and digital lending platforms interested in piloting explainable AI decision support.</w:t>
      </w:r>
    </w:p>
    <w:p>
      <w:pPr>
        <w:pStyle w:val="ListParagraph"/>
        <w:numPr>
          <w:ilvl w:val="0"/>
          <w:numId w:val="2"/>
        </w:numPr>
        <w:spacing w:after="120"/>
      </w:pPr>
      <w:r>
        <w:rPr>
          <w:rFonts w:ascii="Calibri" w:cs="Calibri" w:eastAsia="Calibri" w:hAnsi="Calibri"/>
          <w:sz w:val="22"/>
          <w:szCs w:val="22"/>
        </w:rPr>
        <w:t xml:space="preserve">Microfinance institutions and SACCOs serving underserved SME segments.</w:t>
      </w:r>
    </w:p>
    <w:p>
      <w:pPr>
        <w:pStyle w:val="ListParagraph"/>
        <w:numPr>
          <w:ilvl w:val="0"/>
          <w:numId w:val="2"/>
        </w:numPr>
        <w:spacing w:after="120"/>
      </w:pPr>
      <w:r>
        <w:rPr>
          <w:rFonts w:ascii="Calibri" w:cs="Calibri" w:eastAsia="Calibri" w:hAnsi="Calibri"/>
          <w:sz w:val="22"/>
          <w:szCs w:val="22"/>
        </w:rPr>
        <w:t xml:space="preserve">Ethiopian FinTech companies and digital payment providers as potential data and integration partners.</w:t>
      </w:r>
    </w:p>
    <w:p>
      <w:pPr>
        <w:pStyle w:val="ListParagraph"/>
        <w:numPr>
          <w:ilvl w:val="0"/>
          <w:numId w:val="2"/>
        </w:numPr>
        <w:spacing w:after="120"/>
      </w:pPr>
      <w:r>
        <w:rPr>
          <w:rFonts w:ascii="Calibri" w:cs="Calibri" w:eastAsia="Calibri" w:hAnsi="Calibri"/>
          <w:sz w:val="22"/>
          <w:szCs w:val="22"/>
        </w:rPr>
        <w:t xml:space="preserve">Universities and startup incubators/accelerators for technical mentorship and validation.</w:t>
      </w:r>
    </w:p>
    <w:p>
      <w:pPr>
        <w:pStyle w:val="ListParagraph"/>
        <w:numPr>
          <w:ilvl w:val="0"/>
          <w:numId w:val="2"/>
        </w:numPr>
        <w:spacing w:after="120"/>
      </w:pPr>
      <w:r>
        <w:rPr>
          <w:rFonts w:ascii="Calibri" w:cs="Calibri" w:eastAsia="Calibri" w:hAnsi="Calibri"/>
          <w:sz w:val="22"/>
          <w:szCs w:val="22"/>
        </w:rPr>
        <w:t xml:space="preserve">Regulatory and policy bodies, such as the National Bank of Ethiopia, to ensure the platform is designed in a way that is compatible with applicable financial regulation from the outset.</w:t>
      </w:r>
    </w:p>
    <w:p>
      <w:pPr>
        <w:spacing w:after="200" w:line="276"/>
      </w:pPr>
      <w:r>
        <w:rPr>
          <w:rFonts w:ascii="Calibri" w:cs="Calibri" w:eastAsia="Calibri" w:hAnsi="Calibri"/>
          <w:sz w:val="22"/>
          <w:szCs w:val="22"/>
        </w:rPr>
        <w:t xml:space="preserve">These are framed as organizations the project intends to approach and work with as it matures, rather than as confirmed partners at the hackathon stage.</w:t>
      </w:r>
    </w:p>
    <w:p>
      <w:pPr>
        <w:pStyle w:val="Heading3"/>
        <w:spacing w:after="120" w:before="200"/>
      </w:pPr>
      <w:r>
        <w:rPr>
          <w:rFonts w:ascii="Calibri" w:cs="Calibri" w:eastAsia="Calibri" w:hAnsi="Calibri"/>
          <w:b/>
          <w:bCs/>
          <w:color w:val="2E5395"/>
          <w:sz w:val="23"/>
          <w:szCs w:val="23"/>
        </w:rPr>
        <w:t xml:space="preserve">1.1.9 Related Initiatives</w:t>
      </w:r>
    </w:p>
    <w:p>
      <w:pPr>
        <w:spacing w:after="200" w:line="276"/>
      </w:pPr>
      <w:r>
        <w:rPr>
          <w:rFonts w:ascii="Calibri" w:cs="Calibri" w:eastAsia="Calibri" w:hAnsi="Calibri"/>
          <w:sz w:val="22"/>
          <w:szCs w:val="22"/>
        </w:rPr>
        <w:t xml:space="preserve">EthiScore AI is designed to complement, rather than replace, existing financial infrastructure. It is intended to integrate with or draw on core banking systems, digital wallet platforms, mobile payment systems, SME management tools, and — as they mature — open banking APIs and government digital-finance initiatives.</w:t>
      </w:r>
    </w:p>
    <w:p>
      <w:pPr>
        <w:pStyle w:val="Heading2"/>
        <w:spacing w:after="160" w:before="300"/>
      </w:pPr>
      <w:r>
        <w:rPr>
          <w:rFonts w:ascii="Calibri" w:cs="Calibri" w:eastAsia="Calibri" w:hAnsi="Calibri"/>
          <w:b/>
          <w:bCs/>
          <w:color w:val="2E5395"/>
          <w:sz w:val="26"/>
          <w:szCs w:val="26"/>
        </w:rPr>
        <w:t xml:space="preserve">1.2 The Existing System</w:t>
      </w:r>
    </w:p>
    <w:p>
      <w:pPr>
        <w:spacing w:after="200" w:line="276"/>
      </w:pPr>
      <w:r>
        <w:rPr>
          <w:rFonts w:ascii="Calibri" w:cs="Calibri" w:eastAsia="Calibri" w:hAnsi="Calibri"/>
          <w:sz w:val="22"/>
          <w:szCs w:val="22"/>
        </w:rPr>
        <w:t xml:space="preserve">Loan evaluation for SMEs in Ethiopia today is typically conducted through manual, document-driven processes. Applicants submit collateral documentation, business licenses, and, where available, financial statements or bank statements, which loan officers then review individually against internal lending criteria.</w:t>
      </w:r>
    </w:p>
    <w:p>
      <w:pPr>
        <w:spacing w:after="200" w:line="276"/>
      </w:pPr>
      <w:r>
        <w:rPr>
          <w:rFonts w:ascii="Calibri" w:cs="Calibri" w:eastAsia="Calibri" w:hAnsi="Calibri"/>
          <w:sz w:val="22"/>
          <w:szCs w:val="22"/>
        </w:rPr>
        <w:t xml:space="preserve">This approach has several structural limitations for SME lending specifically:</w:t>
      </w:r>
    </w:p>
    <w:p>
      <w:pPr>
        <w:pStyle w:val="ListParagraph"/>
        <w:numPr>
          <w:ilvl w:val="0"/>
          <w:numId w:val="2"/>
        </w:numPr>
        <w:spacing w:after="120"/>
      </w:pPr>
      <w:r>
        <w:rPr>
          <w:rFonts w:ascii="Calibri" w:cs="Calibri" w:eastAsia="Calibri" w:hAnsi="Calibri"/>
          <w:sz w:val="22"/>
          <w:szCs w:val="22"/>
        </w:rPr>
        <w:t xml:space="preserve">Heavy reliance on collateral, which many early-stage or informal businesses do not have in a form banks accept.</w:t>
      </w:r>
    </w:p>
    <w:p>
      <w:pPr>
        <w:pStyle w:val="ListParagraph"/>
        <w:numPr>
          <w:ilvl w:val="0"/>
          <w:numId w:val="2"/>
        </w:numPr>
        <w:spacing w:after="120"/>
      </w:pPr>
      <w:r>
        <w:rPr>
          <w:rFonts w:ascii="Calibri" w:cs="Calibri" w:eastAsia="Calibri" w:hAnsi="Calibri"/>
          <w:sz w:val="22"/>
          <w:szCs w:val="22"/>
        </w:rPr>
        <w:t xml:space="preserve">Limited use of ongoing operational data — such as revenue consistency, cash-flow patterns, or repayment behavior on smaller informal credit — that could indicate creditworthiness even without a long formal credit history.</w:t>
      </w:r>
    </w:p>
    <w:p>
      <w:pPr>
        <w:pStyle w:val="ListParagraph"/>
        <w:numPr>
          <w:ilvl w:val="0"/>
          <w:numId w:val="2"/>
        </w:numPr>
        <w:spacing w:after="120"/>
      </w:pPr>
      <w:r>
        <w:rPr>
          <w:rFonts w:ascii="Calibri" w:cs="Calibri" w:eastAsia="Calibri" w:hAnsi="Calibri"/>
          <w:sz w:val="22"/>
          <w:szCs w:val="22"/>
        </w:rPr>
        <w:t xml:space="preserve">Manual review processes that are time-consuming for loan officers and slow for applicants, which discourages smaller loan requests from being processed efficiently.</w:t>
      </w:r>
    </w:p>
    <w:p>
      <w:pPr>
        <w:pStyle w:val="ListParagraph"/>
        <w:numPr>
          <w:ilvl w:val="0"/>
          <w:numId w:val="2"/>
        </w:numPr>
        <w:spacing w:after="120"/>
      </w:pPr>
      <w:r>
        <w:rPr>
          <w:rFonts w:ascii="Calibri" w:cs="Calibri" w:eastAsia="Calibri" w:hAnsi="Calibri"/>
          <w:sz w:val="22"/>
          <w:szCs w:val="22"/>
        </w:rPr>
        <w:t xml:space="preserve">Limited standardization or explainability in how risk decisions are reached, making it harder for institutions to audit or improve their own lending criteria over time.</w:t>
      </w:r>
    </w:p>
    <w:p>
      <w:pPr>
        <w:spacing w:after="200" w:line="276"/>
      </w:pPr>
      <w:r>
        <w:rPr>
          <w:rFonts w:ascii="Calibri" w:cs="Calibri" w:eastAsia="Calibri" w:hAnsi="Calibri"/>
          <w:sz w:val="22"/>
          <w:szCs w:val="22"/>
        </w:rPr>
        <w:t xml:space="preserve">These limitations do not mean existing systems are poorly run; rather, they reflect tools built primarily for applicants who already have extensive formal documentation. EthiScore AI is designed to work alongside these existing processes, adding an additional, explainable layer of analysis rather than replacing institutional lending policy.</w:t>
      </w:r>
    </w:p>
    <w:p>
      <w:pPr>
        <w:pStyle w:val="Heading2"/>
        <w:spacing w:after="160" w:before="300"/>
      </w:pPr>
      <w:r>
        <w:rPr>
          <w:rFonts w:ascii="Calibri" w:cs="Calibri" w:eastAsia="Calibri" w:hAnsi="Calibri"/>
          <w:b/>
          <w:bCs/>
          <w:color w:val="2E5395"/>
          <w:sz w:val="26"/>
          <w:szCs w:val="26"/>
        </w:rPr>
        <w:t xml:space="preserve">1.3 Statement of the Problem</w:t>
      </w:r>
    </w:p>
    <w:p>
      <w:pPr>
        <w:spacing w:after="200" w:line="276"/>
      </w:pPr>
      <w:r>
        <w:rPr>
          <w:rFonts w:ascii="Calibri" w:cs="Calibri" w:eastAsia="Calibri" w:hAnsi="Calibri"/>
          <w:sz w:val="22"/>
          <w:szCs w:val="22"/>
        </w:rPr>
        <w:t xml:space="preserve">The core problem this project addresses can be summarized as follows: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Element</w:t>
            </w:r>
          </w:p>
        </w:tc>
        <w:tc>
          <w:tcPr>
            <w:tcW w:type="dxa" w:w="69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Description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The problem of...</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Many creditworthy Ethiopian SMEs cannot demonstrate their creditworthiness through conventional documentation (collateral, audited statements, long credit history), even when the underlying business is viable.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Affects...</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SME owners and entrepreneurs (particularly first-time, youth, and women-led businesses); loan officers and credit teams at banks, MFIs, and SACCOs; and, indirectly, the broader Ethiopian economy through reduced job creation and investment.</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And results in...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Slower, more conservative lending; higher rejection rates for viable businesses; time-intensive manual review for loan officers; and a persistent financing gap that limits SME growth and formalization.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Benefits of a solution...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An explainable AI credit intelligence platform that (a) helps loan officers evaluate applicants faster and more consistently, (b) gives SMEs a clearer, more transparent picture of their own loan readiness, and (c) preserves human decision-making authority while improving the evidence base behind it.</w:t>
            </w:r>
          </w:p>
        </w:tc>
      </w:tr>
    </w:tbl>
    <w:p>
      <w:pPr>
        <w:spacing w:after="200" w:line="276"/>
      </w:pPr>
      <w:r>
        <w:rPr>
          <w:rFonts w:ascii="Calibri" w:cs="Calibri" w:eastAsia="Calibri" w:hAnsi="Calibri"/>
          <w:sz w:val="22"/>
          <w:szCs w:val="22"/>
        </w:rPr>
        <w:t xml:space="preserve">This problem has existed for an extended period and has been addressed to varying degrees through collateral-substitution schemes, government guarantee funds, and group-lending models. These approaches have helped but have not eliminated the gap, which is one reason alternative, data-driven approaches — used carefully and with appropriate safeguards — are of growing interest to lenders, regulators, and development organizations alike.</w:t>
      </w:r>
    </w:p>
    <w:p>
      <w:pPr>
        <w:pStyle w:val="Heading2"/>
        <w:spacing w:after="160" w:before="300"/>
      </w:pPr>
      <w:r>
        <w:rPr>
          <w:rFonts w:ascii="Calibri" w:cs="Calibri" w:eastAsia="Calibri" w:hAnsi="Calibri"/>
          <w:b/>
          <w:bCs/>
          <w:color w:val="2E5395"/>
          <w:sz w:val="26"/>
          <w:szCs w:val="26"/>
        </w:rPr>
        <w:t xml:space="preserve">1.4 Objectives of the Project</w:t>
      </w:r>
    </w:p>
    <w:p>
      <w:pPr>
        <w:pStyle w:val="Heading3"/>
        <w:spacing w:after="120" w:before="200"/>
      </w:pPr>
      <w:r>
        <w:rPr>
          <w:rFonts w:ascii="Calibri" w:cs="Calibri" w:eastAsia="Calibri" w:hAnsi="Calibri"/>
          <w:b/>
          <w:bCs/>
          <w:color w:val="2E5395"/>
          <w:sz w:val="23"/>
          <w:szCs w:val="23"/>
        </w:rPr>
        <w:t xml:space="preserve">1.4.1 General Objective</w:t>
      </w:r>
    </w:p>
    <w:p>
      <w:pPr>
        <w:spacing w:after="200" w:line="276"/>
      </w:pPr>
      <w:r>
        <w:rPr>
          <w:rFonts w:ascii="Calibri" w:cs="Calibri" w:eastAsia="Calibri" w:hAnsi="Calibri"/>
          <w:sz w:val="22"/>
          <w:szCs w:val="22"/>
        </w:rPr>
        <w:t xml:space="preserve">To design and develop EthiScore AI, an Explainable AI Credit Intelligence Platform that assists Ethiopian financial institutions in assessing SME loan applicants more efficiently and transparently, in support of broader financial inclusion.</w:t>
      </w:r>
    </w:p>
    <w:p>
      <w:pPr>
        <w:pStyle w:val="Heading3"/>
        <w:spacing w:after="120" w:before="200"/>
      </w:pPr>
      <w:r>
        <w:rPr>
          <w:rFonts w:ascii="Calibri" w:cs="Calibri" w:eastAsia="Calibri" w:hAnsi="Calibri"/>
          <w:b/>
          <w:bCs/>
          <w:color w:val="2E5395"/>
          <w:sz w:val="23"/>
          <w:szCs w:val="23"/>
        </w:rPr>
        <w:t xml:space="preserve">1.4.2 Specific Objectives</w:t>
      </w:r>
    </w:p>
    <w:p>
      <w:pPr>
        <w:pStyle w:val="ListParagraph"/>
        <w:numPr>
          <w:ilvl w:val="0"/>
          <w:numId w:val="2"/>
        </w:numPr>
        <w:spacing w:after="120"/>
      </w:pPr>
      <w:r>
        <w:rPr>
          <w:rFonts w:ascii="Calibri" w:cs="Calibri" w:eastAsia="Calibri" w:hAnsi="Calibri"/>
          <w:sz w:val="22"/>
          <w:szCs w:val="22"/>
        </w:rPr>
        <w:t xml:space="preserve">To design an SME-facing portal for business registration, profile management, and loan application submission.</w:t>
      </w:r>
    </w:p>
    <w:p>
      <w:pPr>
        <w:pStyle w:val="ListParagraph"/>
        <w:numPr>
          <w:ilvl w:val="0"/>
          <w:numId w:val="2"/>
        </w:numPr>
        <w:spacing w:after="120"/>
      </w:pPr>
      <w:r>
        <w:rPr>
          <w:rFonts w:ascii="Calibri" w:cs="Calibri" w:eastAsia="Calibri" w:hAnsi="Calibri"/>
          <w:sz w:val="22"/>
          <w:szCs w:val="22"/>
        </w:rPr>
        <w:t xml:space="preserve">To design a bank-facing dashboard that presents AI-generated credit intelligence reports and supports human decision-making.</w:t>
      </w:r>
    </w:p>
    <w:p>
      <w:pPr>
        <w:pStyle w:val="ListParagraph"/>
        <w:numPr>
          <w:ilvl w:val="0"/>
          <w:numId w:val="2"/>
        </w:numPr>
        <w:spacing w:after="120"/>
      </w:pPr>
      <w:r>
        <w:rPr>
          <w:rFonts w:ascii="Calibri" w:cs="Calibri" w:eastAsia="Calibri" w:hAnsi="Calibri"/>
          <w:sz w:val="22"/>
          <w:szCs w:val="22"/>
        </w:rPr>
        <w:t xml:space="preserve">To develop an AI engine capable of analyzing available financial and business indicators and producing an explainable risk classification and loan-readiness assessment.</w:t>
      </w:r>
    </w:p>
    <w:p>
      <w:pPr>
        <w:pStyle w:val="ListParagraph"/>
        <w:numPr>
          <w:ilvl w:val="0"/>
          <w:numId w:val="2"/>
        </w:numPr>
        <w:spacing w:after="120"/>
      </w:pPr>
      <w:r>
        <w:rPr>
          <w:rFonts w:ascii="Calibri" w:cs="Calibri" w:eastAsia="Calibri" w:hAnsi="Calibri"/>
          <w:sz w:val="22"/>
          <w:szCs w:val="22"/>
        </w:rPr>
        <w:t xml:space="preserve">To ensure all AI-generated outputs include clear, human-readable explanations rather than opaque scores alone.</w:t>
      </w:r>
    </w:p>
    <w:p>
      <w:pPr>
        <w:pStyle w:val="ListParagraph"/>
        <w:numPr>
          <w:ilvl w:val="0"/>
          <w:numId w:val="2"/>
        </w:numPr>
        <w:spacing w:after="120"/>
      </w:pPr>
      <w:r>
        <w:rPr>
          <w:rFonts w:ascii="Calibri" w:cs="Calibri" w:eastAsia="Calibri" w:hAnsi="Calibri"/>
          <w:sz w:val="22"/>
          <w:szCs w:val="22"/>
        </w:rPr>
        <w:t xml:space="preserve">To incorporate consent-based data collection practices consistent with responsible data use.</w:t>
      </w:r>
    </w:p>
    <w:p>
      <w:pPr>
        <w:pStyle w:val="ListParagraph"/>
        <w:numPr>
          <w:ilvl w:val="0"/>
          <w:numId w:val="2"/>
        </w:numPr>
        <w:spacing w:after="120"/>
      </w:pPr>
      <w:r>
        <w:rPr>
          <w:rFonts w:ascii="Calibri" w:cs="Calibri" w:eastAsia="Calibri" w:hAnsi="Calibri"/>
          <w:sz w:val="22"/>
          <w:szCs w:val="22"/>
        </w:rPr>
        <w:t xml:space="preserve">To build the platform using open-source, low-cost technologies suitable for rapid MVP development within the hackathon timeframe.</w:t>
      </w:r>
    </w:p>
    <w:p>
      <w:pPr>
        <w:pStyle w:val="ListParagraph"/>
        <w:numPr>
          <w:ilvl w:val="0"/>
          <w:numId w:val="2"/>
        </w:numPr>
        <w:spacing w:after="120"/>
      </w:pPr>
      <w:r>
        <w:rPr>
          <w:rFonts w:ascii="Calibri" w:cs="Calibri" w:eastAsia="Calibri" w:hAnsi="Calibri"/>
          <w:sz w:val="22"/>
          <w:szCs w:val="22"/>
        </w:rPr>
        <w:t xml:space="preserve">To produce a system architecture and roadmap capable of extending, in later phases, toward pilot testing with real financial institutions.</w:t>
      </w:r>
    </w:p>
    <w:p>
      <w:pPr>
        <w:pStyle w:val="Heading2"/>
        <w:spacing w:after="160" w:before="300"/>
      </w:pPr>
      <w:r>
        <w:rPr>
          <w:rFonts w:ascii="Calibri" w:cs="Calibri" w:eastAsia="Calibri" w:hAnsi="Calibri"/>
          <w:b/>
          <w:bCs/>
          <w:color w:val="2E5395"/>
          <w:sz w:val="26"/>
          <w:szCs w:val="26"/>
        </w:rPr>
        <w:t xml:space="preserve">1.5 Proposed System</w:t>
      </w:r>
    </w:p>
    <w:p>
      <w:pPr>
        <w:spacing w:after="200" w:line="276"/>
      </w:pPr>
      <w:r>
        <w:rPr>
          <w:rFonts w:ascii="Calibri" w:cs="Calibri" w:eastAsia="Calibri" w:hAnsi="Calibri"/>
          <w:sz w:val="22"/>
          <w:szCs w:val="22"/>
        </w:rPr>
        <w:t xml:space="preserve">EthiScore AI proposes a layered analysis pipeline that moves from raw SME data to an explainable, decision-ready report:</w:t>
      </w:r>
    </w:p>
    <w:p>
      <w:pPr>
        <w:spacing w:after="200" w:line="276"/>
      </w:pPr>
      <w:r>
        <w:rPr>
          <w:rFonts w:ascii="Calibri" w:cs="Calibri" w:eastAsia="Calibri" w:hAnsi="Calibri"/>
          <w:i/>
          <w:iCs/>
          <w:color w:val="2E5395"/>
          <w:sz w:val="22"/>
          <w:szCs w:val="22"/>
        </w:rPr>
        <w:t xml:space="preserve">SME Profile  →  Financial &amp; Business Data  →  AI Credit Intelligence Engine  →  Business Health &amp; Risk Analysis  →  Loan Readiness Assessment  →  Explainable Report  →  Bank Dashboard  →  Human Loan Decision</w:t>
      </w:r>
    </w:p>
    <w:p>
      <w:pPr>
        <w:spacing w:after="200" w:line="276"/>
      </w:pPr>
      <w:r>
        <w:rPr>
          <w:rFonts w:ascii="Calibri" w:cs="Calibri" w:eastAsia="Calibri" w:hAnsi="Calibri"/>
          <w:sz w:val="22"/>
          <w:szCs w:val="22"/>
        </w:rPr>
        <w:t xml:space="preserve">At each stage, the system is designed to surface not just an output, but the reasoning behind it — for example, which indicators most influenced a given risk classification — so that loan officers can interrogate and, where appropriate, override the system's suggestions. The platform is deliberately positioned as decision support rather than automated decision-making, consistent with responsible AI principles for regulated financial services.</w:t>
      </w:r>
    </w:p>
    <w:p>
      <w:pPr>
        <w:spacing w:after="200" w:line="276"/>
      </w:pPr>
      <w:r>
        <w:rPr>
          <w:rFonts w:ascii="Calibri" w:cs="Calibri" w:eastAsia="Calibri" w:hAnsi="Calibri"/>
          <w:sz w:val="22"/>
          <w:szCs w:val="22"/>
        </w:rPr>
        <w:t xml:space="preserve">Core components:</w:t>
      </w:r>
    </w:p>
    <w:p>
      <w:pPr>
        <w:pStyle w:val="ListParagraph"/>
        <w:numPr>
          <w:ilvl w:val="0"/>
          <w:numId w:val="2"/>
        </w:numPr>
        <w:spacing w:after="120"/>
      </w:pPr>
      <w:r>
        <w:rPr>
          <w:rFonts w:ascii="Calibri" w:cs="Calibri" w:eastAsia="Calibri" w:hAnsi="Calibri"/>
          <w:sz w:val="22"/>
          <w:szCs w:val="22"/>
        </w:rPr>
        <w:t xml:space="preserve">SME Portal — registration, business profiling, document/data submission, and report viewing for applicants.</w:t>
      </w:r>
    </w:p>
    <w:p>
      <w:pPr>
        <w:pStyle w:val="ListParagraph"/>
        <w:numPr>
          <w:ilvl w:val="0"/>
          <w:numId w:val="2"/>
        </w:numPr>
        <w:spacing w:after="120"/>
      </w:pPr>
      <w:r>
        <w:rPr>
          <w:rFonts w:ascii="Calibri" w:cs="Calibri" w:eastAsia="Calibri" w:hAnsi="Calibri"/>
          <w:sz w:val="22"/>
          <w:szCs w:val="22"/>
        </w:rPr>
        <w:t xml:space="preserve">Bank Dashboard — application queue management, report review, risk visualization, and audit trail for lenders.</w:t>
      </w:r>
    </w:p>
    <w:p>
      <w:pPr>
        <w:pStyle w:val="ListParagraph"/>
        <w:numPr>
          <w:ilvl w:val="0"/>
          <w:numId w:val="2"/>
        </w:numPr>
        <w:spacing w:after="120"/>
      </w:pPr>
      <w:r>
        <w:rPr>
          <w:rFonts w:ascii="Calibri" w:cs="Calibri" w:eastAsia="Calibri" w:hAnsi="Calibri"/>
          <w:sz w:val="22"/>
          <w:szCs w:val="22"/>
        </w:rPr>
        <w:t xml:space="preserve">AI Engine — the analytical core that generates credit intelligence, risk classification, and explanations.</w:t>
      </w:r>
    </w:p>
    <w:p>
      <w:pPr>
        <w:pStyle w:val="ListParagraph"/>
        <w:numPr>
          <w:ilvl w:val="0"/>
          <w:numId w:val="2"/>
        </w:numPr>
        <w:spacing w:after="120"/>
      </w:pPr>
      <w:r>
        <w:rPr>
          <w:rFonts w:ascii="Calibri" w:cs="Calibri" w:eastAsia="Calibri" w:hAnsi="Calibri"/>
          <w:sz w:val="22"/>
          <w:szCs w:val="22"/>
        </w:rPr>
        <w:t xml:space="preserve">Administration Module — user management, monitoring, and analytics for platform operators.</w:t>
      </w:r>
    </w:p>
    <w:p>
      <w:pPr>
        <w:pStyle w:val="Heading2"/>
        <w:spacing w:after="160" w:before="300"/>
      </w:pPr>
      <w:r>
        <w:rPr>
          <w:rFonts w:ascii="Calibri" w:cs="Calibri" w:eastAsia="Calibri" w:hAnsi="Calibri"/>
          <w:b/>
          <w:bCs/>
          <w:color w:val="2E5395"/>
          <w:sz w:val="26"/>
          <w:szCs w:val="26"/>
        </w:rPr>
        <w:t xml:space="preserve">1.6 Business Model</w:t>
      </w:r>
    </w:p>
    <w:p>
      <w:pPr>
        <w:spacing w:after="200" w:line="276"/>
      </w:pPr>
      <w:r>
        <w:rPr>
          <w:rFonts w:ascii="Calibri" w:cs="Calibri" w:eastAsia="Calibri" w:hAnsi="Calibri"/>
          <w:sz w:val="22"/>
          <w:szCs w:val="22"/>
        </w:rPr>
        <w:t xml:space="preserve">EthiScore AI is designed as a Business-to-Business-to-SME (B2B2SME) platform: financial institutions are the direct, paying customers, while SMEs access the platform's benefits indirectly through the lenders that adopt it. This structure keeps the core credit-intelligence pipeline described in Section 1.5 unchanged while defining how the platform sustains itself financially beyond the hackathon stage.</w:t>
      </w:r>
    </w:p>
    <w:p>
      <w:pPr>
        <w:pStyle w:val="Heading3"/>
        <w:spacing w:after="120" w:before="200"/>
      </w:pPr>
      <w:r>
        <w:rPr>
          <w:rFonts w:ascii="Calibri" w:cs="Calibri" w:eastAsia="Calibri" w:hAnsi="Calibri"/>
          <w:b/>
          <w:bCs/>
          <w:color w:val="2E5395"/>
          <w:sz w:val="23"/>
          <w:szCs w:val="23"/>
        </w:rPr>
        <w:t xml:space="preserve">1.6.1 Value Proposition</w:t>
      </w:r>
    </w:p>
    <w:p>
      <w:pPr>
        <w:pStyle w:val="ListParagraph"/>
        <w:numPr>
          <w:ilvl w:val="0"/>
          <w:numId w:val="2"/>
        </w:numPr>
        <w:spacing w:after="120"/>
      </w:pPr>
      <w:r>
        <w:rPr>
          <w:rFonts w:ascii="Calibri" w:cs="Calibri" w:eastAsia="Calibri" w:hAnsi="Calibri"/>
          <w:sz w:val="22"/>
          <w:szCs w:val="22"/>
        </w:rPr>
        <w:t xml:space="preserve">For banks, MFIs, and SACCOs: faster, more consistent, and better-documented SME loan evaluations, with an explainable audit trail that supports internal risk governance.</w:t>
      </w:r>
    </w:p>
    <w:p>
      <w:pPr>
        <w:pStyle w:val="ListParagraph"/>
        <w:numPr>
          <w:ilvl w:val="0"/>
          <w:numId w:val="2"/>
        </w:numPr>
        <w:spacing w:after="120"/>
      </w:pPr>
      <w:r>
        <w:rPr>
          <w:rFonts w:ascii="Calibri" w:cs="Calibri" w:eastAsia="Calibri" w:hAnsi="Calibri"/>
          <w:sz w:val="22"/>
          <w:szCs w:val="22"/>
        </w:rPr>
        <w:t xml:space="preserve">For SMEs: a transparent way to understand and improve their own loan readiness, even without extensive formal financial history.</w:t>
      </w:r>
    </w:p>
    <w:p>
      <w:pPr>
        <w:pStyle w:val="ListParagraph"/>
        <w:numPr>
          <w:ilvl w:val="0"/>
          <w:numId w:val="2"/>
        </w:numPr>
        <w:spacing w:after="120"/>
      </w:pPr>
      <w:r>
        <w:rPr>
          <w:rFonts w:ascii="Calibri" w:cs="Calibri" w:eastAsia="Calibri" w:hAnsi="Calibri"/>
          <w:sz w:val="22"/>
          <w:szCs w:val="22"/>
        </w:rPr>
        <w:t xml:space="preserve">For regulators and development partners: a responsible-AI approach to alternative-data credit assessment that keeps a human decision-maker in the loop.</w:t>
      </w:r>
    </w:p>
    <w:p>
      <w:pPr>
        <w:pStyle w:val="Heading3"/>
        <w:spacing w:after="120" w:before="200"/>
      </w:pPr>
      <w:r>
        <w:rPr>
          <w:rFonts w:ascii="Calibri" w:cs="Calibri" w:eastAsia="Calibri" w:hAnsi="Calibri"/>
          <w:b/>
          <w:bCs/>
          <w:color w:val="2E5395"/>
          <w:sz w:val="23"/>
          <w:szCs w:val="23"/>
        </w:rPr>
        <w:t xml:space="preserve">1.6.2 Customer Segments</w:t>
      </w:r>
    </w:p>
    <w:p>
      <w:pPr>
        <w:pStyle w:val="ListParagraph"/>
        <w:numPr>
          <w:ilvl w:val="0"/>
          <w:numId w:val="2"/>
        </w:numPr>
        <w:spacing w:after="120"/>
      </w:pPr>
      <w:r>
        <w:rPr>
          <w:rFonts w:ascii="Calibri" w:cs="Calibri" w:eastAsia="Calibri" w:hAnsi="Calibri"/>
          <w:sz w:val="22"/>
          <w:szCs w:val="22"/>
        </w:rPr>
        <w:t xml:space="preserve">Primary (paying): commercial banks, microfinance institutions, SACCOs, and digital lending platforms.</w:t>
      </w:r>
    </w:p>
    <w:p>
      <w:pPr>
        <w:pStyle w:val="ListParagraph"/>
        <w:numPr>
          <w:ilvl w:val="0"/>
          <w:numId w:val="2"/>
        </w:numPr>
        <w:spacing w:after="120"/>
      </w:pPr>
      <w:r>
        <w:rPr>
          <w:rFonts w:ascii="Calibri" w:cs="Calibri" w:eastAsia="Calibri" w:hAnsi="Calibri"/>
          <w:sz w:val="22"/>
          <w:szCs w:val="22"/>
        </w:rPr>
        <w:t xml:space="preserve">Secondary (future): government-backed SME financing programs and development finance institutions seeking portfolio-level risk visibility.</w:t>
      </w:r>
    </w:p>
    <w:p>
      <w:pPr>
        <w:pStyle w:val="ListParagraph"/>
        <w:numPr>
          <w:ilvl w:val="0"/>
          <w:numId w:val="2"/>
        </w:numPr>
        <w:spacing w:after="120"/>
      </w:pPr>
      <w:r>
        <w:rPr>
          <w:rFonts w:ascii="Calibri" w:cs="Calibri" w:eastAsia="Calibri" w:hAnsi="Calibri"/>
          <w:sz w:val="22"/>
          <w:szCs w:val="22"/>
        </w:rPr>
        <w:t xml:space="preserve">End users (non-paying): SME owners and entrepreneurs who apply through the SME Portal.</w:t>
      </w:r>
    </w:p>
    <w:p>
      <w:pPr>
        <w:pStyle w:val="Heading3"/>
        <w:spacing w:after="120" w:before="200"/>
      </w:pPr>
      <w:r>
        <w:rPr>
          <w:rFonts w:ascii="Calibri" w:cs="Calibri" w:eastAsia="Calibri" w:hAnsi="Calibri"/>
          <w:b/>
          <w:bCs/>
          <w:color w:val="2E5395"/>
          <w:sz w:val="23"/>
          <w:szCs w:val="23"/>
        </w:rPr>
        <w:t xml:space="preserve">1.6.3 Revenue Streams</w:t>
      </w:r>
    </w:p>
    <w:p>
      <w:pPr>
        <w:spacing w:after="200" w:line="276"/>
      </w:pPr>
      <w:r>
        <w:rPr>
          <w:rFonts w:ascii="Calibri" w:cs="Calibri" w:eastAsia="Calibri" w:hAnsi="Calibri"/>
          <w:sz w:val="22"/>
          <w:szCs w:val="22"/>
        </w:rPr>
        <w:t xml:space="preserve">The MVP itself will not process payments, but the platform's intended path to sustainability rests on a small number of straightforward, SaaS-style revenue streams appropriate for a B2B FinTech product: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Revenue Stream</w:t>
            </w:r>
          </w:p>
        </w:tc>
        <w:tc>
          <w:tcPr>
            <w:tcW w:type="dxa" w:w="62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Description</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Institutional subscription (SaaS)</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Tiered monthly/annual licensing fee for banks, MFIs, and SACCOs, based on the number of active loan officers or applications processed.</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Per-report / per-assessment fee</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 transaction-based fee charged per credit intelligence report generated, for institutions that prefer usage-based pricing over a flat subscription.</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API / integration access</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 fee for connecting EthiScore AI's engine into a lender's existing loan origination system via API, rather than using the standalone dashboard.</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Advisory and onboarding services</w:t>
            </w:r>
          </w:p>
        </w:tc>
        <w:tc>
          <w:tcPr>
            <w:tcW w:type="dxa" w:w="6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Optional fee-based support for institutions during pilot setup, staff training, and model calibration to local portfolio data.</w:t>
            </w:r>
          </w:p>
        </w:tc>
      </w:tr>
    </w:tbl>
    <w:p>
      <w:pPr>
        <w:spacing w:after="200" w:line="276"/>
      </w:pPr>
      <w:r>
        <w:rPr>
          <w:rFonts w:ascii="Calibri" w:cs="Calibri" w:eastAsia="Calibri" w:hAnsi="Calibri"/>
          <w:sz w:val="22"/>
          <w:szCs w:val="22"/>
        </w:rPr>
        <w:t xml:space="preserve">SMEs are not expected to pay directly to use the platform, since their access is intended to be provided through partner financial institutions as part of the loan application process.</w:t>
      </w:r>
    </w:p>
    <w:p>
      <w:pPr>
        <w:pStyle w:val="Heading3"/>
        <w:spacing w:after="120" w:before="200"/>
      </w:pPr>
      <w:r>
        <w:rPr>
          <w:rFonts w:ascii="Calibri" w:cs="Calibri" w:eastAsia="Calibri" w:hAnsi="Calibri"/>
          <w:b/>
          <w:bCs/>
          <w:color w:val="2E5395"/>
          <w:sz w:val="23"/>
          <w:szCs w:val="23"/>
        </w:rPr>
        <w:t xml:space="preserve">1.6.4 Key Resources, Activities, and Partners</w:t>
      </w:r>
    </w:p>
    <w:p>
      <w:pPr>
        <w:spacing w:after="200" w:line="276"/>
      </w:pPr>
      <w:r>
        <w:rPr>
          <w:rFonts w:ascii="Calibri" w:cs="Calibri" w:eastAsia="Calibri" w:hAnsi="Calibri"/>
          <w:sz w:val="22"/>
          <w:szCs w:val="22"/>
        </w:rPr>
        <w:t xml:space="preserve">Key resources include the AI Engine and its underlying models, the software platform itself, and the data-consent and governance framework needed to handle SME information responsibly. Key activities include continued model development and validation, platform maintenance, and institutional onboarding. Key partners are the financial institutions, technology providers, and regulatory bodies identified in Section 1.1.8.</w:t>
      </w:r>
    </w:p>
    <w:p>
      <w:pPr>
        <w:pStyle w:val="Heading3"/>
        <w:spacing w:after="120" w:before="200"/>
      </w:pPr>
      <w:r>
        <w:rPr>
          <w:rFonts w:ascii="Calibri" w:cs="Calibri" w:eastAsia="Calibri" w:hAnsi="Calibri"/>
          <w:b/>
          <w:bCs/>
          <w:color w:val="2E5395"/>
          <w:sz w:val="23"/>
          <w:szCs w:val="23"/>
        </w:rPr>
        <w:t xml:space="preserve">1.6.5 Cost Structure</w:t>
      </w:r>
    </w:p>
    <w:p>
      <w:pPr>
        <w:spacing w:after="200" w:line="276"/>
      </w:pPr>
      <w:r>
        <w:rPr>
          <w:rFonts w:ascii="Calibri" w:cs="Calibri" w:eastAsia="Calibri" w:hAnsi="Calibri"/>
          <w:sz w:val="22"/>
          <w:szCs w:val="22"/>
        </w:rPr>
        <w:t xml:space="preserve">In the MVP stage, costs are limited to team time and free-tier infrastructure, as described in Section 1.1.6. Beyond the hackathon, the main cost drivers are expected to be cloud hosting and data storage at scale, ongoing model development and validation, compliance and security work required for handling financial data, and customer support for partner institutions.</w:t>
      </w:r>
    </w:p>
    <w:p>
      <w:pPr>
        <w:spacing w:after="200" w:line="276"/>
      </w:pPr>
      <w:r>
        <w:rPr>
          <w:rFonts w:ascii="Calibri" w:cs="Calibri" w:eastAsia="Calibri" w:hAnsi="Calibri"/>
          <w:sz w:val="22"/>
          <w:szCs w:val="22"/>
        </w:rPr>
        <w:t xml:space="preserve">This business model is intended to evolve as the platform moves through the phases outlined in Section 1.1.7, starting with free or discounted pilot access for early partner institutions before transitioning to paid subscriptions once the platform has demonstrated measurable value in a pilot setting.</w:t>
      </w:r>
    </w:p>
    <w:p>
      <w:pPr>
        <w:pStyle w:val="Heading2"/>
        <w:spacing w:after="160" w:before="300"/>
      </w:pPr>
      <w:r>
        <w:rPr>
          <w:rFonts w:ascii="Calibri" w:cs="Calibri" w:eastAsia="Calibri" w:hAnsi="Calibri"/>
          <w:b/>
          <w:bCs/>
          <w:color w:val="2E5395"/>
          <w:sz w:val="26"/>
          <w:szCs w:val="26"/>
        </w:rPr>
        <w:t xml:space="preserve">1.7 Feasibility Study</w:t>
      </w:r>
    </w:p>
    <w:p>
      <w:pPr>
        <w:pStyle w:val="Heading3"/>
        <w:spacing w:after="120" w:before="200"/>
      </w:pPr>
      <w:r>
        <w:rPr>
          <w:rFonts w:ascii="Calibri" w:cs="Calibri" w:eastAsia="Calibri" w:hAnsi="Calibri"/>
          <w:b/>
          <w:bCs/>
          <w:color w:val="2E5395"/>
          <w:sz w:val="23"/>
          <w:szCs w:val="23"/>
        </w:rPr>
        <w:t xml:space="preserve">1.7.1 Economic Feasibility</w:t>
      </w:r>
    </w:p>
    <w:p>
      <w:pPr>
        <w:spacing w:after="200" w:line="276"/>
      </w:pPr>
      <w:r>
        <w:rPr>
          <w:rFonts w:ascii="Calibri" w:cs="Calibri" w:eastAsia="Calibri" w:hAnsi="Calibri"/>
          <w:sz w:val="22"/>
          <w:szCs w:val="22"/>
        </w:rPr>
        <w:t xml:space="preserve">The MVP relies entirely on open-source frameworks (React.js, Node.js, Python, FastAPI) and free-tier infrastructure (GitHub, Render, Vercel, Supabase), so development cost during the hackathon phase is negligible beyond team time. Operational costs would begin to accrue only if the platform moves beyond MVP into pilot deployment, at which point hosting, data storage, and compliance-related costs would need to be budgeted.</w:t>
      </w:r>
    </w:p>
    <w:p>
      <w:pPr>
        <w:pStyle w:val="Heading3"/>
        <w:spacing w:after="120" w:before="200"/>
      </w:pPr>
      <w:r>
        <w:rPr>
          <w:rFonts w:ascii="Calibri" w:cs="Calibri" w:eastAsia="Calibri" w:hAnsi="Calibri"/>
          <w:b/>
          <w:bCs/>
          <w:color w:val="2E5395"/>
          <w:sz w:val="23"/>
          <w:szCs w:val="23"/>
        </w:rPr>
        <w:t xml:space="preserve">1.7.2 Technical Feasibility</w:t>
      </w:r>
    </w:p>
    <w:p>
      <w:pPr>
        <w:spacing w:after="200" w:line="276"/>
      </w:pPr>
      <w:r>
        <w:rPr>
          <w:rFonts w:ascii="Calibri" w:cs="Calibri" w:eastAsia="Calibri" w:hAnsi="Calibri"/>
          <w:sz w:val="22"/>
          <w:szCs w:val="22"/>
        </w:rPr>
        <w:t xml:space="preserve">The proposed technology stack is mature, well-documented, and widely used in production systems, which reduces technical risk. The team has access to modern AI/ML tooling and cloud-hosted free tiers sufficient to build and demonstrate a working MVP within the hackathon window. The main technical risk is the availability of real or representative SME data for training and demonstration, which will be mitigated using synthetic and anonymized sample data for the MVP stage.</w:t>
      </w:r>
    </w:p>
    <w:p>
      <w:pPr>
        <w:pStyle w:val="Heading3"/>
        <w:spacing w:after="120" w:before="200"/>
      </w:pPr>
      <w:r>
        <w:rPr>
          <w:rFonts w:ascii="Calibri" w:cs="Calibri" w:eastAsia="Calibri" w:hAnsi="Calibri"/>
          <w:b/>
          <w:bCs/>
          <w:color w:val="2E5395"/>
          <w:sz w:val="23"/>
          <w:szCs w:val="23"/>
        </w:rPr>
        <w:t xml:space="preserve">1.7.3 Operational Feasibility</w:t>
      </w:r>
    </w:p>
    <w:p>
      <w:pPr>
        <w:spacing w:after="200" w:line="276"/>
      </w:pPr>
      <w:r>
        <w:rPr>
          <w:rFonts w:ascii="Calibri" w:cs="Calibri" w:eastAsia="Calibri" w:hAnsi="Calibri"/>
          <w:sz w:val="22"/>
          <w:szCs w:val="22"/>
        </w:rPr>
        <w:t xml:space="preserve">Because the platform is designed to support, not replace, existing loan officers, it fits within current institutional workflows rather than requiring lenders to change their governance structure before adoption. This lowers the barrier to a future pilot, since institutions can trial the system as an additional input to their existing process.</w:t>
      </w:r>
    </w:p>
    <w:p>
      <w:pPr>
        <w:pStyle w:val="Heading3"/>
        <w:spacing w:after="120" w:before="200"/>
      </w:pPr>
      <w:r>
        <w:rPr>
          <w:rFonts w:ascii="Calibri" w:cs="Calibri" w:eastAsia="Calibri" w:hAnsi="Calibri"/>
          <w:b/>
          <w:bCs/>
          <w:color w:val="2E5395"/>
          <w:sz w:val="23"/>
          <w:szCs w:val="23"/>
        </w:rPr>
        <w:t xml:space="preserve">1.7.4 Schedule Feasibility</w:t>
      </w:r>
    </w:p>
    <w:p>
      <w:pPr>
        <w:spacing w:after="200" w:line="276"/>
      </w:pPr>
      <w:r>
        <w:rPr>
          <w:rFonts w:ascii="Calibri" w:cs="Calibri" w:eastAsia="Calibri" w:hAnsi="Calibri"/>
          <w:sz w:val="22"/>
          <w:szCs w:val="22"/>
        </w:rPr>
        <w:t xml:space="preserve">The MVP scope has been deliberately limited to fit the hackathon's 20-hour development window, focusing on a single end-to-end flow (SME application → AI analysis → bank report) rather than the full feature set described in later phases.</w:t>
      </w:r>
    </w:p>
    <w:p>
      <w:pPr>
        <w:pStyle w:val="Heading2"/>
        <w:spacing w:after="160" w:before="300"/>
      </w:pPr>
      <w:r>
        <w:rPr>
          <w:rFonts w:ascii="Calibri" w:cs="Calibri" w:eastAsia="Calibri" w:hAnsi="Calibri"/>
          <w:b/>
          <w:bCs/>
          <w:color w:val="2E5395"/>
          <w:sz w:val="26"/>
          <w:szCs w:val="26"/>
        </w:rPr>
        <w:t xml:space="preserve">1.8 Scope</w:t>
      </w:r>
    </w:p>
    <w:p>
      <w:pPr>
        <w:spacing w:after="200" w:line="276"/>
      </w:pPr>
      <w:r>
        <w:rPr>
          <w:rFonts w:ascii="Calibri" w:cs="Calibri" w:eastAsia="Calibri" w:hAnsi="Calibri"/>
          <w:sz w:val="22"/>
          <w:szCs w:val="22"/>
        </w:rPr>
        <w:t xml:space="preserve">In scope for the hackathon MVP:</w:t>
      </w:r>
    </w:p>
    <w:p>
      <w:pPr>
        <w:pStyle w:val="ListParagraph"/>
        <w:numPr>
          <w:ilvl w:val="0"/>
          <w:numId w:val="2"/>
        </w:numPr>
        <w:spacing w:after="120"/>
      </w:pPr>
      <w:r>
        <w:rPr>
          <w:rFonts w:ascii="Calibri" w:cs="Calibri" w:eastAsia="Calibri" w:hAnsi="Calibri"/>
          <w:sz w:val="22"/>
          <w:szCs w:val="22"/>
        </w:rPr>
        <w:t xml:space="preserve">A basic SME registration and loan application flow.</w:t>
      </w:r>
    </w:p>
    <w:p>
      <w:pPr>
        <w:pStyle w:val="ListParagraph"/>
        <w:numPr>
          <w:ilvl w:val="0"/>
          <w:numId w:val="2"/>
        </w:numPr>
        <w:spacing w:after="120"/>
      </w:pPr>
      <w:r>
        <w:rPr>
          <w:rFonts w:ascii="Calibri" w:cs="Calibri" w:eastAsia="Calibri" w:hAnsi="Calibri"/>
          <w:sz w:val="22"/>
          <w:szCs w:val="22"/>
        </w:rPr>
        <w:t xml:space="preserve">A simplified AI credit intelligence engine producing a risk classification and explanation using sample/synthetic data.</w:t>
      </w:r>
    </w:p>
    <w:p>
      <w:pPr>
        <w:pStyle w:val="ListParagraph"/>
        <w:numPr>
          <w:ilvl w:val="0"/>
          <w:numId w:val="2"/>
        </w:numPr>
        <w:spacing w:after="120"/>
      </w:pPr>
      <w:r>
        <w:rPr>
          <w:rFonts w:ascii="Calibri" w:cs="Calibri" w:eastAsia="Calibri" w:hAnsi="Calibri"/>
          <w:sz w:val="22"/>
          <w:szCs w:val="22"/>
        </w:rPr>
        <w:t xml:space="preserve">A bank-facing dashboard to view and review generated reports.</w:t>
      </w:r>
    </w:p>
    <w:p>
      <w:pPr>
        <w:pStyle w:val="ListParagraph"/>
        <w:numPr>
          <w:ilvl w:val="0"/>
          <w:numId w:val="2"/>
        </w:numPr>
        <w:spacing w:after="120"/>
      </w:pPr>
      <w:r>
        <w:rPr>
          <w:rFonts w:ascii="Calibri" w:cs="Calibri" w:eastAsia="Calibri" w:hAnsi="Calibri"/>
          <w:sz w:val="22"/>
          <w:szCs w:val="22"/>
        </w:rPr>
        <w:t xml:space="preserve">A basic administration view for demonstration purposes.</w:t>
      </w:r>
    </w:p>
    <w:p>
      <w:pPr>
        <w:spacing w:after="200" w:line="276"/>
      </w:pPr>
      <w:r>
        <w:rPr>
          <w:rFonts w:ascii="Calibri" w:cs="Calibri" w:eastAsia="Calibri" w:hAnsi="Calibri"/>
          <w:sz w:val="22"/>
          <w:szCs w:val="22"/>
        </w:rPr>
        <w:t xml:space="preserve">Out of scope for the hackathon MVP:</w:t>
      </w:r>
    </w:p>
    <w:p>
      <w:pPr>
        <w:pStyle w:val="ListParagraph"/>
        <w:numPr>
          <w:ilvl w:val="0"/>
          <w:numId w:val="2"/>
        </w:numPr>
        <w:spacing w:after="120"/>
      </w:pPr>
      <w:r>
        <w:rPr>
          <w:rFonts w:ascii="Calibri" w:cs="Calibri" w:eastAsia="Calibri" w:hAnsi="Calibri"/>
          <w:sz w:val="22"/>
          <w:szCs w:val="22"/>
        </w:rPr>
        <w:t xml:space="preserve">Integration with live core banking systems or real customer financial data.</w:t>
      </w:r>
    </w:p>
    <w:p>
      <w:pPr>
        <w:pStyle w:val="ListParagraph"/>
        <w:numPr>
          <w:ilvl w:val="0"/>
          <w:numId w:val="2"/>
        </w:numPr>
        <w:spacing w:after="120"/>
      </w:pPr>
      <w:r>
        <w:rPr>
          <w:rFonts w:ascii="Calibri" w:cs="Calibri" w:eastAsia="Calibri" w:hAnsi="Calibri"/>
          <w:sz w:val="22"/>
          <w:szCs w:val="22"/>
        </w:rPr>
        <w:t xml:space="preserve">Regulatory certification or compliance audit.</w:t>
      </w:r>
    </w:p>
    <w:p>
      <w:pPr>
        <w:pStyle w:val="ListParagraph"/>
        <w:numPr>
          <w:ilvl w:val="0"/>
          <w:numId w:val="2"/>
        </w:numPr>
        <w:spacing w:after="120"/>
      </w:pPr>
      <w:r>
        <w:rPr>
          <w:rFonts w:ascii="Calibri" w:cs="Calibri" w:eastAsia="Calibri" w:hAnsi="Calibri"/>
          <w:sz w:val="22"/>
          <w:szCs w:val="22"/>
        </w:rPr>
        <w:t xml:space="preserve">Multi-country or multi-language deployment.</w:t>
      </w:r>
    </w:p>
    <w:p>
      <w:pPr>
        <w:pStyle w:val="ListParagraph"/>
        <w:numPr>
          <w:ilvl w:val="0"/>
          <w:numId w:val="2"/>
        </w:numPr>
        <w:spacing w:after="120"/>
      </w:pPr>
      <w:r>
        <w:rPr>
          <w:rFonts w:ascii="Calibri" w:cs="Calibri" w:eastAsia="Calibri" w:hAnsi="Calibri"/>
          <w:sz w:val="22"/>
          <w:szCs w:val="22"/>
        </w:rPr>
        <w:t xml:space="preserve">Production-grade security hardening and formal data-protection review, though these are treated as required before any pilot with real institutions.</w:t>
      </w:r>
    </w:p>
    <w:p>
      <w:pPr>
        <w:pStyle w:val="Heading2"/>
        <w:spacing w:after="160" w:before="300"/>
      </w:pPr>
      <w:r>
        <w:rPr>
          <w:rFonts w:ascii="Calibri" w:cs="Calibri" w:eastAsia="Calibri" w:hAnsi="Calibri"/>
          <w:b/>
          <w:bCs/>
          <w:color w:val="2E5395"/>
          <w:sz w:val="26"/>
          <w:szCs w:val="26"/>
        </w:rPr>
        <w:t xml:space="preserve">1.9 Methodology</w:t>
      </w:r>
    </w:p>
    <w:p>
      <w:pPr>
        <w:spacing w:after="200" w:line="276"/>
      </w:pPr>
      <w:r>
        <w:rPr>
          <w:rFonts w:ascii="Calibri" w:cs="Calibri" w:eastAsia="Calibri" w:hAnsi="Calibri"/>
          <w:sz w:val="22"/>
          <w:szCs w:val="22"/>
        </w:rPr>
        <w:t xml:space="preserve">Given the hackathon's compressed timeline, the team will follow a rapid, iterative build approach rather than a traditional long-cycle methodology:</w:t>
      </w:r>
    </w:p>
    <w:p>
      <w:pPr>
        <w:pStyle w:val="ListParagraph"/>
        <w:numPr>
          <w:ilvl w:val="0"/>
          <w:numId w:val="2"/>
        </w:numPr>
        <w:spacing w:after="120"/>
      </w:pPr>
      <w:r>
        <w:rPr>
          <w:rFonts w:ascii="Calibri" w:cs="Calibri" w:eastAsia="Calibri" w:hAnsi="Calibri"/>
          <w:sz w:val="22"/>
          <w:szCs w:val="22"/>
        </w:rPr>
        <w:t xml:space="preserve">Requirements: A short internal scoping session to fix the single end-to-end flow to be demonstrated, informed by the background research summarized in Section 1.1 and publicly available reporting from organizations such as the World Bank and IFC on SME financing gaps.</w:t>
      </w:r>
    </w:p>
    <w:p>
      <w:pPr>
        <w:pStyle w:val="ListParagraph"/>
        <w:numPr>
          <w:ilvl w:val="0"/>
          <w:numId w:val="2"/>
        </w:numPr>
        <w:spacing w:after="120"/>
      </w:pPr>
      <w:r>
        <w:rPr>
          <w:rFonts w:ascii="Calibri" w:cs="Calibri" w:eastAsia="Calibri" w:hAnsi="Calibri"/>
          <w:sz w:val="22"/>
          <w:szCs w:val="22"/>
        </w:rPr>
        <w:t xml:space="preserve">Design: Lightweight wireframing of the SME portal and bank dashboard, followed by a simple system architecture diagram covering the pipeline described in Section 1.5.</w:t>
      </w:r>
    </w:p>
    <w:p>
      <w:pPr>
        <w:pStyle w:val="ListParagraph"/>
        <w:numPr>
          <w:ilvl w:val="0"/>
          <w:numId w:val="2"/>
        </w:numPr>
        <w:spacing w:after="120"/>
      </w:pPr>
      <w:r>
        <w:rPr>
          <w:rFonts w:ascii="Calibri" w:cs="Calibri" w:eastAsia="Calibri" w:hAnsi="Calibri"/>
          <w:sz w:val="22"/>
          <w:szCs w:val="22"/>
        </w:rPr>
        <w:t xml:space="preserve">Implementation: Parallel development of frontend (React.js), backend/API (Node.js/FastAPI), and the AI engine (Python), integrated incrementally rather than all at once, to keep a working demo available throughout the build.</w:t>
      </w:r>
    </w:p>
    <w:p>
      <w:pPr>
        <w:pStyle w:val="ListParagraph"/>
        <w:numPr>
          <w:ilvl w:val="0"/>
          <w:numId w:val="2"/>
        </w:numPr>
        <w:spacing w:after="120"/>
      </w:pPr>
      <w:r>
        <w:rPr>
          <w:rFonts w:ascii="Calibri" w:cs="Calibri" w:eastAsia="Calibri" w:hAnsi="Calibri"/>
          <w:sz w:val="22"/>
          <w:szCs w:val="22"/>
        </w:rPr>
        <w:t xml:space="preserve">Testing: Manual functional testing of the end-to-end flow using synthetic SME data, plus a review of AI-generated explanations for clarity and consistency before the final demo.</w:t>
      </w:r>
    </w:p>
    <w:p>
      <w:pPr>
        <w:spacing w:after="200" w:line="276"/>
      </w:pPr>
      <w:r>
        <w:rPr>
          <w:rFonts w:ascii="Calibri" w:cs="Calibri" w:eastAsia="Calibri" w:hAnsi="Calibri"/>
          <w:sz w:val="22"/>
          <w:szCs w:val="22"/>
        </w:rPr>
        <w:t xml:space="preserve">Beyond the hackathon, the same team intends to move toward structured requirements gathering (including interviews with loan officers and SME owners) before any pilot phase, since the hackathon methodology is intentionally lightweight and not a substitute for that later validation work.</w:t>
      </w:r>
    </w:p>
    <w:p>
      <w:pPr>
        <w:pStyle w:val="Heading2"/>
        <w:spacing w:after="160" w:before="300"/>
      </w:pPr>
      <w:r>
        <w:rPr>
          <w:rFonts w:ascii="Calibri" w:cs="Calibri" w:eastAsia="Calibri" w:hAnsi="Calibri"/>
          <w:b/>
          <w:bCs/>
          <w:color w:val="2E5395"/>
          <w:sz w:val="26"/>
          <w:szCs w:val="26"/>
        </w:rPr>
        <w:t xml:space="preserve">1.10 Project Management Plan</w:t>
      </w:r>
    </w:p>
    <w:p>
      <w:pPr>
        <w:pStyle w:val="Heading3"/>
        <w:spacing w:after="120" w:before="200"/>
      </w:pPr>
      <w:r>
        <w:rPr>
          <w:rFonts w:ascii="Calibri" w:cs="Calibri" w:eastAsia="Calibri" w:hAnsi="Calibri"/>
          <w:b/>
          <w:bCs/>
          <w:color w:val="2E5395"/>
          <w:sz w:val="23"/>
          <w:szCs w:val="23"/>
        </w:rPr>
        <w:t xml:space="preserve">1.10.1 Time Management Plan</w:t>
      </w:r>
    </w:p>
    <w:p>
      <w:pPr>
        <w:spacing w:after="200" w:line="276"/>
      </w:pPr>
      <w:r>
        <w:rPr>
          <w:rFonts w:ascii="Calibri" w:cs="Calibri" w:eastAsia="Calibri" w:hAnsi="Calibri"/>
          <w:sz w:val="22"/>
          <w:szCs w:val="22"/>
        </w:rPr>
        <w:t xml:space="preserve">The table below outlines the planned allocation of the 20-hour hackathon build window, followed by the indicative post-hackathon phase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700"/>
        <w:gridCol w:w="3800"/>
      </w:tblGrid>
      <w:tr>
        <w:trPr>
          <w:tblHeader/>
        </w:trPr>
        <w:tc>
          <w:tcPr>
            <w:tcW w:type="dxa" w:w="57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Activity</w:t>
            </w:r>
          </w:p>
        </w:tc>
        <w:tc>
          <w:tcPr>
            <w:tcW w:type="dxa" w:w="38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Allocated Time</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Scoping, architecture, and wireframes</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2 hours</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SME Portal development</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5 hours</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Bank Dashboard development</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5 hours</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AI Engine development</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5 hours</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Integration and end-to-end testing</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2 hours</w:t>
            </w:r>
          </w:p>
        </w:tc>
      </w:tr>
      <w:tr>
        <w:tc>
          <w:tcPr>
            <w:tcW w:type="dxa" w:w="57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Demo preparation and pitch</w:t>
            </w:r>
          </w:p>
        </w:tc>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 hour</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Phase</w:t>
            </w:r>
          </w:p>
        </w:tc>
        <w:tc>
          <w:tcPr>
            <w:tcW w:type="dxa" w:w="53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Indicative Timeframe</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Phase I — MVP Development</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Hackathon (20 hours)</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Phase II — Pilot Testing</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Post-hackathon, subject to partner availability</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Phase III — Banking Integration</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Following successful pilot feedback</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Phase IV — National Deployment</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Longer-term roadmap</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Phase V — Regional Expansion</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Longer-term roadmap</w:t>
            </w:r>
          </w:p>
        </w:tc>
      </w:tr>
    </w:tbl>
    <w:p>
      <w:pPr>
        <w:pStyle w:val="Heading3"/>
        <w:spacing w:after="120" w:before="200"/>
      </w:pPr>
      <w:r>
        <w:rPr>
          <w:rFonts w:ascii="Calibri" w:cs="Calibri" w:eastAsia="Calibri" w:hAnsi="Calibri"/>
          <w:b/>
          <w:bCs/>
          <w:color w:val="2E5395"/>
          <w:sz w:val="23"/>
          <w:szCs w:val="23"/>
        </w:rPr>
        <w:t xml:space="preserve">1.10.2 Quality Management Plan</w:t>
      </w:r>
    </w:p>
    <w:p>
      <w:pPr>
        <w:spacing w:after="200" w:line="276"/>
      </w:pPr>
      <w:r>
        <w:rPr>
          <w:rFonts w:ascii="Calibri" w:cs="Calibri" w:eastAsia="Calibri" w:hAnsi="Calibri"/>
          <w:sz w:val="22"/>
          <w:szCs w:val="22"/>
        </w:rPr>
        <w:t xml:space="preserve">Key quality risks for this project include AI outputs that are inaccurate, unexplainable, or biased against certain applicant groups, and a demo flow that breaks under time pressure. To manage these risks, the team will: keep the AI Engine's logic auditable and its explanations human-readable at every stage; test the end-to-end flow repeatedly rather than only its individual parts; and use clearly-labelled synthetic data so that no claims are made about real institutions or real applicants during the demonstration.</w:t>
      </w:r>
    </w:p>
    <w:p>
      <w:pPr>
        <w:pStyle w:val="Heading3"/>
        <w:spacing w:after="120" w:before="200"/>
      </w:pPr>
      <w:r>
        <w:rPr>
          <w:rFonts w:ascii="Calibri" w:cs="Calibri" w:eastAsia="Calibri" w:hAnsi="Calibri"/>
          <w:b/>
          <w:bCs/>
          <w:color w:val="2E5395"/>
          <w:sz w:val="23"/>
          <w:szCs w:val="23"/>
        </w:rPr>
        <w:t xml:space="preserve">1.10.3 Communication Management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400"/>
        <w:gridCol w:w="1800"/>
      </w:tblGrid>
      <w:tr>
        <w:trPr>
          <w:tblHeader/>
        </w:trPr>
        <w:tc>
          <w:tcPr>
            <w:tcW w:type="dxa" w:w="24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Type</w:t>
            </w:r>
          </w:p>
        </w:tc>
        <w:tc>
          <w:tcPr>
            <w:tcW w:type="dxa" w:w="29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Method</w:t>
            </w:r>
          </w:p>
        </w:tc>
        <w:tc>
          <w:tcPr>
            <w:tcW w:type="dxa" w:w="24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Frequency</w:t>
            </w:r>
          </w:p>
        </w:tc>
        <w:tc>
          <w:tcPr>
            <w:tcW w:type="dxa" w:w="1800"/>
            <w:shd w:fill="1F3864"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Participants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Internal stand-ups</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In-person / voice call</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Every 2–3 hours during the hackathon</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Full team</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Task tracking</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Shared board (e.g., Trello/GitHub Projects)</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Continuous</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Full team</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Mentor/judge check-ins</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In-person, as scheduled by event</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Per hackathon schedule</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Team representative(s)</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Post-hackathon updates</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Shared document / group chat</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Weekly, if project continues</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Full team + advisors</w:t>
            </w:r>
          </w:p>
        </w:tc>
      </w:tr>
    </w:tbl>
    <w:p>
      <w:r>
        <w:br w:type="page"/>
      </w:r>
    </w:p>
    <w:p>
      <w:pPr>
        <w:pStyle w:val="Heading1"/>
        <w:spacing w:after="200" w:before="400"/>
      </w:pPr>
      <w:r>
        <w:rPr>
          <w:rFonts w:ascii="Calibri" w:cs="Calibri" w:eastAsia="Calibri" w:hAnsi="Calibri"/>
          <w:b/>
          <w:bCs/>
          <w:color w:val="1F3864"/>
          <w:sz w:val="30"/>
          <w:szCs w:val="30"/>
        </w:rPr>
        <w:t xml:space="preserve">References</w:t>
      </w:r>
    </w:p>
    <w:p>
      <w:pPr>
        <w:spacing w:after="200" w:line="276"/>
      </w:pPr>
      <w:r>
        <w:rPr>
          <w:rFonts w:ascii="Calibri" w:cs="Calibri" w:eastAsia="Calibri" w:hAnsi="Calibri"/>
          <w:sz w:val="22"/>
          <w:szCs w:val="22"/>
        </w:rPr>
        <w:t xml:space="preserve">References are listed in APA 7th-edition format. Each entry below corresponds to a source that was directly checked at the time of writing.</w:t>
      </w:r>
    </w:p>
    <w:p>
      <w:pPr>
        <w:spacing w:after="200" w:line="276"/>
      </w:pPr>
      <w:r>
        <w:rPr>
          <w:rFonts w:ascii="Calibri" w:cs="Calibri" w:eastAsia="Calibri" w:hAnsi="Calibri"/>
          <w:sz w:val="22"/>
          <w:szCs w:val="22"/>
        </w:rPr>
        <w:t xml:space="preserve">African Development Bank. (2025). Financing the missing middle: Ethiopia (Ignite Project) appraisal report. African Development Bank Group. https://www.afdb.org/sites/default/files/documents/projects-and-operations/ethiopie_ignite_financing_the_missing_middle.pdf</w:t>
      </w:r>
    </w:p>
    <w:p>
      <w:pPr>
        <w:spacing w:after="200" w:line="276"/>
      </w:pPr>
      <w:r>
        <w:rPr>
          <w:rFonts w:ascii="Calibri" w:cs="Calibri" w:eastAsia="Calibri" w:hAnsi="Calibri"/>
          <w:sz w:val="22"/>
          <w:szCs w:val="22"/>
        </w:rPr>
        <w:t xml:space="preserve">CGAP. (n.d.). Credit scoring in financial inclusion [Research guide]. Consultative Group to Assist the Poor. https://www.cgap.org/research/publication/credit-scoring-in-financial-inclusion</w:t>
      </w:r>
    </w:p>
    <w:p>
      <w:pPr>
        <w:spacing w:after="200" w:line="276"/>
      </w:pPr>
      <w:r>
        <w:rPr>
          <w:rFonts w:ascii="Calibri" w:cs="Calibri" w:eastAsia="Calibri" w:hAnsi="Calibri"/>
          <w:sz w:val="22"/>
          <w:szCs w:val="22"/>
        </w:rPr>
        <w:t xml:space="preserve">GSMA. (2026). The state of the industry report on mobile money 2026. GSMA Mobile Money Programme. https://www.gsma.com/sotir/</w:t>
      </w:r>
    </w:p>
    <w:p>
      <w:pPr>
        <w:spacing w:after="200" w:line="276"/>
      </w:pPr>
      <w:r>
        <w:rPr>
          <w:rFonts w:ascii="Calibri" w:cs="Calibri" w:eastAsia="Calibri" w:hAnsi="Calibri"/>
          <w:sz w:val="22"/>
          <w:szCs w:val="22"/>
        </w:rPr>
        <w:t xml:space="preserve">International Finance Corporation. (2025). MSME finance gap: An updated estimation and evolution of the MSME finance gap in emerging markets and developing economies. World Bank Group / SME Finance Forum. https://www.smefinanceforum.org/sites/default/files/Data%20Sites%20downloads/IFC%20Report_MAIN%20Final%203%2025.pdf</w:t>
      </w:r>
    </w:p>
    <w:p>
      <w:pPr>
        <w:spacing w:after="200" w:line="276"/>
      </w:pPr>
      <w:r>
        <w:rPr>
          <w:rFonts w:ascii="Calibri" w:cs="Calibri" w:eastAsia="Calibri" w:hAnsi="Calibri"/>
          <w:sz w:val="22"/>
          <w:szCs w:val="22"/>
        </w:rPr>
        <w:t xml:space="preserve">Klapper, L., Singer, D., Starita, L., &amp; Norris, A. (2025). The Global Findex Database 2025: Connectivity and financial inclusion in the digital economy. World Bank. http://hdl.handle.net/10986/43438</w:t>
      </w:r>
    </w:p>
    <w:p>
      <w:pPr>
        <w:spacing w:after="200" w:line="276"/>
      </w:pPr>
      <w:r>
        <w:rPr>
          <w:rFonts w:ascii="Calibri" w:cs="Calibri" w:eastAsia="Calibri" w:hAnsi="Calibri"/>
          <w:sz w:val="22"/>
          <w:szCs w:val="22"/>
        </w:rPr>
        <w:t xml:space="preserve">OECD. (2026). Financing SMEs and entrepreneurs 2026: An OECD scoreboard. OECD Publishing. https://doi.org/10.1787/075d8058-en</w:t>
      </w:r>
    </w:p>
    <w:p>
      <w:pPr>
        <w:spacing w:after="200" w:line="276"/>
      </w:pPr>
      <w:r>
        <w:rPr>
          <w:rFonts w:ascii="Calibri" w:cs="Calibri" w:eastAsia="Calibri" w:hAnsi="Calibri"/>
          <w:sz w:val="22"/>
          <w:szCs w:val="22"/>
        </w:rPr>
        <w:t xml:space="preserve">World Bank. (2015). SME finance in Ethiopia: Addressing the "missing middle" challenge. World Bank Group. https://documents1.worldbank.org/curated/en/805371468247458154/pdf/943650WP0Box380nt0Feb01002015040Web.pdf</w:t>
      </w:r>
    </w:p>
    <w:p>
      <w:pPr>
        <w:spacing w:after="200" w:line="276"/>
      </w:pPr>
      <w:r>
        <w:rPr>
          <w:rFonts w:ascii="Calibri" w:cs="Calibri" w:eastAsia="Calibri" w:hAnsi="Calibri"/>
          <w:i/>
          <w:iCs/>
          <w:color w:val="666666"/>
          <w:sz w:val="19"/>
          <w:szCs w:val="19"/>
        </w:rPr>
        <w:t xml:space="preserve">Note: The organizations above (World Bank, IFC, GSMA, CGAP, OECD, AfDB) are cited for general context on SME financing gaps, mobile money, and alternative-data credit assessment; no specific claim in this proposal is attributed a statistic that was not checked against the corresponding source above.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EthiScore AI —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EthiScore AI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2026-07-13T11:09:36.870Z</dcterms:created>
  <dcterms:modified xsi:type="dcterms:W3CDTF">2026-07-13T11:09:36.870Z</dcterms:modified>
</cp:coreProperties>
</file>

<file path=docProps/custom.xml><?xml version="1.0" encoding="utf-8"?>
<Properties xmlns="http://schemas.openxmlformats.org/officeDocument/2006/custom-properties" xmlns:vt="http://schemas.openxmlformats.org/officeDocument/2006/docPropsVTypes"/>
</file>