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b/>
          <w:color w:val="2F4454"/>
          <w:sz w:val="44"/>
        </w:rPr>
        <w:t>HMI Color Philosophy for Steuerung3D Supervisor</w:t>
      </w:r>
    </w:p>
    <w:p>
      <w:pPr>
        <w:spacing w:before="0" w:after="200" w:line="276" w:lineRule="auto"/>
      </w:pPr>
      <w:r>
        <w:rPr>
          <w:b w:val="0"/>
          <w:i w:val="0"/>
          <w:color w:val="6B7280"/>
          <w:sz w:val="21"/>
        </w:rPr>
        <w:t>Draft • 19 March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i w:val="0"/>
                <w:color w:val="2F4454"/>
                <w:sz w:val="21"/>
              </w:rPr>
              <w:t xml:space="preserve">Core rule: </w:t>
            </w:r>
            <w:r>
              <w:rPr>
                <w:b w:val="0"/>
                <w:i w:val="0"/>
                <w:color w:val="374151"/>
                <w:sz w:val="21"/>
              </w:rPr>
              <w:t>red means live danger, yellow means the protective reaction is active, blue means operator action is required, green means healthy/ready, and grey means neutral or informational.</w:t>
            </w:r>
          </w:p>
        </w:tc>
      </w:tr>
    </w:tbl>
    <w:p/>
    <w:p>
      <w:pPr>
        <w:pStyle w:val="Heading1"/>
        <w:spacing w:before="40" w:after="80" w:line="276" w:lineRule="auto"/>
      </w:pPr>
      <w:r>
        <w:t>Purpose</w:t>
      </w:r>
    </w:p>
    <w:p>
      <w:pPr>
        <w:spacing w:before="0" w:after="120" w:line="276" w:lineRule="auto"/>
      </w:pPr>
      <w:r>
        <w:t>This note defines a practical and standards-informed color philosophy for the Steuerung3D Supervisor and related HMIs. The aim is to keep routine screens visually calm, make abnormal situations immediately legible, and stay consistent across Supervisor, DenSi/HiP-related views, and later kinematic or visualization overlays.</w:t>
      </w:r>
    </w:p>
    <w:p>
      <w:pPr>
        <w:pStyle w:val="Heading1"/>
        <w:spacing w:before="120" w:after="80" w:line="276" w:lineRule="auto"/>
      </w:pPr>
      <w:r>
        <w:t>Semantic decision</w:t>
      </w:r>
    </w:p>
    <w:p>
      <w:pPr>
        <w:spacing w:before="0" w:after="120" w:line="276" w:lineRule="auto"/>
      </w:pPr>
      <w:r>
        <w:rPr>
          <w:b w:val="0"/>
        </w:rPr>
        <w:t xml:space="preserve">The key project decision is to separate </w:t>
      </w:r>
      <w:r>
        <w:rPr>
          <w:b/>
        </w:rPr>
        <w:t>hazard</w:t>
      </w:r>
      <w:r>
        <w:t xml:space="preserve"> from </w:t>
      </w:r>
      <w:r>
        <w:rPr>
          <w:b/>
        </w:rPr>
        <w:t>protective reaction</w:t>
      </w:r>
      <w:r>
        <w:t>. An emergency stop is not the hazard itself; it is the machine’s protective response to a hazard. That means ESTOP_ACTIVE should normally read as a protective or inhibited state, not as the same category as live uncontrolled danger.</w:t>
      </w:r>
    </w:p>
    <w:p>
      <w:pPr>
        <w:pStyle w:val="Heading1"/>
        <w:spacing w:before="120" w:after="80" w:line="276" w:lineRule="auto"/>
      </w:pPr>
      <w:r>
        <w:t>Semantic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Bucket</w:t>
            </w:r>
          </w:p>
        </w:tc>
        <w:tc>
          <w:tcPr>
            <w:tcW w:type="dxa" w:w="1949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Use for</w:t>
            </w:r>
          </w:p>
        </w:tc>
        <w:tc>
          <w:tcPr>
            <w:tcW w:type="dxa" w:w="1949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Typical states</w:t>
            </w:r>
          </w:p>
        </w:tc>
        <w:tc>
          <w:tcPr>
            <w:tcW w:type="dxa" w:w="1949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Accent</w:t>
            </w:r>
          </w:p>
        </w:tc>
        <w:tc>
          <w:tcPr>
            <w:tcW w:type="dxa" w:w="1949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Soft background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Danger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Hazard is present now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FAULT_MOVING, UNSAFE_MOTION, RUNAWAY, DRIVE_FAULT_WITH_ENABLE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C63B3B"/>
          </w:tcPr>
          <w:p>
            <w:pPr>
              <w:spacing w:after="0"/>
              <w:jc w:val="center"/>
            </w:pPr>
            <w:r>
              <w:rPr>
                <w:sz w:val="18"/>
              </w:rPr>
              <w:t>#C63B3B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D7DA"/>
          </w:tcPr>
          <w:p>
            <w:pPr>
              <w:spacing w:after="0"/>
              <w:jc w:val="center"/>
            </w:pPr>
            <w:r>
              <w:rPr>
                <w:sz w:val="18"/>
              </w:rPr>
              <w:t>#F8D7DA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Protective / inhibited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Safety reaction active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ESTOP_ACTIVE, SAFETY_STOP, STO_ACTIVE, INTERLOCK_OPEN, INHIBITED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6A600"/>
          </w:tcPr>
          <w:p>
            <w:pPr>
              <w:spacing w:after="0"/>
              <w:jc w:val="center"/>
            </w:pPr>
            <w:r>
              <w:rPr>
                <w:sz w:val="18"/>
              </w:rPr>
              <w:t>#D6A600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3CD"/>
          </w:tcPr>
          <w:p>
            <w:pPr>
              <w:spacing w:after="0"/>
              <w:jc w:val="center"/>
            </w:pPr>
            <w:r>
              <w:rPr>
                <w:sz w:val="18"/>
              </w:rPr>
              <w:t>#FFF3CD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Action required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Human must do something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RESET_REQUIRED, ACK_REQUIRED, RESYNC_REQUIRED, HOME_REQUIRED, CLAIM_REQUIRED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F6DB2"/>
          </w:tcPr>
          <w:p>
            <w:pPr>
              <w:spacing w:after="0"/>
              <w:jc w:val="center"/>
            </w:pPr>
            <w:r>
              <w:rPr>
                <w:sz w:val="18"/>
              </w:rPr>
              <w:t>#2F6DB2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BFA"/>
          </w:tcPr>
          <w:p>
            <w:pPr>
              <w:spacing w:after="0"/>
              <w:jc w:val="center"/>
            </w:pPr>
            <w:r>
              <w:rPr>
                <w:sz w:val="18"/>
              </w:rPr>
              <w:t>#DCEBFA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Healthy / ready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Normal healthy condition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READY, SYNCED, OP, HEALTHY, REMOTE_READY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4E8B57"/>
          </w:tcPr>
          <w:p>
            <w:pPr>
              <w:spacing w:after="0"/>
              <w:jc w:val="center"/>
            </w:pPr>
            <w:r>
              <w:rPr>
                <w:sz w:val="18"/>
              </w:rPr>
              <w:t>#4E8B57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EDF"/>
          </w:tcPr>
          <w:p>
            <w:pPr>
              <w:spacing w:after="0"/>
              <w:jc w:val="center"/>
            </w:pPr>
            <w:r>
              <w:rPr>
                <w:sz w:val="18"/>
              </w:rPr>
              <w:t>#DDEEDF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Neutral / informational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Informational only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BOOT, INIT, OFFLINE, IDLE, SIM, UNKNOWN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7A7F87"/>
          </w:tcPr>
          <w:p>
            <w:pPr>
              <w:spacing w:after="0"/>
              <w:jc w:val="center"/>
            </w:pPr>
            <w:r>
              <w:rPr>
                <w:sz w:val="18"/>
              </w:rPr>
              <w:t>#7A7F87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1F4"/>
          </w:tcPr>
          <w:p>
            <w:pPr>
              <w:spacing w:after="0"/>
              <w:jc w:val="center"/>
            </w:pPr>
            <w:r>
              <w:rPr>
                <w:sz w:val="18"/>
              </w:rPr>
              <w:t>#EEF1F4</w:t>
            </w:r>
          </w:p>
        </w:tc>
      </w:tr>
    </w:tbl>
    <w:p/>
    <w:p>
      <w:pPr>
        <w:pStyle w:val="Heading1"/>
        <w:spacing w:before="120" w:after="60" w:line="276" w:lineRule="auto"/>
      </w:pPr>
      <w:r>
        <w:t>Canonical rules</w:t>
      </w:r>
    </w:p>
    <w:p>
      <w:pPr>
        <w:spacing w:before="0" w:after="60" w:line="276" w:lineRule="auto"/>
      </w:pPr>
      <w:r>
        <w:rPr>
          <w:b/>
        </w:rPr>
        <w:t>Rule A — E-stop is yellow, not red.</w:t>
      </w:r>
      <w:r>
        <w:t xml:space="preserve"> ESTOP_ACTIVE belongs to the protective/inhibited bucket. It indicates that the machine has gone into a safety reaction.</w:t>
      </w:r>
    </w:p>
    <w:p>
      <w:pPr>
        <w:spacing w:before="0" w:after="60" w:line="276" w:lineRule="auto"/>
      </w:pPr>
      <w:r>
        <w:rPr>
          <w:b/>
        </w:rPr>
        <w:t>Rule B — danger without protective reaction is red.</w:t>
      </w:r>
      <w:r>
        <w:t xml:space="preserve"> Fault while motion remains enabled, uncontrolled motion, or other unsafe motion conditions belong to the danger bucket.</w:t>
      </w:r>
    </w:p>
    <w:p>
      <w:pPr>
        <w:spacing w:before="0" w:after="60" w:line="276" w:lineRule="auto"/>
      </w:pPr>
      <w:r>
        <w:rPr>
          <w:b/>
        </w:rPr>
        <w:t>Rule C — recovery and handshakes are blue.</w:t>
      </w:r>
      <w:r>
        <w:t xml:space="preserve"> Reset, acknowledge, re-home, re-sync, or claim steps belong to the action-required bucket.</w:t>
      </w:r>
    </w:p>
    <w:p>
      <w:pPr>
        <w:spacing w:before="0" w:after="60" w:line="276" w:lineRule="auto"/>
      </w:pPr>
      <w:r>
        <w:rPr>
          <w:b/>
        </w:rPr>
        <w:t>Rule D — routine operation stays visually quiet.</w:t>
      </w:r>
      <w:r>
        <w:t xml:space="preserve"> Strong saturated color is reserved for abnormal situations and operator-attention states.</w:t>
      </w:r>
    </w:p>
    <w:p>
      <w:pPr>
        <w:pStyle w:val="Heading1"/>
        <w:spacing w:before="120" w:after="60" w:line="276" w:lineRule="auto"/>
      </w:pPr>
      <w:r>
        <w:t>Application in the current Supervisor</w:t>
      </w:r>
    </w:p>
    <w:p>
      <w:pPr>
        <w:pStyle w:val="ListBullet"/>
        <w:spacing w:before="0" w:after="40" w:line="276" w:lineRule="auto"/>
      </w:pPr>
      <w:r>
        <w:t>Keep rows neutral by default.</w:t>
      </w:r>
    </w:p>
    <w:p>
      <w:pPr>
        <w:pStyle w:val="ListBullet"/>
        <w:spacing w:before="0" w:after="40" w:line="276" w:lineRule="auto"/>
      </w:pPr>
      <w:r>
        <w:t>Use the axis column for the persistent axis identity accent.</w:t>
      </w:r>
    </w:p>
    <w:p>
      <w:pPr>
        <w:pStyle w:val="ListBullet"/>
        <w:spacing w:before="0" w:after="40" w:line="276" w:lineRule="auto"/>
      </w:pPr>
      <w:r>
        <w:t>Use the phase/state cell for the semantic state color.</w:t>
      </w:r>
    </w:p>
    <w:p>
      <w:pPr>
        <w:pStyle w:val="ListBullet"/>
        <w:spacing w:before="0" w:after="40" w:line="276" w:lineRule="auto"/>
      </w:pPr>
      <w:r>
        <w:t>Allow subtle whole-row tinting only for red danger, yellow protective stop, and blue action-required states.</w:t>
      </w:r>
    </w:p>
    <w:p>
      <w:pPr>
        <w:pStyle w:val="ListBullet"/>
        <w:spacing w:before="0" w:after="40" w:line="276" w:lineRule="auto"/>
      </w:pPr>
      <w:r>
        <w:t>Always pair color with explicit text, iconography, tooltip, border treatment, or disabled/enabled affordance.</w:t>
      </w:r>
    </w:p>
    <w:p>
      <w:pPr>
        <w:pStyle w:val="Heading1"/>
        <w:spacing w:before="120" w:after="60" w:line="276" w:lineRule="auto"/>
      </w:pPr>
      <w:r>
        <w:t>Suggested state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Bucket</w:t>
            </w:r>
          </w:p>
        </w:tc>
        <w:tc>
          <w:tcPr>
            <w:tcW w:type="dxa" w:w="4873"/>
            <w:shd w:fill="DDE7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Mapped states</w:t>
            </w:r>
          </w:p>
        </w:tc>
      </w:tr>
      <w:tr>
        <w:tc>
          <w:tcPr>
            <w:tcW w:type="dxa" w:w="4873"/>
            <w:shd w:fill="F8D7D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Danger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FAULT_MOVING, UNSAFE_MOTION, RUNAWAY, OVERSPEED_UNCONTROLLED, MOTION_WITH_SAFETY_VIOLATION</w:t>
            </w:r>
          </w:p>
        </w:tc>
      </w:tr>
      <w:tr>
        <w:tc>
          <w:tcPr>
            <w:tcW w:type="dxa" w:w="4873"/>
            <w:shd w:fill="FFF3C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Protective / inhibited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ESTOP, ESTOP_ACTIVE, SAFETY_STOP, SAFETY_CHAIN_OPEN, STO_ACTIVE, INHIBITED</w:t>
            </w:r>
          </w:p>
        </w:tc>
      </w:tr>
      <w:tr>
        <w:tc>
          <w:tcPr>
            <w:tcW w:type="dxa" w:w="4873"/>
            <w:shd w:fill="DCEB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Action required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RESET_REQUIRED, ACK_REQUIRED, RESYNC_REQUIRED, HOME_REQUIRED, CLAIM_REQUIRED, ENABLE_REQUIRED</w:t>
            </w:r>
          </w:p>
        </w:tc>
      </w:tr>
      <w:tr>
        <w:tc>
          <w:tcPr>
            <w:tcW w:type="dxa" w:w="4873"/>
            <w:shd w:fill="DDEED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Healthy / ready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READY, SYNCED, OP, HEALTHY, REMOTE_READY, LOCAL_READY</w:t>
            </w:r>
          </w:p>
        </w:tc>
      </w:tr>
      <w:tr>
        <w:tc>
          <w:tcPr>
            <w:tcW w:type="dxa" w:w="4873"/>
            <w:shd w:fill="EEF1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Neutral / informational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BOOT, INIT, OFFLINE, DISCONNECTED, IDLE, SIM, UNKNOWN</w:t>
            </w:r>
          </w:p>
        </w:tc>
      </w:tr>
    </w:tbl>
    <w:p/>
    <w:p>
      <w:pPr>
        <w:pStyle w:val="Heading1"/>
        <w:spacing w:before="120" w:after="60" w:line="276" w:lineRule="auto"/>
      </w:pPr>
      <w:r>
        <w:t>References used</w:t>
      </w:r>
    </w:p>
    <w:p>
      <w:pPr>
        <w:pStyle w:val="ListBullet"/>
        <w:spacing w:before="0" w:after="40" w:line="276" w:lineRule="auto"/>
      </w:pPr>
      <w:r>
        <w:t>ISO 13850:2015 — Safety of machinery — Emergency stop function — Principles for design.</w:t>
      </w:r>
    </w:p>
    <w:p>
      <w:pPr>
        <w:pStyle w:val="ListBullet"/>
        <w:spacing w:before="0" w:after="40" w:line="276" w:lineRule="auto"/>
      </w:pPr>
      <w:r>
        <w:t>W3C WCAG 2.2 — Success Criterion 1.4.1 Use of Color.</w:t>
      </w:r>
    </w:p>
    <w:p>
      <w:pPr>
        <w:pStyle w:val="ListBullet"/>
        <w:spacing w:before="0" w:after="40" w:line="276" w:lineRule="auto"/>
      </w:pPr>
      <w:r>
        <w:t>EN/IEC 60204-1 and IEC 60073 color semantics summary as cited in Siemens functional safety terminology overview.</w:t>
      </w:r>
    </w:p>
    <w:p>
      <w:pPr>
        <w:spacing w:before="80" w:after="0" w:line="276" w:lineRule="auto"/>
      </w:pPr>
      <w:r>
        <w:rPr>
          <w:b/>
        </w:rPr>
        <w:t xml:space="preserve">Note: </w:t>
      </w:r>
      <w:r>
        <w:t>This document defines the project-specific HMI interpretation for Steuerung3D. Physical operator devices still follow their own hardware standards and device-color conventions.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44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4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F4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