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Laitse Loss — brändiinfo</w:t>
      </w:r>
    </w:p>
    <w:p>
      <w:pPr>
        <w:spacing w:after="240"/>
      </w:pPr>
      <w:r>
        <w:rPr>
          <w:i/>
          <w:iCs/>
          <w:color w:val="7A6F64"/>
        </w:rPr>
        <w:t xml:space="preserve">Kodulehel kasutatud fondid ja värvid. Allikas: kodulehe tegelik kood.</w:t>
      </w:r>
    </w:p>
    <w:p>
      <w:pPr>
        <w:pStyle w:val="Heading2"/>
      </w:pPr>
      <w:r>
        <w:t xml:space="preserve">Fondid</w:t>
      </w:r>
    </w:p>
    <w:p>
      <w:pPr>
        <w:spacing w:after="120"/>
      </w:pPr>
      <w:r>
        <w:rPr>
          <w:color w:val="7A6F64"/>
        </w:rPr>
        <w:t xml:space="preserve">Kõik on Google Fonts.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2800"/>
      </w:tblGrid>
      <w:tr>
        <w:trPr>
          <w:tblHeader/>
        </w:trPr>
        <w:tc>
          <w:tcPr>
            <w:tcW w:type="dxa" w:w="34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Kasutus</w:t>
            </w:r>
          </w:p>
        </w:tc>
        <w:tc>
          <w:tcPr>
            <w:tcW w:type="dxa" w:w="31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Kaalud</w:t>
            </w:r>
          </w:p>
        </w:tc>
      </w:tr>
      <w:tr>
        <w:tc>
          <w:tcPr>
            <w:tcW w:type="dxa" w:w="34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Pealkirjad (H1 / hero)</w:t>
            </w:r>
          </w:p>
        </w:tc>
        <w:tc>
          <w:tcPr>
            <w:tcW w:type="dxa" w:w="31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Bodoni Moda</w:t>
            </w:r>
          </w:p>
        </w:tc>
        <w:tc>
          <w:tcPr>
            <w:tcW w:type="dxa" w:w="28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400, 500</w:t>
            </w:r>
          </w:p>
        </w:tc>
      </w:tr>
      <w:tr>
        <w:tc>
          <w:tcPr>
            <w:tcW w:type="dxa" w:w="34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Alapealkirjad (kursiiv)</w:t>
            </w:r>
          </w:p>
        </w:tc>
        <w:tc>
          <w:tcPr>
            <w:tcW w:type="dxa" w:w="31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Cormorant Infant</w:t>
            </w:r>
          </w:p>
        </w:tc>
        <w:tc>
          <w:tcPr>
            <w:tcW w:type="dxa" w:w="28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 kursiiv, 400, 600</w:t>
            </w:r>
          </w:p>
        </w:tc>
      </w:tr>
      <w:tr>
        <w:tc>
          <w:tcPr>
            <w:tcW w:type="dxa" w:w="34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Põhitekst</w:t>
            </w:r>
          </w:p>
        </w:tc>
        <w:tc>
          <w:tcPr>
            <w:tcW w:type="dxa" w:w="31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Libre Baskerville</w:t>
            </w:r>
          </w:p>
        </w:tc>
        <w:tc>
          <w:tcPr>
            <w:tcW w:type="dxa" w:w="28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400, 400 kursiiv, 700</w:t>
            </w:r>
          </w:p>
        </w:tc>
      </w:tr>
      <w:tr>
        <w:tc>
          <w:tcPr>
            <w:tcW w:type="dxa" w:w="34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Menüü / nupud / sildid</w:t>
            </w:r>
          </w:p>
        </w:tc>
        <w:tc>
          <w:tcPr>
            <w:tcW w:type="dxa" w:w="31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Lato</w:t>
            </w:r>
          </w:p>
        </w:tc>
        <w:tc>
          <w:tcPr>
            <w:tcW w:type="dxa" w:w="28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300, 400, 700</w:t>
            </w:r>
          </w:p>
        </w:tc>
      </w:tr>
    </w:tbl>
    <w:p>
      <w:pPr>
        <w:pStyle w:val="Heading2"/>
      </w:pPr>
      <w:r>
        <w:t xml:space="preserve">Värvid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Nimi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HEX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Näidis</w:t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AF7F2"/>
              </w:rPr>
              <w:t xml:space="preserve">Kasutus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 White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#FAF7F2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põhitaust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 Light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#F5F1EB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F5F1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heledad sektsioonid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Warm Dark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#2C2420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2C2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pealkirjad, tume tekst/taust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Burgundy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#8B1A1A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põhiaktsent, nupud, lingid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Burgundy Hover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#6B1414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6B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nupu/lingi hover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Gold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#B8860B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dekoratiivsed aktsendid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Gold Light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#ffd86e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FFD8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kuldgradiendi keskosa</w:t>
            </w:r>
          </w:p>
        </w:tc>
      </w:tr>
      <w:tr>
        <w:tc>
          <w:tcPr>
            <w:tcW w:type="dxa" w:w="22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</w:t>
            </w:r>
          </w:p>
        </w:tc>
        <w:tc>
          <w:tcPr>
            <w:tcW w:type="dxa" w:w="16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#7A6F64</w:t>
            </w:r>
          </w:p>
        </w:tc>
        <w:tc>
          <w:tcPr>
            <w:tcW w:type="dxa" w:w="90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shd w:fill="7A6F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60"/>
            <w:tcBorders>
              <w:top w:val="single" w:color="DDD5CC" w:sz="1"/>
              <w:left w:val="single" w:color="DDD5CC" w:sz="1"/>
              <w:bottom w:val="single" w:color="DDD5CC" w:sz="1"/>
              <w:right w:val="single" w:color="DD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teisejärguline tekst</w:t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Kuldgradient </w:t>
      </w:r>
      <w:r>
        <w:t xml:space="preserve">(jooned, aktsendid): linear-gradient(90deg, #d19e1d 0%, #ffd86e 50%, #e3a812 100%)</w:t>
      </w:r>
    </w:p>
    <w:p>
      <w:pPr>
        <w:spacing w:after="60" w:before="120"/>
      </w:pPr>
      <w:r>
        <w:rPr>
          <w:b/>
          <w:bCs/>
        </w:rPr>
        <w:t xml:space="preserve">Värvireeglid</w:t>
      </w:r>
    </w:p>
    <w:p>
      <w:pPr>
        <w:pStyle w:val="ListParagraph"/>
        <w:numPr>
          <w:ilvl w:val="0"/>
          <w:numId w:val="2"/>
        </w:numPr>
      </w:pPr>
      <w:r>
        <w:t xml:space="preserve">Valge on põhivärv — leht peab tunduma avar ja hele.</w:t>
      </w:r>
    </w:p>
    <w:p>
      <w:pPr>
        <w:pStyle w:val="ListParagraph"/>
        <w:numPr>
          <w:ilvl w:val="0"/>
          <w:numId w:val="2"/>
        </w:numPr>
      </w:pPr>
      <w:r>
        <w:t xml:space="preserve">Burgundy on tegevusvärv — nupud, lingid, olulised aktsendid.</w:t>
      </w:r>
    </w:p>
    <w:p>
      <w:pPr>
        <w:pStyle w:val="ListParagraph"/>
        <w:numPr>
          <w:ilvl w:val="0"/>
          <w:numId w:val="2"/>
        </w:numPr>
      </w:pPr>
      <w:r>
        <w:t xml:space="preserve">Kuld on ainult dekoratiivne — mitte kunagi tekstis ega nuppudel.</w:t>
      </w:r>
    </w:p>
    <w:p>
      <w:pPr>
        <w:pStyle w:val="ListParagraph"/>
        <w:numPr>
          <w:ilvl w:val="0"/>
          <w:numId w:val="2"/>
        </w:numPr>
      </w:pPr>
      <w:r>
        <w:t xml:space="preserve">Burgundy + kuld koos on brändi eristaja.</w:t>
      </w:r>
    </w:p>
    <w:p>
      <w:pPr>
        <w:pStyle w:val="Heading2"/>
      </w:pPr>
      <w:r>
        <w:t xml:space="preserve">Logo</w:t>
      </w:r>
    </w:p>
    <w:p>
      <w:pPr>
        <w:pStyle w:val="ListParagraph"/>
        <w:numPr>
          <w:ilvl w:val="0"/>
          <w:numId w:val="2"/>
        </w:numPr>
      </w:pPr>
      <w:r>
        <w:t xml:space="preserve">Fail: laitse-castle-logo.webp (rasterpilt).</w:t>
      </w:r>
    </w:p>
    <w:p>
      <w:pPr>
        <w:pStyle w:val="ListParagraph"/>
        <w:numPr>
          <w:ilvl w:val="0"/>
          <w:numId w:val="2"/>
        </w:numPr>
      </w:pPr>
      <w:r>
        <w:t xml:space="preserve">Kasutab sama burgundy + kuld paletti nagu leht.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 fonti ei ole koodis defineeritud</w:t>
      </w:r>
      <w:r>
        <w:t xml:space="preserve"> — logo on pilt, mitte tekst, seega täpset kirjatüüpi ei saa failist tuvastada. Trüki- või vektorvajadusteks küsi originaalfail (SVG/AI) või logo autorilt.</w:t>
      </w:r>
    </w:p>
    <w:p>
      <w:pPr>
        <w:pStyle w:val="Heading2"/>
      </w:pPr>
      <w:r>
        <w:t xml:space="preserve">Bränditunne</w:t>
      </w:r>
    </w:p>
    <w:p>
      <w:r>
        <w:t xml:space="preserve">Warm, bookish luxury — sofistikeeritud, aga kutsuv; ajalooline, aga elav. </w:t>
      </w:r>
      <w:r>
        <w:rPr>
          <w:b/>
          <w:bCs/>
        </w:rPr>
        <w:t xml:space="preserve">Mitte</w:t>
      </w:r>
      <w:r>
        <w:t xml:space="preserve"> külm muuseum. </w:t>
      </w:r>
      <w:r>
        <w:rPr>
          <w:b/>
          <w:bCs/>
        </w:rPr>
        <w:t xml:space="preserve">Mitte</w:t>
      </w:r>
      <w:r>
        <w:t xml:space="preserve"> geneeriline hotell. </w:t>
      </w:r>
      <w:r>
        <w:rPr>
          <w:b/>
          <w:bCs/>
        </w:rPr>
        <w:t xml:space="preserve">Mitte</w:t>
      </w:r>
      <w:r>
        <w:t xml:space="preserve"> muinasjutuline kitš.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8B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C24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2026-07-03T16:02:36.448Z</dcterms:created>
  <dcterms:modified xsi:type="dcterms:W3CDTF">2026-07-03T16:02:36.451Z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