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44"/>
          <w:sz w:val="40"/>
          <w:szCs w:val="40"/>
        </w:rPr>
        <w:t xml:space="preserve">MARTHA (BETSY) SALTER</w:t>
      </w:r>
    </w:p>
    <w:p>
      <w:pPr>
        <w:spacing w:after="60"/>
        <w:jc w:val="center"/>
      </w:pPr>
      <w:r>
        <w:rPr>
          <w:color w:val="222222"/>
          <w:sz w:val="20"/>
          <w:szCs w:val="20"/>
        </w:rPr>
        <w:t xml:space="preserve">757-407-9233 | marthasalter@gmail.com | saltbasin.net | St. Petersburg, FL | LinkedIn upon request | References upon request</w:t>
      </w:r>
    </w:p>
    <w:p>
      <w:pPr>
        <w:pBdr>
          <w:bottom w:val="single" w:color="8A7A3F" w:sz="8" w:space="4"/>
        </w:pBdr>
        <w:spacing w:after="60"/>
        <w:jc w:val="center"/>
      </w:pPr>
      <w:r>
        <w:rPr>
          <w:i/>
          <w:iCs/>
          <w:color w:val="222222"/>
          <w:sz w:val="20"/>
          <w:szCs w:val="20"/>
        </w:rPr>
        <w:t xml:space="preserve">Strategic Operator | C-Suite Partner | Financial Modeling | Org Transformation</w:t>
      </w:r>
    </w:p>
    <w:p>
      <w:pPr>
        <w:spacing w:after="20" w:before="160"/>
        <w:jc w:val="center"/>
      </w:pPr>
      <w:r>
        <w:rPr>
          <w:b/>
          <w:bCs/>
          <w:color w:val="1F2A44"/>
          <w:sz w:val="24"/>
          <w:szCs w:val="24"/>
        </w:rPr>
        <w:t xml:space="preserve">HIRING ME IS HIRING FOR THE BLINDSPOT YOUR ORG DOESN'T KNOW IT HAS</w:t>
      </w:r>
    </w:p>
    <w:p>
      <w:pPr>
        <w:spacing w:after="130"/>
        <w:jc w:val="center"/>
      </w:pPr>
      <w:r>
        <w:rPr>
          <w:i/>
          <w:iCs/>
          <w:color w:val="222222"/>
          <w:sz w:val="20"/>
          <w:szCs w:val="20"/>
        </w:rPr>
        <w:t xml:space="preserve">See cover letter to understand why.</w:t>
      </w:r>
    </w:p>
    <w:p>
      <w:pPr>
        <w:keepNext/>
        <w:pBdr>
          <w:bottom w:val="single" w:color="8A7A3F" w:sz="6" w:space="2"/>
        </w:pBdr>
        <w:spacing w:after="60" w:before="180"/>
      </w:pPr>
      <w:r>
        <w:rPr>
          <w:b/>
          <w:bCs/>
          <w:color w:val="1F2A44"/>
          <w:sz w:val="22"/>
          <w:szCs w:val="22"/>
        </w:rPr>
        <w:t xml:space="preserve">PROFESSIONAL SUMMARY</w:t>
      </w:r>
    </w:p>
    <w:p>
      <w:pPr>
        <w:keepNext w:val="false"/>
        <w:spacing w:after="80"/>
      </w:pPr>
      <w:r>
        <w:rPr>
          <w:i w:val="false"/>
          <w:iCs w:val="false"/>
          <w:color w:val="222222"/>
          <w:sz w:val="20"/>
          <w:szCs w:val="20"/>
        </w:rPr>
        <w:t xml:space="preserve">Strategic Operator: 13 years, 8 employers, 14 client organizations, 24 engagements, 12+ industries. Spans Big 4 consulting (Accenture, PwC, Slalom), private equity portfolio operations (Vista, $500M+ ARR automated), and enterprise technology (TIBCO), specializing in portfolio governance, Quote-to-Revenue transformation, and financial modeling. Has traced a revenue stream sized at under 5% to over 50%, and unwound contracts stalled at flat pricing for 10 to 15 years. My direct experience sits outside wealth management, and I'm looking to transition into the one industry I have yet to master, because uncovering my own blind spots in a new industry is how I uncover the blind spots inside your business. I rely on what my team knows so I can rely on my own experience to deliver the solutions and risk mitigation that high-risk, disruptive environments demand.</w:t>
      </w:r>
    </w:p>
    <w:p>
      <w:pPr>
        <w:pBdr>
          <w:bottom w:val="single" w:color="8A7A3F" w:sz="6" w:space="2"/>
        </w:pBdr>
        <w:spacing w:after="30" w:before="15"/>
      </w:pPr>
      <w:r>
        <w:rPr>
          <w:b/>
          <w:bCs/>
          <w:color w:val="1F2A44"/>
          <w:sz w:val="22"/>
          <w:szCs w:val="22"/>
        </w:rPr>
        <w:t xml:space="preserve">PORTFOLIO OUTCOMES — INDIRECT OPERATIONAL IMPACT</w:t>
      </w:r>
      <w:r>
        <w:rPr>
          <w:rStyle w:val="FootnoteReference"/>
        </w:rPr>
        <w:footnoteReference w:id="1"/>
      </w:r>
    </w:p>
    <w:p>
      <w:pPr>
        <w:spacing w:after="50"/>
      </w:pPr>
      <w:r>
        <w:rPr>
          <w:i/>
          <w:iCs/>
          <w:color w:val="222222"/>
          <w:sz w:val="17"/>
          <w:szCs w:val="17"/>
        </w:rPr>
        <w:t xml:space="preserve">Vista Equity Partners, Aug 2018 - May 2020: Lead-to-Cash, CPQ/CLM, and ARR/retention modeling across 4 portfolio companies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rPr>
          <w:cantSplit/>
        </w:trPr>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APPTIO (FinOps/SaaS)</w:t>
            </w:r>
          </w:p>
          <w:p>
            <w:pPr>
              <w:spacing w:after="15"/>
            </w:pPr>
            <w:r>
              <w:rPr>
                <w:b/>
                <w:bCs/>
                <w:color w:val="222222"/>
                <w:sz w:val="18"/>
                <w:szCs w:val="18"/>
              </w:rPr>
              <w:t xml:space="preserve">$1.94B -&gt; $4.6B exit</w:t>
            </w:r>
          </w:p>
          <w:p>
            <w:r>
              <w:rPr>
                <w:i/>
                <w:iCs/>
                <w:color w:val="222222"/>
                <w:sz w:val="14"/>
                <w:szCs w:val="14"/>
              </w:rPr>
              <w:t xml:space="preserve">~142% return (2.4x) in 4.5 yrs, IBM acquisition, Aug 2023</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IAS (Integral Ad Science)</w:t>
            </w:r>
          </w:p>
          <w:p>
            <w:pPr>
              <w:spacing w:after="15"/>
            </w:pPr>
            <w:r>
              <w:rPr>
                <w:b/>
                <w:bCs/>
                <w:color w:val="222222"/>
                <w:sz w:val="18"/>
                <w:szCs w:val="18"/>
              </w:rPr>
              <w:t xml:space="preserve">~$850M -&gt; $1.9B exit value</w:t>
            </w:r>
          </w:p>
          <w:p>
            <w:r>
              <w:rPr>
                <w:i/>
                <w:iCs/>
                <w:color w:val="222222"/>
                <w:sz w:val="14"/>
                <w:szCs w:val="14"/>
              </w:rPr>
              <w:t xml:space="preserve">Novacap acquisition, 2025</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CentralSquare Technologies</w:t>
            </w:r>
          </w:p>
          <w:p>
            <w:pPr>
              <w:spacing w:after="15"/>
            </w:pPr>
            <w:r>
              <w:rPr>
                <w:b/>
                <w:bCs/>
                <w:color w:val="222222"/>
                <w:sz w:val="18"/>
                <w:szCs w:val="18"/>
              </w:rPr>
              <w:t xml:space="preserve">$4.81B total capital raised</w:t>
            </w:r>
          </w:p>
          <w:p>
            <w:r>
              <w:rPr>
                <w:i/>
                <w:iCs/>
                <w:color w:val="222222"/>
                <w:sz w:val="14"/>
                <w:szCs w:val="14"/>
              </w:rPr>
              <w:t xml:space="preserve">Largest CAD/RMS market share in public safety tech; still held</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iCIMS (HR Tech)</w:t>
            </w:r>
          </w:p>
          <w:p>
            <w:pPr>
              <w:spacing w:after="15"/>
            </w:pPr>
            <w:r>
              <w:rPr>
                <w:b/>
                <w:bCs/>
                <w:color w:val="222222"/>
                <w:sz w:val="18"/>
                <w:szCs w:val="18"/>
              </w:rPr>
              <w:t xml:space="preserve">TA Associates co-invested, 2022</w:t>
            </w:r>
          </w:p>
          <w:p>
            <w:r>
              <w:rPr>
                <w:i/>
                <w:iCs/>
                <w:color w:val="222222"/>
                <w:sz w:val="14"/>
                <w:szCs w:val="14"/>
              </w:rPr>
              <w:t xml:space="preserve">Signal of continued growth-stage confidence; still held</w:t>
            </w:r>
          </w:p>
        </w:tc>
      </w:tr>
    </w:tbl>
    <w:p>
      <w:pPr>
        <w:pBdr>
          <w:bottom w:val="single" w:color="8A7A3F" w:sz="6" w:space="2"/>
        </w:pBdr>
        <w:spacing w:after="20" w:before="40"/>
      </w:pPr>
      <w:r>
        <w:rPr>
          <w:b/>
          <w:bCs/>
          <w:color w:val="1F2A44"/>
          <w:sz w:val="22"/>
          <w:szCs w:val="22"/>
        </w:rPr>
        <w:t xml:space="preserve">ENGAGEMENT BREADTH</w:t>
      </w:r>
      <w:r>
        <w:rPr>
          <w:rStyle w:val="FootnoteReference"/>
        </w:rPr>
        <w:footnoteReference w:id="2"/>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rPr>
          <w:cantSplit/>
        </w:trPr>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UNIQUE EMPLOYERS</w:t>
            </w:r>
          </w:p>
          <w:p>
            <w:pPr>
              <w:spacing w:after="15"/>
            </w:pPr>
            <w:r>
              <w:rPr>
                <w:b/>
                <w:bCs/>
                <w:color w:val="222222"/>
                <w:sz w:val="18"/>
                <w:szCs w:val="18"/>
              </w:rPr>
              <w:t xml:space="preserve">8</w:t>
            </w:r>
          </w:p>
          <w:p>
            <w:r>
              <w:rPr>
                <w:i/>
                <w:iCs/>
                <w:color w:val="222222"/>
                <w:sz w:val="14"/>
                <w:szCs w:val="14"/>
              </w:rPr>
              <w:t xml:space="preserve">Blackbaud, Accenture, Vista Equity Partners, TIBCO, PwC, Slalom, Streamforce, Salt Basin Net Works</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UNIQUE CLIENTS</w:t>
            </w:r>
          </w:p>
          <w:p>
            <w:pPr>
              <w:spacing w:after="15"/>
            </w:pPr>
            <w:r>
              <w:rPr>
                <w:b/>
                <w:bCs/>
                <w:color w:val="222222"/>
                <w:sz w:val="18"/>
                <w:szCs w:val="18"/>
              </w:rPr>
              <w:t xml:space="preserve">14</w:t>
            </w:r>
          </w:p>
          <w:p>
            <w:r>
              <w:rPr>
                <w:i/>
                <w:iCs/>
                <w:color w:val="222222"/>
                <w:sz w:val="14"/>
                <w:szCs w:val="14"/>
              </w:rPr>
              <w:t xml:space="preserve">Across Accenture, Vista, PwC, and Slalom engagements; employers not double-counted</w:t>
            </w:r>
          </w:p>
        </w:tc>
      </w:tr>
    </w:tbl>
    <w:p>
      <w:pPr>
        <w:spacing w:after="10" w:before="90"/>
        <w:jc w:val="center"/>
      </w:pPr>
      <w:r>
        <w:drawing>
          <wp:inline distT="0" distB="0" distL="0" distR="0">
            <wp:extent cx="4381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323975"/>
                    </a:xfrm>
                    <a:prstGeom prst="rect">
                      <a:avLst/>
                    </a:prstGeom>
                  </pic:spPr>
                </pic:pic>
              </a:graphicData>
            </a:graphic>
          </wp:inline>
        </w:drawing>
      </w:r>
    </w:p>
    <w:p>
      <w:pPr>
        <w:spacing w:after="20"/>
        <w:jc w:val="center"/>
      </w:pPr>
      <w:r>
        <w:rPr>
          <w:i/>
          <w:iCs/>
          <w:color w:val="222222"/>
          <w:sz w:val="15"/>
          <w:szCs w:val="15"/>
        </w:rPr>
        <w:t xml:space="preserve">Company size at time of engagement, not today</w:t>
      </w:r>
      <w:r>
        <w:rPr>
          <w:rStyle w:val="FootnoteReference"/>
        </w:rPr>
        <w:footnoteReference w:id="3"/>
      </w:r>
    </w:p>
    <w:p>
      <w:pPr>
        <w:keepNext/>
        <w:pBdr>
          <w:bottom w:val="single" w:color="8A7A3F" w:sz="6" w:space="2"/>
        </w:pBdr>
        <w:spacing w:after="20" w:before="40"/>
      </w:pPr>
      <w:r>
        <w:rPr>
          <w:b/>
          <w:bCs/>
          <w:color w:val="1F2A44"/>
          <w:sz w:val="22"/>
          <w:szCs w:val="22"/>
        </w:rPr>
        <w:t xml:space="preserve">AI EXPERIENCE HIGHLIGHTS</w:t>
      </w:r>
      <w:r>
        <w:rPr>
          <w:rStyle w:val="FootnoteReference"/>
        </w:rPr>
        <w:footnoteReference w:id="4"/>
      </w:r>
    </w:p>
    <w:p>
      <w:pPr>
        <w:spacing w:after="50"/>
      </w:pPr>
      <w:r>
        <w:rPr>
          <w:i/>
          <w:iCs/>
          <w:color w:val="222222"/>
          <w:sz w:val="17"/>
          <w:szCs w:val="17"/>
        </w:rPr>
        <w:t xml:space="preserve">Product accelerators and AI model-training work by capability, 2024 - Present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rPr>
          <w:cantSplit/>
        </w:trPr>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Q2R DIAGNOSTICS</w:t>
            </w:r>
          </w:p>
          <w:p>
            <w:pPr>
              <w:spacing w:after="15"/>
            </w:pPr>
            <w:r>
              <w:rPr>
                <w:b/>
                <w:bCs/>
                <w:color w:val="222222"/>
                <w:sz w:val="18"/>
                <w:szCs w:val="18"/>
              </w:rPr>
              <w:t xml:space="preserve">Pipeline-to-accounting reconciliation</w:t>
            </w:r>
          </w:p>
          <w:p>
            <w:r>
              <w:rPr>
                <w:i/>
                <w:iCs/>
                <w:color w:val="222222"/>
                <w:sz w:val="14"/>
                <w:szCs w:val="14"/>
              </w:rPr>
              <w:t xml:space="preserve">Value creation, growth, and risk mitigation</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UNDERUTILIZED ASSET PIPELINE</w:t>
            </w:r>
          </w:p>
          <w:p>
            <w:pPr>
              <w:spacing w:after="15"/>
            </w:pPr>
            <w:r>
              <w:rPr>
                <w:b/>
                <w:bCs/>
                <w:color w:val="222222"/>
                <w:sz w:val="18"/>
                <w:szCs w:val="18"/>
              </w:rPr>
              <w:t xml:space="preserve">Niche scenario data analysis</w:t>
            </w:r>
          </w:p>
          <w:p>
            <w:r>
              <w:rPr>
                <w:i/>
                <w:iCs/>
                <w:color w:val="222222"/>
                <w:sz w:val="14"/>
                <w:szCs w:val="14"/>
              </w:rPr>
              <w:t xml:space="preserve">Distressed mortgage and real estate investor scoring, cross-industry</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INVESTOR ADVISORY Q&amp;A</w:t>
            </w:r>
          </w:p>
          <w:p>
            <w:pPr>
              <w:spacing w:after="15"/>
            </w:pPr>
            <w:r>
              <w:rPr>
                <w:b/>
                <w:bCs/>
                <w:color w:val="222222"/>
                <w:sz w:val="18"/>
                <w:szCs w:val="18"/>
              </w:rPr>
              <w:t xml:space="preserve">Legally precise language design</w:t>
            </w:r>
          </w:p>
          <w:p>
            <w:r>
              <w:rPr>
                <w:i/>
                <w:iCs/>
                <w:color w:val="222222"/>
                <w:sz w:val="14"/>
                <w:szCs w:val="14"/>
              </w:rPr>
              <w:t xml:space="preserve">Structured investor-grade analysis for PE/credit contexts</w:t>
            </w:r>
          </w:p>
        </w:tc>
        <w:tc>
          <w:tcPr>
            <w:tcW w:type="dxa" w:w="2610"/>
            <w:shd w:fill="F2EFE6" w:color="auto" w:val="clear"/>
            <w:tcMar>
              <w:top w:type="dxa" w:w="35"/>
              <w:left w:type="dxa" w:w="65"/>
              <w:bottom w:type="dxa" w:w="35"/>
              <w:right w:type="dxa" w:w="65"/>
            </w:tcMar>
            <w:vAlign w:val="top"/>
          </w:tcPr>
          <w:p>
            <w:pPr>
              <w:spacing w:after="25"/>
            </w:pPr>
            <w:r>
              <w:rPr>
                <w:b/>
                <w:bCs/>
                <w:color w:val="1F2A44"/>
                <w:sz w:val="16"/>
                <w:szCs w:val="16"/>
              </w:rPr>
              <w:t xml:space="preserve">AUTONOMOUS AGENT INFRASTRUCTURE</w:t>
            </w:r>
          </w:p>
          <w:p>
            <w:pPr>
              <w:spacing w:after="15"/>
            </w:pPr>
            <w:r>
              <w:rPr>
                <w:b/>
                <w:bCs/>
                <w:color w:val="222222"/>
                <w:sz w:val="18"/>
                <w:szCs w:val="18"/>
              </w:rPr>
              <w:t xml:space="preserve">Agent output testing</w:t>
            </w:r>
          </w:p>
          <w:p>
            <w:r>
              <w:rPr>
                <w:i/>
                <w:iCs/>
                <w:color w:val="222222"/>
                <w:sz w:val="14"/>
                <w:szCs w:val="14"/>
              </w:rPr>
              <w:t xml:space="preserve">Human-in-the-loop approval to mitigate error risk</w:t>
            </w:r>
          </w:p>
        </w:tc>
      </w:tr>
    </w:tbl>
    <w:p>
      <w:pPr>
        <w:keepNext/>
        <w:pBdr>
          <w:bottom w:val="single" w:color="8A7A3F" w:sz="6" w:space="2"/>
        </w:pBdr>
        <w:spacing w:after="15" w:before="40"/>
      </w:pPr>
      <w:r>
        <w:rPr>
          <w:b/>
          <w:bCs/>
          <w:color w:val="1F2A44"/>
          <w:sz w:val="20"/>
          <w:szCs w:val="20"/>
        </w:rPr>
        <w:t xml:space="preserve">NOTES &amp; METHODOLOGY REFERENCES</w:t>
      </w:r>
    </w:p>
    <w:p>
      <w:pPr>
        <w:spacing w:after="25"/>
      </w:pPr>
      <w:r>
        <w:rPr>
          <w:i/>
          <w:iCs/>
          <w:color w:val="222222"/>
          <w:sz w:val="13"/>
          <w:szCs w:val="13"/>
        </w:rPr>
        <w:t xml:space="preserve">Plain-text copy of the notes below for mobile/tablet viewers; linked footnotes appear at the bottom of this page in Word and PDF.</w:t>
      </w:r>
    </w:p>
    <w:p>
      <w:pPr>
        <w:spacing w:after="15"/>
      </w:pPr>
      <w:r>
        <w:rPr>
          <w:b/>
          <w:bCs/>
          <w:color w:val="1F2A44"/>
          <w:sz w:val="14"/>
          <w:szCs w:val="14"/>
        </w:rPr>
        <w:t xml:space="preserve">1. </w:t>
      </w:r>
      <w:r>
        <w:rPr>
          <w:b/>
          <w:bCs/>
          <w:color w:val="1F2A44"/>
          <w:sz w:val="14"/>
          <w:szCs w:val="14"/>
        </w:rPr>
        <w:t xml:space="preserve">Attribution: </w:t>
      </w:r>
      <w:r>
        <w:rPr>
          <w:color w:val="222222"/>
          <w:sz w:val="14"/>
          <w:szCs w:val="14"/>
        </w:rPr>
        <w:t xml:space="preserve">Portfolio outcomes reflect indirect operational contribution as part of a broader Vista team, not deal execution or investment decisions.</w:t>
      </w:r>
    </w:p>
    <w:p>
      <w:pPr>
        <w:spacing w:after="15"/>
      </w:pPr>
      <w:r>
        <w:rPr>
          <w:b/>
          <w:bCs/>
          <w:color w:val="1F2A44"/>
          <w:sz w:val="14"/>
          <w:szCs w:val="14"/>
        </w:rPr>
        <w:t xml:space="preserve">2. </w:t>
      </w:r>
      <w:r>
        <w:rPr>
          <w:b/>
          <w:bCs/>
          <w:color w:val="1F2A44"/>
          <w:sz w:val="14"/>
          <w:szCs w:val="14"/>
        </w:rPr>
        <w:t xml:space="preserve">Counting method: </w:t>
      </w:r>
      <w:r>
        <w:rPr>
          <w:color w:val="222222"/>
          <w:sz w:val="14"/>
          <w:szCs w:val="14"/>
        </w:rPr>
        <w:t xml:space="preserve">Each employer and client counted once across 13 years, regardless of engagement or release-cycle count.</w:t>
      </w:r>
    </w:p>
    <w:p>
      <w:pPr>
        <w:spacing w:after="15"/>
      </w:pPr>
      <w:r>
        <w:rPr>
          <w:b/>
          <w:bCs/>
          <w:color w:val="1F2A44"/>
          <w:sz w:val="14"/>
          <w:szCs w:val="14"/>
        </w:rPr>
        <w:t xml:space="preserve">3. </w:t>
      </w:r>
      <w:r>
        <w:rPr>
          <w:b/>
          <w:bCs/>
          <w:color w:val="1F2A44"/>
          <w:sz w:val="14"/>
          <w:szCs w:val="14"/>
        </w:rPr>
        <w:t xml:space="preserve">Sizing methodology: </w:t>
      </w:r>
      <w:r>
        <w:rPr>
          <w:color w:val="222222"/>
          <w:sz w:val="14"/>
          <w:szCs w:val="14"/>
        </w:rPr>
        <w:t xml:space="preserve">Company size shown as of the engagement year using SMB/Mid-Market/Enterprise revenue and employee bands, not the company's size today.</w:t>
      </w:r>
    </w:p>
    <w:p>
      <w:pPr>
        <w:spacing w:after="15"/>
      </w:pPr>
      <w:r>
        <w:rPr>
          <w:b/>
          <w:bCs/>
          <w:color w:val="1F2A44"/>
          <w:sz w:val="14"/>
          <w:szCs w:val="14"/>
        </w:rPr>
        <w:t xml:space="preserve">4. </w:t>
      </w:r>
      <w:r>
        <w:rPr>
          <w:b/>
          <w:bCs/>
          <w:color w:val="1F2A44"/>
          <w:sz w:val="14"/>
          <w:szCs w:val="14"/>
        </w:rPr>
        <w:t xml:space="preserve">Capability context: </w:t>
      </w:r>
      <w:r>
        <w:rPr>
          <w:color w:val="222222"/>
          <w:sz w:val="14"/>
          <w:szCs w:val="14"/>
        </w:rPr>
        <w:t xml:space="preserve">AI capabilities support value creation and risk mitigation, cross-industry asset scoring, and human-approved agent output testing.</w:t>
      </w:r>
    </w:p>
    <w:p>
      <w:pPr>
        <w:keepNext/>
        <w:pageBreakBefore/>
        <w:pBdr>
          <w:bottom w:val="single" w:color="8A7A3F" w:sz="6" w:space="2"/>
        </w:pBdr>
        <w:spacing w:after="60" w:before="180"/>
      </w:pPr>
      <w:r>
        <w:rPr>
          <w:b/>
          <w:bCs/>
          <w:color w:val="1F2A44"/>
          <w:sz w:val="22"/>
          <w:szCs w:val="22"/>
        </w:rPr>
        <w:t xml:space="preserve">CORE COMPETENCIES</w:t>
      </w:r>
    </w:p>
    <w:p>
      <w:pPr>
        <w:keepNext/>
        <w:spacing w:after="20"/>
      </w:pPr>
      <w:r>
        <w:rPr>
          <w:i w:val="false"/>
          <w:iCs w:val="false"/>
          <w:color w:val="222222"/>
          <w:sz w:val="20"/>
          <w:szCs w:val="20"/>
        </w:rPr>
        <w:t xml:space="preserve">Portfolio Intake &amp; Business Analysis:</w:t>
      </w:r>
    </w:p>
    <w:p>
      <w:pPr>
        <w:pStyle w:val="ListParagraph"/>
        <w:numPr>
          <w:ilvl w:val="0"/>
          <w:numId w:val="1"/>
        </w:numPr>
        <w:spacing w:after="40"/>
      </w:pPr>
      <w:r>
        <w:rPr>
          <w:color w:val="222222"/>
          <w:sz w:val="20"/>
          <w:szCs w:val="20"/>
        </w:rPr>
        <w:t xml:space="preserve">Requirements gathering and scoping, business case development, data-driven process discovery, financial modeling and scenario planning</w:t>
      </w:r>
    </w:p>
    <w:p>
      <w:pPr>
        <w:keepNext/>
        <w:spacing w:after="20"/>
      </w:pPr>
      <w:r>
        <w:rPr>
          <w:i w:val="false"/>
          <w:iCs w:val="false"/>
          <w:color w:val="222222"/>
          <w:sz w:val="20"/>
          <w:szCs w:val="20"/>
        </w:rPr>
        <w:t xml:space="preserve">Execution &amp; Governance:</w:t>
      </w:r>
    </w:p>
    <w:p>
      <w:pPr>
        <w:pStyle w:val="ListParagraph"/>
        <w:numPr>
          <w:ilvl w:val="0"/>
          <w:numId w:val="1"/>
        </w:numPr>
        <w:spacing w:after="40"/>
      </w:pPr>
      <w:r>
        <w:rPr>
          <w:color w:val="222222"/>
          <w:sz w:val="20"/>
          <w:szCs w:val="20"/>
        </w:rPr>
        <w:t xml:space="preserve">Program roadmap and business readiness assessment, cross-workstream dependency management, portfolio company transformation, vendor and solution architecture oversight</w:t>
      </w:r>
    </w:p>
    <w:p>
      <w:pPr>
        <w:keepNext/>
        <w:spacing w:after="20"/>
      </w:pPr>
      <w:r>
        <w:rPr>
          <w:i w:val="false"/>
          <w:iCs w:val="false"/>
          <w:color w:val="222222"/>
          <w:sz w:val="20"/>
          <w:szCs w:val="20"/>
        </w:rPr>
        <w:t xml:space="preserve">Change Readiness:</w:t>
      </w:r>
    </w:p>
    <w:p>
      <w:pPr>
        <w:pStyle w:val="ListParagraph"/>
        <w:numPr>
          <w:ilvl w:val="0"/>
          <w:numId w:val="1"/>
        </w:numPr>
        <w:spacing w:after="40"/>
      </w:pPr>
      <w:r>
        <w:rPr>
          <w:color w:val="222222"/>
          <w:sz w:val="20"/>
          <w:szCs w:val="20"/>
        </w:rPr>
        <w:t xml:space="preserve">Change champion and stakeholder enablement, training content development, trusted advisor and C-suite partnership, cross-functional collaboration</w:t>
      </w:r>
    </w:p>
    <w:p>
      <w:pPr>
        <w:keepNext/>
        <w:spacing w:after="20"/>
      </w:pPr>
      <w:r>
        <w:rPr>
          <w:i w:val="false"/>
          <w:iCs w:val="false"/>
          <w:color w:val="222222"/>
          <w:sz w:val="20"/>
          <w:szCs w:val="20"/>
        </w:rPr>
        <w:t xml:space="preserve">PE Value Creation &amp; Financial Rigor:</w:t>
      </w:r>
    </w:p>
    <w:p>
      <w:pPr>
        <w:pStyle w:val="ListParagraph"/>
        <w:numPr>
          <w:ilvl w:val="0"/>
          <w:numId w:val="1"/>
        </w:numPr>
        <w:spacing w:after="40"/>
      </w:pPr>
      <w:r>
        <w:rPr>
          <w:color w:val="222222"/>
          <w:sz w:val="20"/>
          <w:szCs w:val="20"/>
        </w:rPr>
        <w:t xml:space="preserve">ARR and retention modeling at $500M+ scale, EBITDA recovery frameworks, ASC606 and revenue recognition compliance, contract and pricing renegotiation</w:t>
      </w:r>
    </w:p>
    <w:p>
      <w:pPr>
        <w:keepNext/>
        <w:spacing w:after="20"/>
      </w:pPr>
      <w:r>
        <w:rPr>
          <w:i w:val="false"/>
          <w:iCs w:val="false"/>
          <w:color w:val="222222"/>
          <w:sz w:val="20"/>
          <w:szCs w:val="20"/>
        </w:rPr>
        <w:t xml:space="preserve">AI-Enabled Delivery:</w:t>
      </w:r>
    </w:p>
    <w:p>
      <w:pPr>
        <w:pStyle w:val="ListParagraph"/>
        <w:numPr>
          <w:ilvl w:val="0"/>
          <w:numId w:val="1"/>
        </w:numPr>
        <w:spacing w:after="40"/>
      </w:pPr>
      <w:r>
        <w:rPr>
          <w:color w:val="222222"/>
          <w:sz w:val="20"/>
          <w:szCs w:val="20"/>
        </w:rPr>
        <w:t xml:space="preserve">Building AI-assisted product accelerators and model-training workflows that combine curated requirements and best practices across niche financial markets, enterprise scale-for-growth strategy, and private equity value creation rigor and performance monitoring, to increase efficiency while mitigating value risk across a portfolio or an individual account</w:t>
      </w:r>
    </w:p>
    <w:p>
      <w:pPr>
        <w:keepNext/>
        <w:pBdr>
          <w:bottom w:val="single" w:color="8A7A3F" w:sz="6" w:space="2"/>
        </w:pBdr>
        <w:spacing w:after="60" w:before="180"/>
      </w:pPr>
      <w:r>
        <w:rPr>
          <w:b/>
          <w:bCs/>
          <w:color w:val="1F2A44"/>
          <w:sz w:val="22"/>
          <w:szCs w:val="22"/>
        </w:rPr>
        <w:t xml:space="preserve">PROFESSIONAL EXPERIENCE</w:t>
      </w:r>
    </w:p>
    <w:p>
      <w:pPr>
        <w:keepNext/>
        <w:spacing w:after="20" w:before="120"/>
      </w:pPr>
      <w:r>
        <w:rPr>
          <w:b/>
          <w:bCs/>
          <w:color w:val="1F2A44"/>
          <w:sz w:val="22"/>
          <w:szCs w:val="22"/>
        </w:rPr>
        <w:t xml:space="preserve">Salt Basin Net Works</w:t>
      </w:r>
      <w:r>
        <w:rPr>
          <w:color w:val="222222"/>
          <w:sz w:val="20"/>
          <w:szCs w:val="20"/>
        </w:rPr>
        <w:t xml:space="preserve">   2024 - Present</w:t>
      </w:r>
    </w:p>
    <w:p>
      <w:pPr>
        <w:keepNext/>
        <w:spacing w:after="40"/>
      </w:pPr>
      <w:r>
        <w:rPr>
          <w:i/>
          <w:iCs/>
          <w:color w:val="222222"/>
          <w:sz w:val="20"/>
          <w:szCs w:val="20"/>
        </w:rPr>
        <w:t xml:space="preserve">Founder | Strategic Operator | AI Operator</w:t>
      </w:r>
    </w:p>
    <w:p>
      <w:pPr>
        <w:pStyle w:val="ListParagraph"/>
        <w:numPr>
          <w:ilvl w:val="0"/>
          <w:numId w:val="1"/>
        </w:numPr>
        <w:spacing w:after="40"/>
      </w:pPr>
      <w:r>
        <w:rPr>
          <w:color w:val="222222"/>
          <w:sz w:val="20"/>
          <w:szCs w:val="20"/>
        </w:rPr>
        <w:t xml:space="preserve">Founded an independent AI-native strategy and technology venture, built on 13 years of enterprise transformation and Quote-to-Revenue expertise.</w:t>
      </w:r>
    </w:p>
    <w:p>
      <w:pPr>
        <w:pStyle w:val="ListParagraph"/>
        <w:numPr>
          <w:ilvl w:val="0"/>
          <w:numId w:val="1"/>
        </w:numPr>
        <w:spacing w:after="40"/>
      </w:pPr>
      <w:r>
        <w:rPr>
          <w:color w:val="222222"/>
          <w:sz w:val="20"/>
          <w:szCs w:val="20"/>
        </w:rPr>
        <w:t xml:space="preserve">Building product accelerators and AI model-training workflows that combine curated requirements and best practices across niche financial markets, enterprise scale-for-growth strategy, and private equity value creation rigor and performance monitoring, to increase efficiency while mitigating value risk across a portfolio or an individual account.</w:t>
      </w:r>
    </w:p>
    <w:p>
      <w:pPr>
        <w:pStyle w:val="ListParagraph"/>
        <w:numPr>
          <w:ilvl w:val="0"/>
          <w:numId w:val="1"/>
        </w:numPr>
        <w:spacing w:after="40"/>
      </w:pPr>
      <w:r>
        <w:rPr>
          <w:color w:val="222222"/>
          <w:sz w:val="20"/>
          <w:szCs w:val="20"/>
        </w:rPr>
        <w:t xml:space="preserve">Advises private equity and real estate stakeholders on distressed-asset scoring and underutilized-asset identification, applying first-principles financial modeling to portfolio risk and value creation.</w:t>
      </w:r>
    </w:p>
    <w:p>
      <w:pPr>
        <w:keepNext/>
        <w:spacing w:after="20" w:before="120"/>
      </w:pPr>
      <w:r>
        <w:rPr>
          <w:b/>
          <w:bCs/>
          <w:color w:val="1F2A44"/>
          <w:sz w:val="22"/>
          <w:szCs w:val="22"/>
        </w:rPr>
        <w:t xml:space="preserve">Streamforce Consulting</w:t>
      </w:r>
      <w:r>
        <w:rPr>
          <w:color w:val="222222"/>
          <w:sz w:val="20"/>
          <w:szCs w:val="20"/>
        </w:rPr>
        <w:t xml:space="preserve">   Jan 2025 - May 2025</w:t>
      </w:r>
    </w:p>
    <w:p>
      <w:pPr>
        <w:keepNext/>
        <w:spacing w:after="40"/>
      </w:pPr>
      <w:r>
        <w:rPr>
          <w:i/>
          <w:iCs/>
          <w:color w:val="222222"/>
          <w:sz w:val="20"/>
          <w:szCs w:val="20"/>
        </w:rPr>
        <w:t xml:space="preserve">Business Architect | Strategic Advisory Partner</w:t>
      </w:r>
    </w:p>
    <w:p>
      <w:pPr>
        <w:pStyle w:val="ListParagraph"/>
        <w:numPr>
          <w:ilvl w:val="0"/>
          <w:numId w:val="1"/>
        </w:numPr>
        <w:spacing w:after="40"/>
      </w:pPr>
      <w:r>
        <w:rPr>
          <w:color w:val="222222"/>
          <w:sz w:val="20"/>
          <w:szCs w:val="20"/>
        </w:rPr>
        <w:t xml:space="preserve">Partnered with Streamforce's founder on project-based client engagements, applying CPQ, CLM, Lead-to-Cash, and Strategic Operator expertise.</w:t>
      </w:r>
    </w:p>
    <w:p>
      <w:pPr>
        <w:pStyle w:val="ListParagraph"/>
        <w:numPr>
          <w:ilvl w:val="0"/>
          <w:numId w:val="1"/>
        </w:numPr>
        <w:spacing w:after="40"/>
      </w:pPr>
      <w:r>
        <w:rPr>
          <w:color w:val="222222"/>
          <w:sz w:val="20"/>
          <w:szCs w:val="20"/>
        </w:rPr>
        <w:t xml:space="preserve">Connected the founder with private equity and business advisory partners to deliver on active initiatives, matching people to scope based on actual client need over boilerplate best practice.</w:t>
      </w:r>
    </w:p>
    <w:p>
      <w:pPr>
        <w:pStyle w:val="ListParagraph"/>
        <w:numPr>
          <w:ilvl w:val="0"/>
          <w:numId w:val="1"/>
        </w:numPr>
        <w:spacing w:after="40"/>
      </w:pPr>
      <w:r>
        <w:rPr>
          <w:color w:val="222222"/>
          <w:sz w:val="20"/>
          <w:szCs w:val="20"/>
        </w:rPr>
        <w:t xml:space="preserve">Structured delivery roadmaps and trade-off decisions across scope, timeline, forecasting inputs, pricing, and system capability to align execution with revenue targets.</w:t>
      </w:r>
    </w:p>
    <w:p>
      <w:pPr>
        <w:keepNext/>
        <w:spacing w:after="20" w:before="120"/>
      </w:pPr>
      <w:r>
        <w:rPr>
          <w:b/>
          <w:bCs/>
          <w:color w:val="1F2A44"/>
          <w:sz w:val="22"/>
          <w:szCs w:val="22"/>
        </w:rPr>
        <w:t xml:space="preserve">Slalom Consulting</w:t>
      </w:r>
      <w:r>
        <w:rPr>
          <w:color w:val="222222"/>
          <w:sz w:val="20"/>
          <w:szCs w:val="20"/>
        </w:rPr>
        <w:t xml:space="preserve">   Jun 2023 - Jun 2024</w:t>
      </w:r>
    </w:p>
    <w:p>
      <w:pPr>
        <w:keepNext/>
        <w:spacing w:after="40"/>
      </w:pPr>
      <w:r>
        <w:rPr>
          <w:i/>
          <w:iCs/>
          <w:color w:val="222222"/>
          <w:sz w:val="20"/>
          <w:szCs w:val="20"/>
        </w:rPr>
        <w:t xml:space="preserve">Senior Principal</w:t>
      </w:r>
    </w:p>
    <w:p>
      <w:pPr>
        <w:pStyle w:val="ListParagraph"/>
        <w:numPr>
          <w:ilvl w:val="0"/>
          <w:numId w:val="1"/>
        </w:numPr>
        <w:spacing w:after="40"/>
      </w:pPr>
      <w:r>
        <w:rPr>
          <w:color w:val="222222"/>
          <w:sz w:val="20"/>
          <w:szCs w:val="20"/>
        </w:rPr>
        <w:t xml:space="preserve">Managed delivery of system and process initiatives for enterprise clients, coordinating cross-functional teams across revenue operations while monitoring risk, dependency, and financial impact to delivery timelines.</w:t>
      </w:r>
    </w:p>
    <w:p>
      <w:pPr>
        <w:pStyle w:val="ListParagraph"/>
        <w:numPr>
          <w:ilvl w:val="0"/>
          <w:numId w:val="1"/>
        </w:numPr>
        <w:spacing w:after="40"/>
      </w:pPr>
      <w:r>
        <w:rPr>
          <w:color w:val="222222"/>
          <w:sz w:val="20"/>
          <w:szCs w:val="20"/>
        </w:rPr>
        <w:t xml:space="preserve">Engaged as Strategic Operator and Quote-to-Revenue subject matter expert on a healthcare company's post-delisting recovery, aligning operational systems with financial reporting and regulatory readiness; the client CTO called the contribution to the relisting effort "genius."</w:t>
      </w:r>
    </w:p>
    <w:p>
      <w:pPr>
        <w:pStyle w:val="ListParagraph"/>
        <w:numPr>
          <w:ilvl w:val="0"/>
          <w:numId w:val="1"/>
        </w:numPr>
        <w:spacing w:after="40"/>
      </w:pPr>
      <w:r>
        <w:rPr>
          <w:color w:val="222222"/>
          <w:sz w:val="20"/>
          <w:szCs w:val="20"/>
        </w:rPr>
        <w:t xml:space="preserve">As GTM Advisor and CPQ/Billing Enablement Lead for a global technology company launching usage-based pricing, reviewed the client's financials and found that usage-based products already represented more than 50% of product revenue, against a leadership assumption of under 5%; used the finding to pinpoint the material weakness points of failure driving more than half of the company's delayed invoices and disputes, then prioritized the roadmap to resolve the root causes.</w:t>
      </w:r>
    </w:p>
    <w:p>
      <w:pPr>
        <w:pStyle w:val="ListParagraph"/>
        <w:numPr>
          <w:ilvl w:val="0"/>
          <w:numId w:val="1"/>
        </w:numPr>
        <w:spacing w:after="40"/>
      </w:pPr>
      <w:r>
        <w:rPr>
          <w:color w:val="222222"/>
          <w:sz w:val="20"/>
          <w:szCs w:val="20"/>
        </w:rPr>
        <w:t xml:space="preserve">The resulting fixes improved cash collection timing, surfaced a path to improved customer satisfaction, and uncovered an opportunity to renegotiate several strategic contracts that had renewed at flat pricing for 10 to 15 years, building in regular increases to reflect inflation and current market value.</w:t>
      </w:r>
    </w:p>
    <w:p>
      <w:pPr>
        <w:pStyle w:val="ListParagraph"/>
        <w:numPr>
          <w:ilvl w:val="0"/>
          <w:numId w:val="1"/>
        </w:numPr>
        <w:spacing w:after="40"/>
      </w:pPr>
      <w:r>
        <w:rPr>
          <w:color w:val="222222"/>
          <w:sz w:val="20"/>
          <w:szCs w:val="20"/>
        </w:rPr>
        <w:t xml:space="preserve">Architected a Salesforce Billing (Revenue Cloud) implementation accelerator to shorten enterprise adoption timelines, reused across multiple client engagements.</w:t>
      </w:r>
    </w:p>
    <w:p>
      <w:pPr>
        <w:pStyle w:val="ListParagraph"/>
        <w:numPr>
          <w:ilvl w:val="0"/>
          <w:numId w:val="1"/>
        </w:numPr>
        <w:spacing w:after="40"/>
      </w:pPr>
      <w:r>
        <w:rPr>
          <w:color w:val="222222"/>
          <w:sz w:val="20"/>
          <w:szCs w:val="20"/>
        </w:rPr>
        <w:t xml:space="preserve">As CPQ/CLM Functional Lead on a global manufacturing client's Quote-to-Revenue transformation, redesigned quoting and contracting workflows across CPQ and CLM platforms and eliminated manual pricing processes across multiple tools; a client VP said, "I cannot thank and applaud Betsy enough for her contributions on the complex deals project."</w:t>
      </w:r>
    </w:p>
    <w:p>
      <w:pPr>
        <w:keepNext/>
        <w:spacing w:after="20" w:before="120"/>
      </w:pPr>
      <w:r>
        <w:rPr>
          <w:b/>
          <w:bCs/>
          <w:color w:val="1F2A44"/>
          <w:sz w:val="22"/>
          <w:szCs w:val="22"/>
        </w:rPr>
        <w:t xml:space="preserve">PwC</w:t>
      </w:r>
      <w:r>
        <w:rPr>
          <w:color w:val="222222"/>
          <w:sz w:val="20"/>
          <w:szCs w:val="20"/>
        </w:rPr>
        <w:t xml:space="preserve">   Jan 2021 - Jun 2023</w:t>
      </w:r>
    </w:p>
    <w:p>
      <w:pPr>
        <w:keepNext/>
        <w:spacing w:after="40"/>
      </w:pPr>
      <w:r>
        <w:rPr>
          <w:i/>
          <w:iCs/>
          <w:color w:val="222222"/>
          <w:sz w:val="20"/>
          <w:szCs w:val="20"/>
        </w:rPr>
        <w:t xml:space="preserve">Advisory Consulting Manager</w:t>
      </w:r>
    </w:p>
    <w:p>
      <w:pPr>
        <w:pStyle w:val="ListParagraph"/>
        <w:numPr>
          <w:ilvl w:val="0"/>
          <w:numId w:val="1"/>
        </w:numPr>
        <w:spacing w:after="40"/>
      </w:pPr>
      <w:r>
        <w:rPr>
          <w:color w:val="222222"/>
          <w:sz w:val="20"/>
          <w:szCs w:val="20"/>
        </w:rPr>
        <w:t xml:space="preserve">Led Lead-to-Cash and revenue operations advisory across DevOps/IT, telehealth, construction/transportation, and specialty chemicals clients.</w:t>
      </w:r>
    </w:p>
    <w:p>
      <w:pPr>
        <w:pStyle w:val="ListParagraph"/>
        <w:numPr>
          <w:ilvl w:val="0"/>
          <w:numId w:val="1"/>
        </w:numPr>
        <w:spacing w:after="40"/>
      </w:pPr>
      <w:r>
        <w:rPr>
          <w:color w:val="222222"/>
          <w:sz w:val="20"/>
          <w:szCs w:val="20"/>
        </w:rPr>
        <w:t xml:space="preserve">Delivered a 12-week Lead-to-Cash business process design engagement for a global telehealth company that secured a $50M+ multi-year Salesforce implementation and back-office systems redesign; supported the follow-on 10-person implementation team.</w:t>
      </w:r>
    </w:p>
    <w:p>
      <w:pPr>
        <w:pStyle w:val="ListParagraph"/>
        <w:numPr>
          <w:ilvl w:val="0"/>
          <w:numId w:val="1"/>
        </w:numPr>
        <w:spacing w:after="40"/>
      </w:pPr>
      <w:r>
        <w:rPr>
          <w:color w:val="222222"/>
          <w:sz w:val="20"/>
          <w:szCs w:val="20"/>
        </w:rPr>
        <w:t xml:space="preserve">Redesigned Salesforce CPQ and SAP integrations for a specialty chemicals manufacturer to support variable, frequently-changing pricing, including metals pricing, across North America and Asia; the redesign went live.</w:t>
      </w:r>
    </w:p>
    <w:p>
      <w:pPr>
        <w:pStyle w:val="ListParagraph"/>
        <w:numPr>
          <w:ilvl w:val="0"/>
          <w:numId w:val="1"/>
        </w:numPr>
        <w:spacing w:after="40"/>
      </w:pPr>
      <w:r>
        <w:rPr>
          <w:color w:val="222222"/>
          <w:sz w:val="20"/>
          <w:szCs w:val="20"/>
        </w:rPr>
        <w:t xml:space="preserve">Led an internal data-driven process-improvement initiative, built reusable deliverable templates, and transitioned client counterparts to independently own status reporting and delivery.</w:t>
      </w:r>
    </w:p>
    <w:p>
      <w:pPr>
        <w:keepNext/>
        <w:spacing w:after="20" w:before="120"/>
      </w:pPr>
      <w:r>
        <w:rPr>
          <w:b/>
          <w:bCs/>
          <w:color w:val="1F2A44"/>
          <w:sz w:val="22"/>
          <w:szCs w:val="22"/>
        </w:rPr>
        <w:t xml:space="preserve">TIBCO Software</w:t>
      </w:r>
      <w:r>
        <w:rPr>
          <w:color w:val="222222"/>
          <w:sz w:val="20"/>
          <w:szCs w:val="20"/>
        </w:rPr>
        <w:t xml:space="preserve">   Jun 2020 - Jan 2021</w:t>
      </w:r>
    </w:p>
    <w:p>
      <w:pPr>
        <w:keepNext/>
        <w:spacing w:after="40"/>
      </w:pPr>
      <w:r>
        <w:rPr>
          <w:i/>
          <w:iCs/>
          <w:color w:val="222222"/>
          <w:sz w:val="20"/>
          <w:szCs w:val="20"/>
        </w:rPr>
        <w:t xml:space="preserve">Lead Business Solution Architect</w:t>
      </w:r>
    </w:p>
    <w:p>
      <w:pPr>
        <w:pStyle w:val="ListParagraph"/>
        <w:numPr>
          <w:ilvl w:val="0"/>
          <w:numId w:val="1"/>
        </w:numPr>
        <w:spacing w:after="40"/>
      </w:pPr>
      <w:r>
        <w:rPr>
          <w:color w:val="222222"/>
          <w:sz w:val="20"/>
          <w:szCs w:val="20"/>
        </w:rPr>
        <w:t xml:space="preserve">Re-architected Salesforce Billing and Order integration, automating order error correction and eliminating manual intervention.</w:t>
      </w:r>
    </w:p>
    <w:p>
      <w:pPr>
        <w:pStyle w:val="ListParagraph"/>
        <w:numPr>
          <w:ilvl w:val="0"/>
          <w:numId w:val="1"/>
        </w:numPr>
        <w:spacing w:after="40"/>
      </w:pPr>
      <w:r>
        <w:rPr>
          <w:color w:val="222222"/>
          <w:sz w:val="20"/>
          <w:szCs w:val="20"/>
        </w:rPr>
        <w:t xml:space="preserve">Designed cross-functional solution architecture spanning sales, sales operations, accounting, and revenue teams; troubleshot production issues affecting transaction processing and downstream reporting.</w:t>
      </w:r>
    </w:p>
    <w:p>
      <w:pPr>
        <w:keepNext/>
        <w:spacing w:after="20" w:before="120"/>
      </w:pPr>
      <w:r>
        <w:rPr>
          <w:b/>
          <w:bCs/>
          <w:color w:val="1F2A44"/>
          <w:sz w:val="22"/>
          <w:szCs w:val="22"/>
        </w:rPr>
        <w:t xml:space="preserve">Vista Equity Partners</w:t>
      </w:r>
      <w:r>
        <w:rPr>
          <w:color w:val="222222"/>
          <w:sz w:val="20"/>
          <w:szCs w:val="20"/>
        </w:rPr>
        <w:t xml:space="preserve">   Aug 2018 - May 2020</w:t>
      </w:r>
    </w:p>
    <w:p>
      <w:pPr>
        <w:keepNext/>
        <w:spacing w:after="40"/>
      </w:pPr>
      <w:r>
        <w:rPr>
          <w:i/>
          <w:iCs/>
          <w:color w:val="222222"/>
          <w:sz w:val="20"/>
          <w:szCs w:val="20"/>
        </w:rPr>
        <w:t xml:space="preserve">Senior Consultant</w:t>
      </w:r>
    </w:p>
    <w:p>
      <w:pPr>
        <w:pStyle w:val="ListParagraph"/>
        <w:numPr>
          <w:ilvl w:val="0"/>
          <w:numId w:val="1"/>
        </w:numPr>
        <w:spacing w:after="40"/>
      </w:pPr>
      <w:r>
        <w:rPr>
          <w:color w:val="222222"/>
          <w:sz w:val="20"/>
          <w:szCs w:val="20"/>
        </w:rPr>
        <w:t xml:space="preserve">Served as Lead-to-Cash subject matter expert and project coordinator across four private equity portfolio companies spanning GovTech, AdTech, HR Tech, and FinOps, bridging Vista's trademarked Best Practice process standards to implementation partners.</w:t>
      </w:r>
    </w:p>
    <w:p>
      <w:pPr>
        <w:pStyle w:val="ListParagraph"/>
        <w:numPr>
          <w:ilvl w:val="0"/>
          <w:numId w:val="1"/>
        </w:numPr>
        <w:spacing w:after="40"/>
      </w:pPr>
      <w:r>
        <w:rPr>
          <w:color w:val="222222"/>
          <w:sz w:val="20"/>
          <w:szCs w:val="20"/>
        </w:rPr>
        <w:t xml:space="preserve">Designed CPQ/CLM functional architecture and a data migration methodology that enabled automated renewal processes supporting more than $500M in recurring revenue; built proprietary ARR and customer retention reporting models used for investor reporting and exit readiness.</w:t>
      </w:r>
    </w:p>
    <w:p>
      <w:pPr>
        <w:pStyle w:val="ListParagraph"/>
        <w:numPr>
          <w:ilvl w:val="0"/>
          <w:numId w:val="1"/>
        </w:numPr>
        <w:spacing w:after="40"/>
      </w:pPr>
      <w:r>
        <w:rPr>
          <w:color w:val="222222"/>
          <w:sz w:val="20"/>
          <w:szCs w:val="20"/>
        </w:rPr>
        <w:t xml:space="preserve">Evaluated operational and system performance to identify revenue leakage and inefficiencies, and contributed to changes improving cost structure and revenue scalability across the portfolio.</w:t>
      </w:r>
    </w:p>
    <w:p>
      <w:pPr>
        <w:pStyle w:val="ListParagraph"/>
        <w:numPr>
          <w:ilvl w:val="0"/>
          <w:numId w:val="1"/>
        </w:numPr>
        <w:spacing w:after="40"/>
      </w:pPr>
      <w:r>
        <w:rPr>
          <w:color w:val="222222"/>
          <w:sz w:val="20"/>
          <w:szCs w:val="20"/>
        </w:rPr>
        <w:t xml:space="preserve">Supported M&amp;A process and data integration for a multi-company platform merger, and led CPQ/CLM/NetSuite/Marketo full-scale implementation work that eliminated manual pricing processes previously performed across six separate spreadsheets.</w:t>
      </w:r>
    </w:p>
    <w:p>
      <w:pPr>
        <w:pStyle w:val="ListParagraph"/>
        <w:numPr>
          <w:ilvl w:val="0"/>
          <w:numId w:val="1"/>
        </w:numPr>
        <w:spacing w:after="40"/>
      </w:pPr>
      <w:r>
        <w:rPr>
          <w:color w:val="222222"/>
          <w:sz w:val="20"/>
          <w:szCs w:val="20"/>
        </w:rPr>
        <w:t xml:space="preserve">Portfolio outcomes: two of the four companies supported during this engagement delivered strong confirmed investor returns, including one take-private-to-strategic-acquisition transaction returning roughly 142% and one IPO-to-pending-acquisition transaction; the remaining two are still held and have attracted continued growth investment.</w:t>
      </w:r>
    </w:p>
    <w:p>
      <w:pPr>
        <w:keepNext/>
        <w:spacing w:after="20" w:before="120"/>
      </w:pPr>
      <w:r>
        <w:rPr>
          <w:b/>
          <w:bCs/>
          <w:color w:val="1F2A44"/>
          <w:sz w:val="22"/>
          <w:szCs w:val="22"/>
        </w:rPr>
        <w:t xml:space="preserve">Accenture</w:t>
      </w:r>
      <w:r>
        <w:rPr>
          <w:color w:val="222222"/>
          <w:sz w:val="20"/>
          <w:szCs w:val="20"/>
        </w:rPr>
        <w:t xml:space="preserve">   Apr 2015 - Aug 2018</w:t>
      </w:r>
    </w:p>
    <w:p>
      <w:pPr>
        <w:keepNext/>
        <w:spacing w:after="40"/>
      </w:pPr>
      <w:r>
        <w:rPr>
          <w:i/>
          <w:iCs/>
          <w:color w:val="222222"/>
          <w:sz w:val="20"/>
          <w:szCs w:val="20"/>
        </w:rPr>
        <w:t xml:space="preserve">Consultant (promoted from Senior Analyst)</w:t>
      </w:r>
    </w:p>
    <w:p>
      <w:pPr>
        <w:pStyle w:val="ListParagraph"/>
        <w:numPr>
          <w:ilvl w:val="0"/>
          <w:numId w:val="1"/>
        </w:numPr>
        <w:spacing w:after="40"/>
      </w:pPr>
      <w:r>
        <w:rPr>
          <w:color w:val="222222"/>
          <w:sz w:val="20"/>
          <w:szCs w:val="20"/>
        </w:rPr>
        <w:t xml:space="preserve">Progressed from Senior Analyst to Consultant across CRM/CPQ delivery engagements for education publishing and consumer goods clients.</w:t>
      </w:r>
    </w:p>
    <w:p>
      <w:pPr>
        <w:pStyle w:val="ListParagraph"/>
        <w:numPr>
          <w:ilvl w:val="0"/>
          <w:numId w:val="1"/>
        </w:numPr>
        <w:spacing w:after="40"/>
      </w:pPr>
      <w:r>
        <w:rPr>
          <w:color w:val="222222"/>
          <w:sz w:val="20"/>
          <w:szCs w:val="20"/>
        </w:rPr>
        <w:t xml:space="preserve">Led CPQ capability design across multiple global release waves for a $50M+ education publishing program, including a 12-week global process design with 25+ stakeholder surveys across the US, UK, and Australia/New Zealand, and a variable pricing engine rationalizing more than 2 million SKUs into an 8-tab, 200+ formula pricing model.</w:t>
      </w:r>
    </w:p>
    <w:p>
      <w:pPr>
        <w:pStyle w:val="ListParagraph"/>
        <w:numPr>
          <w:ilvl w:val="0"/>
          <w:numId w:val="1"/>
        </w:numPr>
        <w:spacing w:after="40"/>
      </w:pPr>
      <w:r>
        <w:rPr>
          <w:color w:val="222222"/>
          <w:sz w:val="20"/>
          <w:szCs w:val="20"/>
        </w:rPr>
        <w:t xml:space="preserve">Rescued a competitor-initiated CRM/CPQ and MDM/data migration implementation for a global consumer goods client ($60M+ program), defining the future-state data model and leading 12 system integrations into Salesforce.</w:t>
      </w:r>
    </w:p>
    <w:p>
      <w:pPr>
        <w:keepNext/>
        <w:spacing w:after="20" w:before="120"/>
      </w:pPr>
      <w:r>
        <w:rPr>
          <w:b/>
          <w:bCs/>
          <w:color w:val="1F2A44"/>
          <w:sz w:val="22"/>
          <w:szCs w:val="22"/>
        </w:rPr>
        <w:t xml:space="preserve">Blackbaud, Inc.</w:t>
      </w:r>
      <w:r>
        <w:rPr>
          <w:color w:val="222222"/>
          <w:sz w:val="20"/>
          <w:szCs w:val="20"/>
        </w:rPr>
        <w:t xml:space="preserve">   Aug 2013 - Apr 2015</w:t>
      </w:r>
    </w:p>
    <w:p>
      <w:pPr>
        <w:keepNext/>
        <w:spacing w:after="40"/>
      </w:pPr>
      <w:r>
        <w:rPr>
          <w:i/>
          <w:iCs/>
          <w:color w:val="222222"/>
          <w:sz w:val="20"/>
          <w:szCs w:val="20"/>
        </w:rPr>
        <w:t xml:space="preserve">Senior Contract Processing Specialist (promoted from Contract Processing Specialist)</w:t>
      </w:r>
    </w:p>
    <w:p>
      <w:pPr>
        <w:pStyle w:val="ListParagraph"/>
        <w:numPr>
          <w:ilvl w:val="0"/>
          <w:numId w:val="1"/>
        </w:numPr>
        <w:spacing w:after="40"/>
      </w:pPr>
      <w:r>
        <w:rPr>
          <w:color w:val="222222"/>
          <w:sz w:val="20"/>
          <w:szCs w:val="20"/>
        </w:rPr>
        <w:t xml:space="preserve">Managed end-to-end contract-to-order handover and billing accuracy within SAP for a 10-12 person team; named Salesforce and Apttus CPQ implementation champion.</w:t>
      </w:r>
    </w:p>
    <w:p>
      <w:pPr>
        <w:pStyle w:val="ListParagraph"/>
        <w:numPr>
          <w:ilvl w:val="0"/>
          <w:numId w:val="1"/>
        </w:numPr>
        <w:spacing w:after="40"/>
      </w:pPr>
      <w:r>
        <w:rPr>
          <w:color w:val="222222"/>
          <w:sz w:val="20"/>
          <w:szCs w:val="20"/>
        </w:rPr>
        <w:t xml:space="preserve">Authored training deliverables and upskilled the sales and operations teams, contributing to roughly 4 hours per person per month in reduced month-end overtime following the Salesforce/Apttus rollout.</w:t>
      </w:r>
    </w:p>
    <w:p>
      <w:pPr>
        <w:keepNext/>
        <w:pBdr>
          <w:bottom w:val="single" w:color="8A7A3F" w:sz="6" w:space="2"/>
        </w:pBdr>
        <w:spacing w:after="60" w:before="180"/>
      </w:pPr>
      <w:r>
        <w:rPr>
          <w:b/>
          <w:bCs/>
          <w:color w:val="1F2A44"/>
          <w:sz w:val="22"/>
          <w:szCs w:val="22"/>
        </w:rPr>
        <w:t xml:space="preserve">EDUCATION</w:t>
      </w:r>
    </w:p>
    <w:p>
      <w:pPr>
        <w:keepNext w:val="false"/>
        <w:spacing w:after="80"/>
      </w:pPr>
      <w:r>
        <w:rPr>
          <w:i w:val="false"/>
          <w:iCs w:val="false"/>
          <w:color w:val="222222"/>
          <w:sz w:val="20"/>
          <w:szCs w:val="20"/>
        </w:rPr>
        <w:t xml:space="preserve">B.S. Accounting, College of Charleston, 2013</w:t>
      </w:r>
    </w:p>
    <w:p>
      <w:pPr>
        <w:keepNext/>
        <w:pBdr>
          <w:bottom w:val="single" w:color="8A7A3F" w:sz="6" w:space="2"/>
        </w:pBdr>
        <w:spacing w:after="60" w:before="180"/>
      </w:pPr>
      <w:r>
        <w:rPr>
          <w:b/>
          <w:bCs/>
          <w:color w:val="1F2A44"/>
          <w:sz w:val="22"/>
          <w:szCs w:val="22"/>
        </w:rPr>
        <w:t xml:space="preserve">CERTIFICATIONS</w:t>
      </w:r>
    </w:p>
    <w:p>
      <w:pPr>
        <w:keepNext w:val="false"/>
        <w:spacing w:after="80"/>
      </w:pPr>
      <w:r>
        <w:rPr>
          <w:i w:val="false"/>
          <w:iCs w:val="false"/>
          <w:color w:val="222222"/>
          <w:sz w:val="20"/>
          <w:szCs w:val="20"/>
        </w:rPr>
        <w:t xml:space="preserve">Apttus Advanced CPQ + CLM + Best Practices Certification (merit-awarded, without prior formal training)</w:t>
      </w:r>
    </w:p>
    <w:p>
      <w:pPr>
        <w:keepNext w:val="false"/>
        <w:spacing w:after="80"/>
      </w:pPr>
      <w:r>
        <w:rPr>
          <w:i w:val="false"/>
          <w:iCs w:val="false"/>
          <w:color w:val="222222"/>
          <w:sz w:val="20"/>
          <w:szCs w:val="20"/>
        </w:rPr>
        <w:t xml:space="preserve">Prior held certifications: Salesforce Administration, Platform Builder, Sales Cloud, Revenue Cloud</w:t>
      </w:r>
    </w:p>
    <w:sectPr>
      <w:pgSz w:w="12240" w:h="15840" w:orient="portrait"/>
      <w:pgMar w:top="620" w:right="860" w:bottom="6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b/>
          <w:bCs/>
          <w:color w:val="1F2A44"/>
          <w:sz w:val="15"/>
          <w:szCs w:val="15"/>
        </w:rPr>
        <w:t xml:space="preserve">Attribution: </w:t>
      </w:r>
      <w:r>
        <w:rPr>
          <w:sz w:val="15"/>
          <w:szCs w:val="15"/>
        </w:rPr>
        <w:t xml:space="preserve">These figures reflect portfolio-level outcomes at companies where I contributed process design, systems architecture, and financial modeling as part of a broader Vista team, not deal execution or investment decisions. That work supported long-term sustainability, defensible EBITDA, and valuation multipliers at exit.</w:t>
      </w:r>
    </w:p>
  </w:footnote>
  <w:footnote w:id="2">
    <w:p>
      <w:r>
        <w:rPr>
          <w:rStyle w:val="FootnoteReference"/>
        </w:rPr>
        <w:footnoteRef/>
      </w:r>
      <w:r>
        <w:rPr>
          <w:b/>
          <w:bCs/>
          <w:color w:val="1F2A44"/>
          <w:sz w:val="15"/>
          <w:szCs w:val="15"/>
        </w:rPr>
        <w:t xml:space="preserve">Counting method: </w:t>
      </w:r>
      <w:r>
        <w:rPr>
          <w:sz w:val="15"/>
          <w:szCs w:val="15"/>
        </w:rPr>
        <w:t xml:space="preserve">Unique organizations worked with across 13 years, counting each employer once and each client once regardless of how many engagements or release cycles were involved.</w:t>
      </w:r>
    </w:p>
  </w:footnote>
  <w:footnote w:id="3">
    <w:p>
      <w:r>
        <w:rPr>
          <w:rStyle w:val="FootnoteReference"/>
        </w:rPr>
        <w:footnoteRef/>
      </w:r>
      <w:r>
        <w:rPr>
          <w:b/>
          <w:bCs/>
          <w:color w:val="1F2A44"/>
          <w:sz w:val="15"/>
          <w:szCs w:val="15"/>
        </w:rPr>
        <w:t xml:space="preserve">Sizing methodology: </w:t>
      </w:r>
      <w:r>
        <w:rPr>
          <w:sz w:val="15"/>
          <w:szCs w:val="15"/>
        </w:rPr>
        <w:t xml:space="preserve">Company size reflects each organization's scale at the time of my engagement, not its size today, using commonly used bands: SMB (under $50M revenue or under 500 employees), Mid-Market ($50M-$1B revenue or 500-2,500 employees), Enterprise (over $1B revenue or over 2,500 employees). Sizing is drawn from public filings and press releases where available; a small number of anonymized client engagements are sized by reasonable estimate.</w:t>
      </w:r>
    </w:p>
  </w:footnote>
  <w:footnote w:id="4">
    <w:p>
      <w:r>
        <w:rPr>
          <w:rStyle w:val="FootnoteReference"/>
        </w:rPr>
        <w:footnoteRef/>
      </w:r>
      <w:r>
        <w:rPr>
          <w:b/>
          <w:bCs/>
          <w:color w:val="1F2A44"/>
          <w:sz w:val="15"/>
          <w:szCs w:val="15"/>
        </w:rPr>
        <w:t xml:space="preserve">Capability context: </w:t>
      </w:r>
      <w:r>
        <w:rPr>
          <w:sz w:val="15"/>
          <w:szCs w:val="15"/>
        </w:rPr>
        <w:t xml:space="preserve">Q2R Diagnostics audits pipeline-to-accounting reconciliation confidence to support defensible company financials and trace price movement to fund economics and specific value creation initiatives. Underutilized Asset Pipeline applies niche scenario data analysis built for distressed mortgages and real estate investors, extensible cross-industry. Autonomous Agent Infrastructure tests agent tasks and recommendations against repeatable processes with human-in-the-loop approval, mitigating probabilistic error risk against select data sets before publishing.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291442baafb65adf905aebc9145d5f4479186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2026-09-10T20:24:48.142Z</dcterms:created>
  <dcterms:modified xsi:type="dcterms:W3CDTF">2026-09-10T20:24:48.143Z</dcterms:modified>
</cp:coreProperties>
</file>

<file path=docProps/custom.xml><?xml version="1.0" encoding="utf-8"?>
<Properties xmlns="http://schemas.openxmlformats.org/officeDocument/2006/custom-properties" xmlns:vt="http://schemas.openxmlformats.org/officeDocument/2006/docPropsVTypes"/>
</file>