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rFonts w:ascii="Fraunces" w:hAnsi="Fraunces"/>
          <w:b/>
          <w:color w:val="C4843A"/>
          <w:sz w:val="38"/>
        </w:rPr>
        <w:t>SALT BASIN</w:t>
      </w:r>
    </w:p>
    <w:p>
      <w:pPr>
        <w:pStyle w:val="Title"/>
        <w:jc w:val="center"/>
      </w:pPr>
      <w:r>
        <w:t>Weekly Research &amp; Outreach Master</w:t>
      </w:r>
    </w:p>
    <w:p>
      <w:pPr>
        <w:pStyle w:val="Subtitle"/>
        <w:jc w:val="center"/>
      </w:pPr>
      <w:r>
        <w:t>Research Work Prompt + Recurring Agent Specification</w:t>
      </w:r>
    </w:p>
    <w:tbl>
      <w:tblPr>
        <w:tblW w:type="dxa" w:w="9360"/>
        <w:jc w:val="center"/>
        <w:tblLayout w:type="fixed"/>
        <w:tblLook w:firstColumn="1" w:firstRow="1" w:lastColumn="0" w:lastRow="0" w:noHBand="0" w:noVBand="1" w:val="04A0"/>
      </w:tblPr>
      <w:tblGrid>
        <w:gridCol w:w="9360"/>
      </w:tblGrid>
      <w:tr>
        <w:tc>
          <w:tcPr>
            <w:tcW w:type="dxa" w:w="9360"/>
            <w:shd w:fill="F8F4EC"/>
            <w:tcMar>
              <w:top w:w="160" w:type="dxa"/>
              <w:start w:w="180" w:type="dxa"/>
              <w:bottom w:w="160" w:type="dxa"/>
              <w:end w:w="180" w:type="dxa"/>
            </w:tcMar>
          </w:tcPr>
          <w:p>
            <w:pPr>
              <w:spacing w:after="60"/>
            </w:pPr>
            <w:r/>
            <w:r>
              <w:rPr>
                <w:rFonts w:ascii="Jost" w:hAnsi="Jost"/>
                <w:b/>
                <w:color w:val="345A68"/>
                <w:sz w:val="18"/>
              </w:rPr>
              <w:t>OPERATING PURPOSE</w:t>
            </w:r>
          </w:p>
          <w:p>
            <w:pPr>
              <w:spacing w:after="0"/>
            </w:pPr>
            <w:r>
              <w:rPr>
                <w:rFonts w:ascii="Jost" w:hAnsi="Jost"/>
                <w:color w:val="2B2A28"/>
                <w:sz w:val="20"/>
              </w:rPr>
              <w:t>Continuously discover new market signals, expand the target universe, rank Salt Basin buyer opportunities and career opportunities, and convert evidence into governed, personalized outreach—without losing history or overstating what the evidence proves.</w:t>
            </w:r>
          </w:p>
        </w:tc>
      </w:tr>
    </w:tbl>
    <w:p>
      <w:pPr>
        <w:spacing w:after="0"/>
      </w:pPr>
    </w:p>
    <w:p>
      <w:pPr>
        <w:spacing w:before="320"/>
        <w:jc w:val="center"/>
      </w:pPr>
      <w:r>
        <w:rPr>
          <w:rFonts w:ascii="JetBrains Mono" w:hAnsi="JetBrains Mono"/>
          <w:b/>
          <w:color w:val="4A7C8E"/>
          <w:sz w:val="18"/>
        </w:rPr>
        <w:t>VERSION 1.0  •  AUGUST 3, 2026</w:t>
      </w:r>
    </w:p>
    <w:p>
      <w:r>
        <w:br w:type="page"/>
      </w:r>
    </w:p>
    <w:p>
      <w:pPr>
        <w:pStyle w:val="Title"/>
      </w:pPr>
      <w:r>
        <w:t>1. The outcome this system must produce</w:t>
      </w:r>
    </w:p>
    <w:p>
      <w:r>
        <w:t>This specification defines one recurring research system with two coordinated but distinct pipelines. It does not merely find news or jobs. It converts changing external evidence into an executable target, relationship, and outreach operating system.</w:t>
      </w:r>
    </w:p>
    <w:tbl>
      <w:tblPr>
        <w:tblStyle w:val="TableGrid"/>
        <w:tblW w:type="dxa" w:w="9360"/>
        <w:jc w:val="center"/>
        <w:tblLayout w:type="fixed"/>
        <w:tblLook w:firstColumn="1" w:firstRow="1" w:lastColumn="0" w:lastRow="0" w:noHBand="0" w:noVBand="1" w:val="04A0"/>
      </w:tblPr>
      <w:tblGrid>
        <w:gridCol w:w="1944"/>
        <w:gridCol w:w="3240"/>
        <w:gridCol w:w="4176"/>
      </w:tblGrid>
      <w:tr>
        <w:trPr>
          <w:tblHeader w:val="true"/>
        </w:trPr>
        <w:tc>
          <w:tcPr>
            <w:tcW w:type="dxa" w:w="1944"/>
            <w:shd w:fill="345A68"/>
            <w:vAlign w:val="center"/>
            <w:tcMar>
              <w:top w:w="100" w:type="dxa"/>
              <w:start w:w="120" w:type="dxa"/>
              <w:bottom w:w="100" w:type="dxa"/>
              <w:end w:w="120" w:type="dxa"/>
            </w:tcMar>
          </w:tcPr>
          <w:p>
            <w:pPr>
              <w:spacing w:after="0"/>
            </w:pPr>
            <w:r/>
            <w:r>
              <w:rPr>
                <w:rFonts w:ascii="Jost" w:hAnsi="Jost"/>
                <w:b/>
                <w:color w:val="FFFFFF"/>
                <w:sz w:val="16"/>
              </w:rPr>
              <w:t>Pipeline</w:t>
            </w:r>
          </w:p>
        </w:tc>
        <w:tc>
          <w:tcPr>
            <w:tcW w:type="dxa" w:w="3240"/>
            <w:shd w:fill="345A68"/>
            <w:vAlign w:val="center"/>
            <w:tcMar>
              <w:top w:w="100" w:type="dxa"/>
              <w:start w:w="120" w:type="dxa"/>
              <w:bottom w:w="100" w:type="dxa"/>
              <w:end w:w="120" w:type="dxa"/>
            </w:tcMar>
          </w:tcPr>
          <w:p>
            <w:pPr>
              <w:spacing w:after="0"/>
            </w:pPr>
            <w:r/>
            <w:r>
              <w:rPr>
                <w:rFonts w:ascii="Jost" w:hAnsi="Jost"/>
                <w:b/>
                <w:color w:val="FFFFFF"/>
                <w:sz w:val="16"/>
              </w:rPr>
              <w:t>Primary question</w:t>
            </w:r>
          </w:p>
        </w:tc>
        <w:tc>
          <w:tcPr>
            <w:tcW w:type="dxa" w:w="4176"/>
            <w:shd w:fill="345A68"/>
            <w:vAlign w:val="center"/>
            <w:tcMar>
              <w:top w:w="100" w:type="dxa"/>
              <w:start w:w="120" w:type="dxa"/>
              <w:bottom w:w="100" w:type="dxa"/>
              <w:end w:w="120" w:type="dxa"/>
            </w:tcMar>
          </w:tcPr>
          <w:p>
            <w:pPr>
              <w:spacing w:after="0"/>
            </w:pPr>
            <w:r/>
            <w:r>
              <w:rPr>
                <w:rFonts w:ascii="Jost" w:hAnsi="Jost"/>
                <w:b/>
                <w:color w:val="FFFFFF"/>
                <w:sz w:val="16"/>
              </w:rPr>
              <w:t>Weekly outcome</w:t>
            </w:r>
          </w:p>
        </w:tc>
      </w:tr>
      <w:tr>
        <w:tc>
          <w:tcPr>
            <w:tcW w:type="dxa" w:w="1944"/>
            <w:vAlign w:val="center"/>
            <w:tcMar>
              <w:top w:w="100" w:type="dxa"/>
              <w:start w:w="120" w:type="dxa"/>
              <w:bottom w:w="100" w:type="dxa"/>
              <w:end w:w="120" w:type="dxa"/>
            </w:tcMar>
          </w:tcPr>
          <w:p>
            <w:pPr>
              <w:spacing w:after="0"/>
            </w:pPr>
            <w:r/>
            <w:r>
              <w:rPr>
                <w:rFonts w:ascii="Jost" w:hAnsi="Jost"/>
                <w:b w:val="0"/>
                <w:color w:val="2B2A28"/>
                <w:sz w:val="16"/>
              </w:rPr>
              <w:t>Salt Basin commercial pipeline</w:t>
            </w:r>
          </w:p>
        </w:tc>
        <w:tc>
          <w:tcPr>
            <w:tcW w:type="dxa" w:w="3240"/>
            <w:vAlign w:val="center"/>
            <w:tcMar>
              <w:top w:w="100" w:type="dxa"/>
              <w:start w:w="120" w:type="dxa"/>
              <w:bottom w:w="100" w:type="dxa"/>
              <w:end w:w="120" w:type="dxa"/>
            </w:tcMar>
          </w:tcPr>
          <w:p>
            <w:pPr>
              <w:spacing w:after="0"/>
            </w:pPr>
            <w:r/>
            <w:r>
              <w:rPr>
                <w:rFonts w:ascii="Jost" w:hAnsi="Jost"/>
                <w:b w:val="0"/>
                <w:color w:val="2B2A28"/>
                <w:sz w:val="16"/>
              </w:rPr>
              <w:t>Which companies, sponsors, investors, portfolio companies or strategic partners are experiencing a consequential event that creates a plausible Salt Basin need?</w:t>
            </w:r>
          </w:p>
        </w:tc>
        <w:tc>
          <w:tcPr>
            <w:tcW w:type="dxa" w:w="4176"/>
            <w:vAlign w:val="center"/>
            <w:tcMar>
              <w:top w:w="100" w:type="dxa"/>
              <w:start w:w="120" w:type="dxa"/>
              <w:bottom w:w="100" w:type="dxa"/>
              <w:end w:w="120" w:type="dxa"/>
            </w:tcMar>
          </w:tcPr>
          <w:p>
            <w:pPr>
              <w:spacing w:after="0"/>
            </w:pPr>
            <w:r/>
            <w:r>
              <w:rPr>
                <w:rFonts w:ascii="Jost" w:hAnsi="Jost"/>
                <w:b w:val="0"/>
                <w:color w:val="2B2A28"/>
                <w:sz w:val="16"/>
              </w:rPr>
              <w:t>New and changed opportunity signals, ranked accounts, solution hypotheses, evidence requirements, target contacts and outreach cadences.</w:t>
            </w:r>
          </w:p>
        </w:tc>
      </w:tr>
      <w:tr>
        <w:tc>
          <w:tcPr>
            <w:tcW w:type="dxa" w:w="1944"/>
            <w:shd w:fill="F1EBDD"/>
            <w:vAlign w:val="center"/>
            <w:tcMar>
              <w:top w:w="100" w:type="dxa"/>
              <w:start w:w="120" w:type="dxa"/>
              <w:bottom w:w="100" w:type="dxa"/>
              <w:end w:w="120" w:type="dxa"/>
            </w:tcMar>
          </w:tcPr>
          <w:p>
            <w:pPr>
              <w:spacing w:after="0"/>
            </w:pPr>
            <w:r/>
            <w:r>
              <w:rPr>
                <w:rFonts w:ascii="Jost" w:hAnsi="Jost"/>
                <w:b w:val="0"/>
                <w:color w:val="2B2A28"/>
                <w:sz w:val="16"/>
              </w:rPr>
              <w:t>Career pipeline</w:t>
            </w:r>
          </w:p>
        </w:tc>
        <w:tc>
          <w:tcPr>
            <w:tcW w:type="dxa" w:w="3240"/>
            <w:shd w:fill="F1EBDD"/>
            <w:vAlign w:val="center"/>
            <w:tcMar>
              <w:top w:w="100" w:type="dxa"/>
              <w:start w:w="120" w:type="dxa"/>
              <w:bottom w:w="100" w:type="dxa"/>
              <w:end w:w="120" w:type="dxa"/>
            </w:tcMar>
          </w:tcPr>
          <w:p>
            <w:pPr>
              <w:spacing w:after="0"/>
            </w:pPr>
            <w:r/>
            <w:r>
              <w:rPr>
                <w:rFonts w:ascii="Jost" w:hAnsi="Jost"/>
                <w:b w:val="0"/>
                <w:color w:val="2B2A28"/>
                <w:sz w:val="16"/>
              </w:rPr>
              <w:t>Which open or emerging roles match Betsy’s experience in strategic operations, revenue systems, AI validation, quote-to-revenue, PE value creation and C-suite partnership?</w:t>
            </w:r>
          </w:p>
        </w:tc>
        <w:tc>
          <w:tcPr>
            <w:tcW w:type="dxa" w:w="4176"/>
            <w:shd w:fill="F1EBDD"/>
            <w:vAlign w:val="center"/>
            <w:tcMar>
              <w:top w:w="100" w:type="dxa"/>
              <w:start w:w="120" w:type="dxa"/>
              <w:bottom w:w="100" w:type="dxa"/>
              <w:end w:w="120" w:type="dxa"/>
            </w:tcMar>
          </w:tcPr>
          <w:p>
            <w:pPr>
              <w:spacing w:after="0"/>
            </w:pPr>
            <w:r/>
            <w:r>
              <w:rPr>
                <w:rFonts w:ascii="Jost" w:hAnsi="Jost"/>
                <w:b w:val="0"/>
                <w:color w:val="2B2A28"/>
                <w:sz w:val="16"/>
              </w:rPr>
              <w:t>Revalidated openings, new roles, match rankings, likely hiring functions, verified public contacts, positioning and role-specific outreach.</w:t>
            </w:r>
          </w:p>
        </w:tc>
      </w:tr>
      <w:tr>
        <w:tc>
          <w:tcPr>
            <w:tcW w:type="dxa" w:w="1944"/>
            <w:vAlign w:val="center"/>
            <w:tcMar>
              <w:top w:w="100" w:type="dxa"/>
              <w:start w:w="120" w:type="dxa"/>
              <w:bottom w:w="100" w:type="dxa"/>
              <w:end w:w="120" w:type="dxa"/>
            </w:tcMar>
          </w:tcPr>
          <w:p>
            <w:pPr>
              <w:spacing w:after="0"/>
            </w:pPr>
            <w:r/>
            <w:r>
              <w:rPr>
                <w:rFonts w:ascii="Jost" w:hAnsi="Jost"/>
                <w:b w:val="0"/>
                <w:color w:val="2B2A28"/>
                <w:sz w:val="16"/>
              </w:rPr>
              <w:t>Relationship and outreach ledger</w:t>
            </w:r>
          </w:p>
        </w:tc>
        <w:tc>
          <w:tcPr>
            <w:tcW w:type="dxa" w:w="3240"/>
            <w:vAlign w:val="center"/>
            <w:tcMar>
              <w:top w:w="100" w:type="dxa"/>
              <w:start w:w="120" w:type="dxa"/>
              <w:bottom w:w="100" w:type="dxa"/>
              <w:end w:w="120" w:type="dxa"/>
            </w:tcMar>
          </w:tcPr>
          <w:p>
            <w:pPr>
              <w:spacing w:after="0"/>
            </w:pPr>
            <w:r/>
            <w:r>
              <w:rPr>
                <w:rFonts w:ascii="Jost" w:hAnsi="Jost"/>
                <w:b w:val="0"/>
                <w:color w:val="2B2A28"/>
                <w:sz w:val="16"/>
              </w:rPr>
              <w:t>Who has been contacted, what was said, what changed, and what is the best next action?</w:t>
            </w:r>
          </w:p>
        </w:tc>
        <w:tc>
          <w:tcPr>
            <w:tcW w:type="dxa" w:w="4176"/>
            <w:vAlign w:val="center"/>
            <w:tcMar>
              <w:top w:w="100" w:type="dxa"/>
              <w:start w:w="120" w:type="dxa"/>
              <w:bottom w:w="100" w:type="dxa"/>
              <w:end w:w="120" w:type="dxa"/>
            </w:tcMar>
          </w:tcPr>
          <w:p>
            <w:pPr>
              <w:spacing w:after="0"/>
            </w:pPr>
            <w:r/>
            <w:r>
              <w:rPr>
                <w:rFonts w:ascii="Jost" w:hAnsi="Jost"/>
                <w:b w:val="0"/>
                <w:color w:val="2B2A28"/>
                <w:sz w:val="16"/>
              </w:rPr>
              <w:t>One master chronology that preserves channel, message, response, next date, relationship strength and evidence used.</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shd w:fill="F1EBDD"/>
            <w:tcMar>
              <w:top w:w="160" w:type="dxa"/>
              <w:start w:w="180" w:type="dxa"/>
              <w:bottom w:w="160" w:type="dxa"/>
              <w:end w:w="180" w:type="dxa"/>
            </w:tcMar>
          </w:tcPr>
          <w:p>
            <w:pPr>
              <w:spacing w:after="60"/>
            </w:pPr>
            <w:r/>
            <w:r>
              <w:rPr>
                <w:rFonts w:ascii="Jost" w:hAnsi="Jost"/>
                <w:b/>
                <w:color w:val="C4843A"/>
                <w:sz w:val="18"/>
              </w:rPr>
              <w:t>NON-NEGOTIABLE ARCHITECTURE</w:t>
            </w:r>
          </w:p>
          <w:p>
            <w:pPr>
              <w:spacing w:after="0"/>
            </w:pPr>
            <w:r>
              <w:rPr>
                <w:rFonts w:ascii="Jost" w:hAnsi="Jost"/>
                <w:color w:val="2B2A28"/>
                <w:sz w:val="20"/>
              </w:rPr>
              <w:t>The two pipelines share companies, people, sources and evidence, but they must never collapse into one score or one message. A company can be a buyer target, a career target, both, or neither. Every outreach record must declare its intent.</w:t>
            </w:r>
          </w:p>
        </w:tc>
      </w:tr>
    </w:tbl>
    <w:p>
      <w:pPr>
        <w:spacing w:after="0"/>
      </w:pPr>
    </w:p>
    <w:p>
      <w:pPr>
        <w:pStyle w:val="Title"/>
      </w:pPr>
      <w:r>
        <w:t>2. Canonical operating principles</w:t>
      </w:r>
    </w:p>
    <w:p>
      <w:pPr>
        <w:pStyle w:val="ListBullet"/>
      </w:pPr>
      <w:r>
        <w:t>Append, revalidate and supersede; do not erase history. A changed fact creates a new temporal observation linked to the prior observation.</w:t>
      </w:r>
    </w:p>
    <w:p>
      <w:pPr>
        <w:pStyle w:val="ListBullet"/>
      </w:pPr>
      <w:r>
        <w:t>Separate reported fact, derived classification, Salt Basin inference, modeled value, validated outcome and outreach claim.</w:t>
      </w:r>
    </w:p>
    <w:p>
      <w:pPr>
        <w:pStyle w:val="ListBullet"/>
      </w:pPr>
      <w:r>
        <w:t>Re-open every job posting before it is called active. Search-engine indexing, aggregator pages and general hiring signals are not proof that a specific role is open.</w:t>
      </w:r>
    </w:p>
    <w:p>
      <w:pPr>
        <w:pStyle w:val="ListBullet"/>
      </w:pPr>
      <w:r>
        <w:t>Use public professional information only. Never invent a hiring manager, direct email, phone number, relationship or mutual connection.</w:t>
      </w:r>
    </w:p>
    <w:p>
      <w:pPr>
        <w:pStyle w:val="ListBullet"/>
      </w:pPr>
      <w:r>
        <w:t>Label a person as confirmed hiring manager only when the employer or posting says so. Otherwise use “likely hiring function,” “publicly identified functional leader,” or “recruiting contact.”</w:t>
      </w:r>
    </w:p>
    <w:p>
      <w:pPr>
        <w:pStyle w:val="ListBullet"/>
      </w:pPr>
      <w:r>
        <w:t>Do not present a repeated article or syndicated story as a new signal. A new signal requires a new event, a material update, a changed status or a new evidence source that changes confidence.</w:t>
      </w:r>
    </w:p>
    <w:p>
      <w:pPr>
        <w:pStyle w:val="ListBullet"/>
      </w:pPr>
      <w:r>
        <w:t>Do not infer operational problems from news. State the observable catalyst, then frame the Salt Basin opportunity as a hypothesis to test.</w:t>
      </w:r>
    </w:p>
    <w:p>
      <w:pPr>
        <w:pStyle w:val="ListBullet"/>
      </w:pPr>
      <w:r>
        <w:t>Keep financial classifications separate: revenue, EBITDA, working capital, cost avoidance, risk reduction and enterprise-value scenarios are not additive by default.</w:t>
      </w:r>
    </w:p>
    <w:p>
      <w:pPr>
        <w:pStyle w:val="ListBullet"/>
      </w:pPr>
      <w:r>
        <w:t>Preserve the Salt Basin promise: “Leverage existing infrastructure. Reveal better routes.” Recommendations should orchestrate existing rails, remain explainable and learn from outcomes.</w:t>
      </w:r>
    </w:p>
    <w:p>
      <w:pPr>
        <w:pStyle w:val="ListBullet"/>
      </w:pPr>
      <w:r>
        <w:t>Never automatically send, apply, post, connect or contact. Produce review-ready drafts and recommended actions unless the user explicitly authorizes execution.</w:t>
      </w:r>
    </w:p>
    <w:p>
      <w:pPr>
        <w:pStyle w:val="Title"/>
      </w:pPr>
      <w:r>
        <w:t>3. Source universe and evidence hierarchy</w:t>
      </w:r>
    </w:p>
    <w:tbl>
      <w:tblPr>
        <w:tblStyle w:val="TableGrid"/>
        <w:tblW w:type="dxa" w:w="9360"/>
        <w:jc w:val="center"/>
        <w:tblLayout w:type="fixed"/>
        <w:tblLook w:firstColumn="1" w:firstRow="1" w:lastColumn="0" w:lastRow="0" w:noHBand="0" w:noVBand="1" w:val="04A0"/>
      </w:tblPr>
      <w:tblGrid>
        <w:gridCol w:w="1440"/>
        <w:gridCol w:w="3528"/>
        <w:gridCol w:w="4392"/>
      </w:tblGrid>
      <w:tr>
        <w:trPr>
          <w:tblHeader w:val="true"/>
        </w:trPr>
        <w:tc>
          <w:tcPr>
            <w:tcW w:type="dxa" w:w="1440"/>
            <w:shd w:fill="345A68"/>
            <w:vAlign w:val="center"/>
            <w:tcMar>
              <w:top w:w="100" w:type="dxa"/>
              <w:start w:w="120" w:type="dxa"/>
              <w:bottom w:w="100" w:type="dxa"/>
              <w:end w:w="120" w:type="dxa"/>
            </w:tcMar>
          </w:tcPr>
          <w:p>
            <w:pPr>
              <w:spacing w:after="0"/>
            </w:pPr>
            <w:r/>
            <w:r>
              <w:rPr>
                <w:rFonts w:ascii="Jost" w:hAnsi="Jost"/>
                <w:b/>
                <w:color w:val="FFFFFF"/>
                <w:sz w:val="16"/>
              </w:rPr>
              <w:t>Tier</w:t>
            </w:r>
          </w:p>
        </w:tc>
        <w:tc>
          <w:tcPr>
            <w:tcW w:type="dxa" w:w="3528"/>
            <w:shd w:fill="345A68"/>
            <w:vAlign w:val="center"/>
            <w:tcMar>
              <w:top w:w="100" w:type="dxa"/>
              <w:start w:w="120" w:type="dxa"/>
              <w:bottom w:w="100" w:type="dxa"/>
              <w:end w:w="120" w:type="dxa"/>
            </w:tcMar>
          </w:tcPr>
          <w:p>
            <w:pPr>
              <w:spacing w:after="0"/>
            </w:pPr>
            <w:r/>
            <w:r>
              <w:rPr>
                <w:rFonts w:ascii="Jost" w:hAnsi="Jost"/>
                <w:b/>
                <w:color w:val="FFFFFF"/>
                <w:sz w:val="16"/>
              </w:rPr>
              <w:t>Sources</w:t>
            </w:r>
          </w:p>
        </w:tc>
        <w:tc>
          <w:tcPr>
            <w:tcW w:type="dxa" w:w="4392"/>
            <w:shd w:fill="345A68"/>
            <w:vAlign w:val="center"/>
            <w:tcMar>
              <w:top w:w="100" w:type="dxa"/>
              <w:start w:w="120" w:type="dxa"/>
              <w:bottom w:w="100" w:type="dxa"/>
              <w:end w:w="120" w:type="dxa"/>
            </w:tcMar>
          </w:tcPr>
          <w:p>
            <w:pPr>
              <w:spacing w:after="0"/>
            </w:pPr>
            <w:r/>
            <w:r>
              <w:rPr>
                <w:rFonts w:ascii="Jost" w:hAnsi="Jost"/>
                <w:b/>
                <w:color w:val="FFFFFF"/>
                <w:sz w:val="16"/>
              </w:rPr>
              <w:t>Permitted use</w:t>
            </w:r>
          </w:p>
        </w:tc>
      </w:tr>
      <w:tr>
        <w:tc>
          <w:tcPr>
            <w:tcW w:type="dxa" w:w="1440"/>
            <w:vAlign w:val="center"/>
            <w:tcMar>
              <w:top w:w="100" w:type="dxa"/>
              <w:start w:w="120" w:type="dxa"/>
              <w:bottom w:w="100" w:type="dxa"/>
              <w:end w:w="120" w:type="dxa"/>
            </w:tcMar>
          </w:tcPr>
          <w:p>
            <w:pPr>
              <w:spacing w:after="0"/>
            </w:pPr>
            <w:r/>
            <w:r>
              <w:rPr>
                <w:rFonts w:ascii="Jost" w:hAnsi="Jost"/>
                <w:b w:val="0"/>
                <w:color w:val="2B2A28"/>
                <w:sz w:val="16"/>
              </w:rPr>
              <w:t>1 — Primary</w:t>
            </w:r>
          </w:p>
        </w:tc>
        <w:tc>
          <w:tcPr>
            <w:tcW w:type="dxa" w:w="3528"/>
            <w:vAlign w:val="center"/>
            <w:tcMar>
              <w:top w:w="100" w:type="dxa"/>
              <w:start w:w="120" w:type="dxa"/>
              <w:bottom w:w="100" w:type="dxa"/>
              <w:end w:w="120" w:type="dxa"/>
            </w:tcMar>
          </w:tcPr>
          <w:p>
            <w:pPr>
              <w:spacing w:after="0"/>
            </w:pPr>
            <w:r/>
            <w:r>
              <w:rPr>
                <w:rFonts w:ascii="Jost" w:hAnsi="Jost"/>
                <w:b w:val="0"/>
                <w:color w:val="2B2A28"/>
                <w:sz w:val="16"/>
              </w:rPr>
              <w:t>Company newsroom, investor relations, SEC/regulatory filings, official careers pages, fund portfolio pages, lender or court filings, earnings materials, executive biographies.</w:t>
            </w:r>
          </w:p>
        </w:tc>
        <w:tc>
          <w:tcPr>
            <w:tcW w:type="dxa" w:w="4392"/>
            <w:vAlign w:val="center"/>
            <w:tcMar>
              <w:top w:w="100" w:type="dxa"/>
              <w:start w:w="120" w:type="dxa"/>
              <w:bottom w:w="100" w:type="dxa"/>
              <w:end w:w="120" w:type="dxa"/>
            </w:tcMar>
          </w:tcPr>
          <w:p>
            <w:pPr>
              <w:spacing w:after="0"/>
            </w:pPr>
            <w:r/>
            <w:r>
              <w:rPr>
                <w:rFonts w:ascii="Jost" w:hAnsi="Jost"/>
                <w:b w:val="0"/>
                <w:color w:val="2B2A28"/>
                <w:sz w:val="16"/>
              </w:rPr>
              <w:t>Establish current facts, dates, amounts, ownership, role status, reporting structure and direct company statements.</w:t>
            </w:r>
          </w:p>
        </w:tc>
      </w:tr>
      <w:tr>
        <w:tc>
          <w:tcPr>
            <w:tcW w:type="dxa" w:w="1440"/>
            <w:shd w:fill="F1EBDD"/>
            <w:vAlign w:val="center"/>
            <w:tcMar>
              <w:top w:w="100" w:type="dxa"/>
              <w:start w:w="120" w:type="dxa"/>
              <w:bottom w:w="100" w:type="dxa"/>
              <w:end w:w="120" w:type="dxa"/>
            </w:tcMar>
          </w:tcPr>
          <w:p>
            <w:pPr>
              <w:spacing w:after="0"/>
            </w:pPr>
            <w:r/>
            <w:r>
              <w:rPr>
                <w:rFonts w:ascii="Jost" w:hAnsi="Jost"/>
                <w:b w:val="0"/>
                <w:color w:val="2B2A28"/>
                <w:sz w:val="16"/>
              </w:rPr>
              <w:t>2 — Authoritative reporting</w:t>
            </w:r>
          </w:p>
        </w:tc>
        <w:tc>
          <w:tcPr>
            <w:tcW w:type="dxa" w:w="3528"/>
            <w:shd w:fill="F1EBDD"/>
            <w:vAlign w:val="center"/>
            <w:tcMar>
              <w:top w:w="100" w:type="dxa"/>
              <w:start w:w="120" w:type="dxa"/>
              <w:bottom w:w="100" w:type="dxa"/>
              <w:end w:w="120" w:type="dxa"/>
            </w:tcMar>
          </w:tcPr>
          <w:p>
            <w:pPr>
              <w:spacing w:after="0"/>
            </w:pPr>
            <w:r/>
            <w:r>
              <w:rPr>
                <w:rFonts w:ascii="Jost" w:hAnsi="Jost"/>
                <w:b w:val="0"/>
                <w:color w:val="2B2A28"/>
                <w:sz w:val="16"/>
              </w:rPr>
              <w:t>Reuters, Bloomberg, Financial Times, WSJ and high-quality trade publications with original reporting.</w:t>
            </w:r>
          </w:p>
        </w:tc>
        <w:tc>
          <w:tcPr>
            <w:tcW w:type="dxa" w:w="4392"/>
            <w:shd w:fill="F1EBDD"/>
            <w:vAlign w:val="center"/>
            <w:tcMar>
              <w:top w:w="100" w:type="dxa"/>
              <w:start w:w="120" w:type="dxa"/>
              <w:bottom w:w="100" w:type="dxa"/>
              <w:end w:w="120" w:type="dxa"/>
            </w:tcMar>
          </w:tcPr>
          <w:p>
            <w:pPr>
              <w:spacing w:after="0"/>
            </w:pPr>
            <w:r/>
            <w:r>
              <w:rPr>
                <w:rFonts w:ascii="Jost" w:hAnsi="Jost"/>
                <w:b w:val="0"/>
                <w:color w:val="2B2A28"/>
                <w:sz w:val="16"/>
              </w:rPr>
              <w:t>Confirm transactions, financing, restructurings, delays, executive changes and market context.</w:t>
            </w:r>
          </w:p>
        </w:tc>
      </w:tr>
      <w:tr>
        <w:tc>
          <w:tcPr>
            <w:tcW w:type="dxa" w:w="1440"/>
            <w:vAlign w:val="center"/>
            <w:tcMar>
              <w:top w:w="100" w:type="dxa"/>
              <w:start w:w="120" w:type="dxa"/>
              <w:bottom w:w="100" w:type="dxa"/>
              <w:end w:w="120" w:type="dxa"/>
            </w:tcMar>
          </w:tcPr>
          <w:p>
            <w:pPr>
              <w:spacing w:after="0"/>
            </w:pPr>
            <w:r/>
            <w:r>
              <w:rPr>
                <w:rFonts w:ascii="Jost" w:hAnsi="Jost"/>
                <w:b w:val="0"/>
                <w:color w:val="2B2A28"/>
                <w:sz w:val="16"/>
              </w:rPr>
              <w:t>3 — Structured discovery</w:t>
            </w:r>
          </w:p>
        </w:tc>
        <w:tc>
          <w:tcPr>
            <w:tcW w:type="dxa" w:w="3528"/>
            <w:vAlign w:val="center"/>
            <w:tcMar>
              <w:top w:w="100" w:type="dxa"/>
              <w:start w:w="120" w:type="dxa"/>
              <w:bottom w:w="100" w:type="dxa"/>
              <w:end w:w="120" w:type="dxa"/>
            </w:tcMar>
          </w:tcPr>
          <w:p>
            <w:pPr>
              <w:spacing w:after="0"/>
            </w:pPr>
            <w:r/>
            <w:r>
              <w:rPr>
                <w:rFonts w:ascii="Jost" w:hAnsi="Jost"/>
                <w:b w:val="0"/>
                <w:color w:val="2B2A28"/>
                <w:sz w:val="16"/>
              </w:rPr>
              <w:t>LinkedIn public pages, job boards, PitchBook-like directories, sponsor/portfolio indexes, conference agendas, professional associations.</w:t>
            </w:r>
          </w:p>
        </w:tc>
        <w:tc>
          <w:tcPr>
            <w:tcW w:type="dxa" w:w="4392"/>
            <w:vAlign w:val="center"/>
            <w:tcMar>
              <w:top w:w="100" w:type="dxa"/>
              <w:start w:w="120" w:type="dxa"/>
              <w:bottom w:w="100" w:type="dxa"/>
              <w:end w:w="120" w:type="dxa"/>
            </w:tcMar>
          </w:tcPr>
          <w:p>
            <w:pPr>
              <w:spacing w:after="0"/>
            </w:pPr>
            <w:r/>
            <w:r>
              <w:rPr>
                <w:rFonts w:ascii="Jost" w:hAnsi="Jost"/>
                <w:b w:val="0"/>
                <w:color w:val="2B2A28"/>
                <w:sz w:val="16"/>
              </w:rPr>
              <w:t>Discover candidates and relationships; verify material claims through Tier 1 or Tier 2 when possible.</w:t>
            </w:r>
          </w:p>
        </w:tc>
      </w:tr>
      <w:tr>
        <w:tc>
          <w:tcPr>
            <w:tcW w:type="dxa" w:w="1440"/>
            <w:shd w:fill="F1EBDD"/>
            <w:vAlign w:val="center"/>
            <w:tcMar>
              <w:top w:w="100" w:type="dxa"/>
              <w:start w:w="120" w:type="dxa"/>
              <w:bottom w:w="100" w:type="dxa"/>
              <w:end w:w="120" w:type="dxa"/>
            </w:tcMar>
          </w:tcPr>
          <w:p>
            <w:pPr>
              <w:spacing w:after="0"/>
            </w:pPr>
            <w:r/>
            <w:r>
              <w:rPr>
                <w:rFonts w:ascii="Jost" w:hAnsi="Jost"/>
                <w:b w:val="0"/>
                <w:color w:val="2B2A28"/>
                <w:sz w:val="16"/>
              </w:rPr>
              <w:t>4 — Leads only</w:t>
            </w:r>
          </w:p>
        </w:tc>
        <w:tc>
          <w:tcPr>
            <w:tcW w:type="dxa" w:w="3528"/>
            <w:shd w:fill="F1EBDD"/>
            <w:vAlign w:val="center"/>
            <w:tcMar>
              <w:top w:w="100" w:type="dxa"/>
              <w:start w:w="120" w:type="dxa"/>
              <w:bottom w:w="100" w:type="dxa"/>
              <w:end w:w="120" w:type="dxa"/>
            </w:tcMar>
          </w:tcPr>
          <w:p>
            <w:pPr>
              <w:spacing w:after="0"/>
            </w:pPr>
            <w:r/>
            <w:r>
              <w:rPr>
                <w:rFonts w:ascii="Jost" w:hAnsi="Jost"/>
                <w:b w:val="0"/>
                <w:color w:val="2B2A28"/>
                <w:sz w:val="16"/>
              </w:rPr>
              <w:t>Aggregators, reposts, snippets, social commentary and unsourced databases.</w:t>
            </w:r>
          </w:p>
        </w:tc>
        <w:tc>
          <w:tcPr>
            <w:tcW w:type="dxa" w:w="4392"/>
            <w:shd w:fill="F1EBDD"/>
            <w:vAlign w:val="center"/>
            <w:tcMar>
              <w:top w:w="100" w:type="dxa"/>
              <w:start w:w="120" w:type="dxa"/>
              <w:bottom w:w="100" w:type="dxa"/>
              <w:end w:w="120" w:type="dxa"/>
            </w:tcMar>
          </w:tcPr>
          <w:p>
            <w:pPr>
              <w:spacing w:after="0"/>
            </w:pPr>
            <w:r/>
            <w:r>
              <w:rPr>
                <w:rFonts w:ascii="Jost" w:hAnsi="Jost"/>
                <w:b w:val="0"/>
                <w:color w:val="2B2A28"/>
                <w:sz w:val="16"/>
              </w:rPr>
              <w:t>Generate search leads only. Do not use alone to claim an active job, named manager, funding amount or company event.</w:t>
            </w:r>
          </w:p>
        </w:tc>
      </w:tr>
    </w:tbl>
    <w:p>
      <w:pPr>
        <w:spacing w:after="0"/>
      </w:pPr>
    </w:p>
    <w:p>
      <w:pPr>
        <w:pStyle w:val="Heading1"/>
      </w:pPr>
      <w:r>
        <w:t>Required source record</w:t>
      </w:r>
    </w:p>
    <w:p>
      <w:pPr>
        <w:pStyle w:val="ListBullet"/>
      </w:pPr>
      <w:r>
        <w:t>Source ID and canonical URL</w:t>
      </w:r>
    </w:p>
    <w:p>
      <w:pPr>
        <w:pStyle w:val="ListBullet"/>
      </w:pPr>
      <w:r>
        <w:t>Publisher and source tier</w:t>
      </w:r>
    </w:p>
    <w:p>
      <w:pPr>
        <w:pStyle w:val="ListBullet"/>
      </w:pPr>
      <w:r>
        <w:t>Publication date and event date</w:t>
      </w:r>
    </w:p>
    <w:p>
      <w:pPr>
        <w:pStyle w:val="ListBullet"/>
      </w:pPr>
      <w:r>
        <w:t>Accessed-at timestamp</w:t>
      </w:r>
    </w:p>
    <w:p>
      <w:pPr>
        <w:pStyle w:val="ListBullet"/>
      </w:pPr>
      <w:r>
        <w:t>Quoted or paraphrased fact with location/context</w:t>
      </w:r>
    </w:p>
    <w:p>
      <w:pPr>
        <w:pStyle w:val="ListBullet"/>
      </w:pPr>
      <w:r>
        <w:t>Entity IDs connected to the evidence</w:t>
      </w:r>
    </w:p>
    <w:p>
      <w:pPr>
        <w:pStyle w:val="ListBullet"/>
      </w:pPr>
      <w:r>
        <w:t>Whether primary, corroborating, conflicting or discovery-only</w:t>
      </w:r>
    </w:p>
    <w:p>
      <w:pPr>
        <w:pStyle w:val="ListBullet"/>
      </w:pPr>
      <w:r>
        <w:t>Confidence and freshness status</w:t>
      </w:r>
    </w:p>
    <w:p>
      <w:pPr>
        <w:pStyle w:val="ListBullet"/>
      </w:pPr>
      <w:r>
        <w:t>Archive or replacement relationship to prior source</w:t>
      </w:r>
    </w:p>
    <w:p>
      <w:pPr>
        <w:pStyle w:val="Title"/>
      </w:pPr>
      <w:r>
        <w:t>4. Target-universe expansion engine</w:t>
      </w:r>
    </w:p>
    <w:p>
      <w:r>
        <w:t>Each week must both deepen known targets and expand the universe through explicit adjacency rules. Expansion is controlled so the list grows in relevance rather than merely in size.</w:t>
      </w:r>
    </w:p>
    <w:tbl>
      <w:tblPr>
        <w:tblStyle w:val="TableGrid"/>
        <w:tblW w:type="dxa" w:w="9360"/>
        <w:jc w:val="center"/>
        <w:tblLayout w:type="fixed"/>
        <w:tblLook w:firstColumn="1" w:firstRow="1" w:lastColumn="0" w:lastRow="0" w:noHBand="0" w:noVBand="1" w:val="04A0"/>
      </w:tblPr>
      <w:tblGrid>
        <w:gridCol w:w="1800"/>
        <w:gridCol w:w="3671"/>
        <w:gridCol w:w="3888"/>
      </w:tblGrid>
      <w:tr>
        <w:trPr>
          <w:tblHeader w:val="true"/>
        </w:trPr>
        <w:tc>
          <w:tcPr>
            <w:tcW w:type="dxa" w:w="1800"/>
            <w:shd w:fill="345A68"/>
            <w:vAlign w:val="center"/>
            <w:tcMar>
              <w:top w:w="100" w:type="dxa"/>
              <w:start w:w="120" w:type="dxa"/>
              <w:bottom w:w="100" w:type="dxa"/>
              <w:end w:w="120" w:type="dxa"/>
            </w:tcMar>
          </w:tcPr>
          <w:p>
            <w:pPr>
              <w:spacing w:after="0"/>
            </w:pPr>
            <w:r/>
            <w:r>
              <w:rPr>
                <w:rFonts w:ascii="Jost" w:hAnsi="Jost"/>
                <w:b/>
                <w:color w:val="FFFFFF"/>
                <w:sz w:val="16"/>
              </w:rPr>
              <w:t>Expansion ring</w:t>
            </w:r>
          </w:p>
        </w:tc>
        <w:tc>
          <w:tcPr>
            <w:tcW w:type="dxa" w:w="3672"/>
            <w:shd w:fill="345A68"/>
            <w:vAlign w:val="center"/>
            <w:tcMar>
              <w:top w:w="100" w:type="dxa"/>
              <w:start w:w="120" w:type="dxa"/>
              <w:bottom w:w="100" w:type="dxa"/>
              <w:end w:w="120" w:type="dxa"/>
            </w:tcMar>
          </w:tcPr>
          <w:p>
            <w:pPr>
              <w:spacing w:after="0"/>
            </w:pPr>
            <w:r/>
            <w:r>
              <w:rPr>
                <w:rFonts w:ascii="Jost" w:hAnsi="Jost"/>
                <w:b/>
                <w:color w:val="FFFFFF"/>
                <w:sz w:val="16"/>
              </w:rPr>
              <w:t>How targets enter</w:t>
            </w:r>
          </w:p>
        </w:tc>
        <w:tc>
          <w:tcPr>
            <w:tcW w:type="dxa" w:w="3888"/>
            <w:shd w:fill="345A68"/>
            <w:vAlign w:val="center"/>
            <w:tcMar>
              <w:top w:w="100" w:type="dxa"/>
              <w:start w:w="120" w:type="dxa"/>
              <w:bottom w:w="100" w:type="dxa"/>
              <w:end w:w="120" w:type="dxa"/>
            </w:tcMar>
          </w:tcPr>
          <w:p>
            <w:pPr>
              <w:spacing w:after="0"/>
            </w:pPr>
            <w:r/>
            <w:r>
              <w:rPr>
                <w:rFonts w:ascii="Jost" w:hAnsi="Jost"/>
                <w:b/>
                <w:color w:val="FFFFFF"/>
                <w:sz w:val="16"/>
              </w:rPr>
              <w:t>Examples</w:t>
            </w:r>
          </w:p>
        </w:tc>
      </w:tr>
      <w:tr>
        <w:tc>
          <w:tcPr>
            <w:tcW w:type="dxa" w:w="1800"/>
            <w:vAlign w:val="center"/>
            <w:tcMar>
              <w:top w:w="100" w:type="dxa"/>
              <w:start w:w="120" w:type="dxa"/>
              <w:bottom w:w="100" w:type="dxa"/>
              <w:end w:w="120" w:type="dxa"/>
            </w:tcMar>
          </w:tcPr>
          <w:p>
            <w:pPr>
              <w:spacing w:after="0"/>
            </w:pPr>
            <w:r/>
            <w:r>
              <w:rPr>
                <w:rFonts w:ascii="Jost" w:hAnsi="Jost"/>
                <w:b w:val="0"/>
                <w:color w:val="2B2A28"/>
                <w:sz w:val="16"/>
              </w:rPr>
              <w:t>Ring 0 — Canonical targets</w:t>
            </w:r>
          </w:p>
        </w:tc>
        <w:tc>
          <w:tcPr>
            <w:tcW w:type="dxa" w:w="3671"/>
            <w:vAlign w:val="center"/>
            <w:tcMar>
              <w:top w:w="100" w:type="dxa"/>
              <w:start w:w="120" w:type="dxa"/>
              <w:bottom w:w="100" w:type="dxa"/>
              <w:end w:w="120" w:type="dxa"/>
            </w:tcMar>
          </w:tcPr>
          <w:p>
            <w:pPr>
              <w:spacing w:after="0"/>
            </w:pPr>
            <w:r/>
            <w:r>
              <w:rPr>
                <w:rFonts w:ascii="Jost" w:hAnsi="Jost"/>
                <w:b w:val="0"/>
                <w:color w:val="2B2A28"/>
                <w:sz w:val="16"/>
              </w:rPr>
              <w:t>Already present in the existing reports and workbooks.</w:t>
            </w:r>
          </w:p>
        </w:tc>
        <w:tc>
          <w:tcPr>
            <w:tcW w:type="dxa" w:w="3888"/>
            <w:vAlign w:val="center"/>
            <w:tcMar>
              <w:top w:w="100" w:type="dxa"/>
              <w:start w:w="120" w:type="dxa"/>
              <w:bottom w:w="100" w:type="dxa"/>
              <w:end w:w="120" w:type="dxa"/>
            </w:tcMar>
          </w:tcPr>
          <w:p>
            <w:pPr>
              <w:spacing w:after="0"/>
            </w:pPr>
            <w:r/>
            <w:r>
              <w:rPr>
                <w:rFonts w:ascii="Jost" w:hAnsi="Jost"/>
                <w:b w:val="0"/>
                <w:color w:val="2B2A28"/>
                <w:sz w:val="16"/>
              </w:rPr>
              <w:t>Vista Equity Partners; current and former Vista portfolio companies; LoneTree; Qualcomm; PagerDuty; Veradigm; Pearson; Brixt Education; Marlin Equity Partners; prior sweep companies and verified career targets.</w:t>
            </w:r>
          </w:p>
        </w:tc>
      </w:tr>
      <w:tr>
        <w:tc>
          <w:tcPr>
            <w:tcW w:type="dxa" w:w="1800"/>
            <w:shd w:fill="F1EBDD"/>
            <w:vAlign w:val="center"/>
            <w:tcMar>
              <w:top w:w="100" w:type="dxa"/>
              <w:start w:w="120" w:type="dxa"/>
              <w:bottom w:w="100" w:type="dxa"/>
              <w:end w:w="120" w:type="dxa"/>
            </w:tcMar>
          </w:tcPr>
          <w:p>
            <w:pPr>
              <w:spacing w:after="0"/>
            </w:pPr>
            <w:r/>
            <w:r>
              <w:rPr>
                <w:rFonts w:ascii="Jost" w:hAnsi="Jost"/>
                <w:b w:val="0"/>
                <w:color w:val="2B2A28"/>
                <w:sz w:val="16"/>
              </w:rPr>
              <w:t>Ring 1 — Ownership graph</w:t>
            </w:r>
          </w:p>
        </w:tc>
        <w:tc>
          <w:tcPr>
            <w:tcW w:type="dxa" w:w="3671"/>
            <w:shd w:fill="F1EBDD"/>
            <w:vAlign w:val="center"/>
            <w:tcMar>
              <w:top w:w="100" w:type="dxa"/>
              <w:start w:w="120" w:type="dxa"/>
              <w:bottom w:w="100" w:type="dxa"/>
              <w:end w:w="120" w:type="dxa"/>
            </w:tcMar>
          </w:tcPr>
          <w:p>
            <w:pPr>
              <w:spacing w:after="0"/>
            </w:pPr>
            <w:r/>
            <w:r>
              <w:rPr>
                <w:rFonts w:ascii="Jost" w:hAnsi="Jost"/>
                <w:b w:val="0"/>
                <w:color w:val="2B2A28"/>
                <w:sz w:val="16"/>
              </w:rPr>
              <w:t>Sponsor portfolio, former ownership, add-ons, buyers, sellers, lenders, strategic investors and board relationships.</w:t>
            </w:r>
          </w:p>
        </w:tc>
        <w:tc>
          <w:tcPr>
            <w:tcW w:type="dxa" w:w="3888"/>
            <w:shd w:fill="F1EBDD"/>
            <w:vAlign w:val="center"/>
            <w:tcMar>
              <w:top w:w="100" w:type="dxa"/>
              <w:start w:w="120" w:type="dxa"/>
              <w:bottom w:w="100" w:type="dxa"/>
              <w:end w:w="120" w:type="dxa"/>
            </w:tcMar>
          </w:tcPr>
          <w:p>
            <w:pPr>
              <w:spacing w:after="0"/>
            </w:pPr>
            <w:r/>
            <w:r>
              <w:rPr>
                <w:rFonts w:ascii="Jost" w:hAnsi="Jost"/>
                <w:b w:val="0"/>
                <w:color w:val="2B2A28"/>
                <w:sz w:val="16"/>
              </w:rPr>
              <w:t>Portcos with new acquisitions, refinancing, add-on strategies, delayed exits or operating partner involvement.</w:t>
            </w:r>
          </w:p>
        </w:tc>
      </w:tr>
      <w:tr>
        <w:tc>
          <w:tcPr>
            <w:tcW w:type="dxa" w:w="1800"/>
            <w:vAlign w:val="center"/>
            <w:tcMar>
              <w:top w:w="100" w:type="dxa"/>
              <w:start w:w="120" w:type="dxa"/>
              <w:bottom w:w="100" w:type="dxa"/>
              <w:end w:w="120" w:type="dxa"/>
            </w:tcMar>
          </w:tcPr>
          <w:p>
            <w:pPr>
              <w:spacing w:after="0"/>
            </w:pPr>
            <w:r/>
            <w:r>
              <w:rPr>
                <w:rFonts w:ascii="Jost" w:hAnsi="Jost"/>
                <w:b w:val="0"/>
                <w:color w:val="2B2A28"/>
                <w:sz w:val="16"/>
              </w:rPr>
              <w:t>Ring 2 — Business-model peers</w:t>
            </w:r>
          </w:p>
        </w:tc>
        <w:tc>
          <w:tcPr>
            <w:tcW w:type="dxa" w:w="3671"/>
            <w:vAlign w:val="center"/>
            <w:tcMar>
              <w:top w:w="100" w:type="dxa"/>
              <w:start w:w="120" w:type="dxa"/>
              <w:bottom w:w="100" w:type="dxa"/>
              <w:end w:w="120" w:type="dxa"/>
            </w:tcMar>
          </w:tcPr>
          <w:p>
            <w:pPr>
              <w:spacing w:after="0"/>
            </w:pPr>
            <w:r/>
            <w:r>
              <w:rPr>
                <w:rFonts w:ascii="Jost" w:hAnsi="Jost"/>
                <w:b w:val="0"/>
                <w:color w:val="2B2A28"/>
                <w:sz w:val="16"/>
              </w:rPr>
              <w:t>Same buyer, revenue model, customer base, product category, capital structure or operating challenge.</w:t>
            </w:r>
          </w:p>
        </w:tc>
        <w:tc>
          <w:tcPr>
            <w:tcW w:type="dxa" w:w="3888"/>
            <w:vAlign w:val="center"/>
            <w:tcMar>
              <w:top w:w="100" w:type="dxa"/>
              <w:start w:w="120" w:type="dxa"/>
              <w:bottom w:w="100" w:type="dxa"/>
              <w:end w:w="120" w:type="dxa"/>
            </w:tcMar>
          </w:tcPr>
          <w:p>
            <w:pPr>
              <w:spacing w:after="0"/>
            </w:pPr>
            <w:r/>
            <w:r>
              <w:rPr>
                <w:rFonts w:ascii="Jost" w:hAnsi="Jost"/>
                <w:b w:val="0"/>
                <w:color w:val="2B2A28"/>
                <w:sz w:val="16"/>
              </w:rPr>
              <w:t>SaaS, payments, IoT, healthcare technology, data and analytics, education technology, AI and enterprise software.</w:t>
            </w:r>
          </w:p>
        </w:tc>
      </w:tr>
      <w:tr>
        <w:tc>
          <w:tcPr>
            <w:tcW w:type="dxa" w:w="1800"/>
            <w:shd w:fill="F1EBDD"/>
            <w:vAlign w:val="center"/>
            <w:tcMar>
              <w:top w:w="100" w:type="dxa"/>
              <w:start w:w="120" w:type="dxa"/>
              <w:bottom w:w="100" w:type="dxa"/>
              <w:end w:w="120" w:type="dxa"/>
            </w:tcMar>
          </w:tcPr>
          <w:p>
            <w:pPr>
              <w:spacing w:after="0"/>
            </w:pPr>
            <w:r/>
            <w:r>
              <w:rPr>
                <w:rFonts w:ascii="Jost" w:hAnsi="Jost"/>
                <w:b w:val="0"/>
                <w:color w:val="2B2A28"/>
                <w:sz w:val="16"/>
              </w:rPr>
              <w:t>Ring 3 — Event peers</w:t>
            </w:r>
          </w:p>
        </w:tc>
        <w:tc>
          <w:tcPr>
            <w:tcW w:type="dxa" w:w="3671"/>
            <w:shd w:fill="F1EBDD"/>
            <w:vAlign w:val="center"/>
            <w:tcMar>
              <w:top w:w="100" w:type="dxa"/>
              <w:start w:w="120" w:type="dxa"/>
              <w:bottom w:w="100" w:type="dxa"/>
              <w:end w:w="120" w:type="dxa"/>
            </w:tcMar>
          </w:tcPr>
          <w:p>
            <w:pPr>
              <w:spacing w:after="0"/>
            </w:pPr>
            <w:r/>
            <w:r>
              <w:rPr>
                <w:rFonts w:ascii="Jost" w:hAnsi="Jost"/>
                <w:b w:val="0"/>
                <w:color w:val="2B2A28"/>
                <w:sz w:val="16"/>
              </w:rPr>
              <w:t>Companies experiencing the same trigger regardless of sector.</w:t>
            </w:r>
          </w:p>
        </w:tc>
        <w:tc>
          <w:tcPr>
            <w:tcW w:type="dxa" w:w="3888"/>
            <w:shd w:fill="F1EBDD"/>
            <w:vAlign w:val="center"/>
            <w:tcMar>
              <w:top w:w="100" w:type="dxa"/>
              <w:start w:w="120" w:type="dxa"/>
              <w:bottom w:w="100" w:type="dxa"/>
              <w:end w:w="120" w:type="dxa"/>
            </w:tcMar>
          </w:tcPr>
          <w:p>
            <w:pPr>
              <w:spacing w:after="0"/>
            </w:pPr>
            <w:r/>
            <w:r>
              <w:rPr>
                <w:rFonts w:ascii="Jost" w:hAnsi="Jost"/>
                <w:b w:val="0"/>
                <w:color w:val="2B2A28"/>
                <w:sz w:val="16"/>
              </w:rPr>
              <w:t>Funding, IPO delay, refinancing, restructuring, AI rollout, product launch, acquisition integration, margin pressure or executive transition.</w:t>
            </w:r>
          </w:p>
        </w:tc>
      </w:tr>
      <w:tr>
        <w:tc>
          <w:tcPr>
            <w:tcW w:type="dxa" w:w="1800"/>
            <w:vAlign w:val="center"/>
            <w:tcMar>
              <w:top w:w="100" w:type="dxa"/>
              <w:start w:w="120" w:type="dxa"/>
              <w:bottom w:w="100" w:type="dxa"/>
              <w:end w:w="120" w:type="dxa"/>
            </w:tcMar>
          </w:tcPr>
          <w:p>
            <w:pPr>
              <w:spacing w:after="0"/>
            </w:pPr>
            <w:r/>
            <w:r>
              <w:rPr>
                <w:rFonts w:ascii="Jost" w:hAnsi="Jost"/>
                <w:b w:val="0"/>
                <w:color w:val="2B2A28"/>
                <w:sz w:val="16"/>
              </w:rPr>
              <w:t>Ring 4 — Talent peers</w:t>
            </w:r>
          </w:p>
        </w:tc>
        <w:tc>
          <w:tcPr>
            <w:tcW w:type="dxa" w:w="3671"/>
            <w:vAlign w:val="center"/>
            <w:tcMar>
              <w:top w:w="100" w:type="dxa"/>
              <w:start w:w="120" w:type="dxa"/>
              <w:bottom w:w="100" w:type="dxa"/>
              <w:end w:w="120" w:type="dxa"/>
            </w:tcMar>
          </w:tcPr>
          <w:p>
            <w:pPr>
              <w:spacing w:after="0"/>
            </w:pPr>
            <w:r/>
            <w:r>
              <w:rPr>
                <w:rFonts w:ascii="Jost" w:hAnsi="Jost"/>
                <w:b w:val="0"/>
                <w:color w:val="2B2A28"/>
                <w:sz w:val="16"/>
              </w:rPr>
              <w:t>Companies hiring adjacent roles or leaders with relevant mandates.</w:t>
            </w:r>
          </w:p>
        </w:tc>
        <w:tc>
          <w:tcPr>
            <w:tcW w:type="dxa" w:w="3888"/>
            <w:vAlign w:val="center"/>
            <w:tcMar>
              <w:top w:w="100" w:type="dxa"/>
              <w:start w:w="120" w:type="dxa"/>
              <w:bottom w:w="100" w:type="dxa"/>
              <w:end w:w="120" w:type="dxa"/>
            </w:tcMar>
          </w:tcPr>
          <w:p>
            <w:pPr>
              <w:spacing w:after="0"/>
            </w:pPr>
            <w:r/>
            <w:r>
              <w:rPr>
                <w:rFonts w:ascii="Jost" w:hAnsi="Jost"/>
                <w:b w:val="0"/>
                <w:color w:val="2B2A28"/>
                <w:sz w:val="16"/>
              </w:rPr>
              <w:t>Operations, GTM strategy, monetization, AI transformation, RevOps, quote-to-revenue, portfolio operations and value creation.</w:t>
            </w:r>
          </w:p>
        </w:tc>
      </w:tr>
      <w:tr>
        <w:tc>
          <w:tcPr>
            <w:tcW w:type="dxa" w:w="1800"/>
            <w:shd w:fill="F1EBDD"/>
            <w:vAlign w:val="center"/>
            <w:tcMar>
              <w:top w:w="100" w:type="dxa"/>
              <w:start w:w="120" w:type="dxa"/>
              <w:bottom w:w="100" w:type="dxa"/>
              <w:end w:w="120" w:type="dxa"/>
            </w:tcMar>
          </w:tcPr>
          <w:p>
            <w:pPr>
              <w:spacing w:after="0"/>
            </w:pPr>
            <w:r/>
            <w:r>
              <w:rPr>
                <w:rFonts w:ascii="Jost" w:hAnsi="Jost"/>
                <w:b w:val="0"/>
                <w:color w:val="2B2A28"/>
                <w:sz w:val="16"/>
              </w:rPr>
              <w:t>Ring 5 — Ecosystem routes</w:t>
            </w:r>
          </w:p>
        </w:tc>
        <w:tc>
          <w:tcPr>
            <w:tcW w:type="dxa" w:w="3671"/>
            <w:shd w:fill="F1EBDD"/>
            <w:vAlign w:val="center"/>
            <w:tcMar>
              <w:top w:w="100" w:type="dxa"/>
              <w:start w:w="120" w:type="dxa"/>
              <w:bottom w:w="100" w:type="dxa"/>
              <w:end w:w="120" w:type="dxa"/>
            </w:tcMar>
          </w:tcPr>
          <w:p>
            <w:pPr>
              <w:spacing w:after="0"/>
            </w:pPr>
            <w:r/>
            <w:r>
              <w:rPr>
                <w:rFonts w:ascii="Jost" w:hAnsi="Jost"/>
                <w:b w:val="0"/>
                <w:color w:val="2B2A28"/>
                <w:sz w:val="16"/>
              </w:rPr>
              <w:t>Advisors, implementation partners, vendors, recruiters, portfolio talent teams and professional communities.</w:t>
            </w:r>
          </w:p>
        </w:tc>
        <w:tc>
          <w:tcPr>
            <w:tcW w:type="dxa" w:w="3888"/>
            <w:shd w:fill="F1EBDD"/>
            <w:vAlign w:val="center"/>
            <w:tcMar>
              <w:top w:w="100" w:type="dxa"/>
              <w:start w:w="120" w:type="dxa"/>
              <w:bottom w:w="100" w:type="dxa"/>
              <w:end w:w="120" w:type="dxa"/>
            </w:tcMar>
          </w:tcPr>
          <w:p>
            <w:pPr>
              <w:spacing w:after="0"/>
            </w:pPr>
            <w:r/>
            <w:r>
              <w:rPr>
                <w:rFonts w:ascii="Jost" w:hAnsi="Jost"/>
                <w:b w:val="0"/>
                <w:color w:val="2B2A28"/>
                <w:sz w:val="16"/>
              </w:rPr>
              <w:t>Potential clients, referral routes, teaming partners, subject-matter relationships and hiring channels.</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shd w:fill="F8F4EC"/>
            <w:tcMar>
              <w:top w:w="160" w:type="dxa"/>
              <w:start w:w="180" w:type="dxa"/>
              <w:bottom w:w="160" w:type="dxa"/>
              <w:end w:w="180" w:type="dxa"/>
            </w:tcMar>
          </w:tcPr>
          <w:p>
            <w:pPr>
              <w:spacing w:after="60"/>
            </w:pPr>
            <w:r/>
            <w:r>
              <w:rPr>
                <w:rFonts w:ascii="Jost" w:hAnsi="Jost"/>
                <w:b/>
                <w:color w:val="4A7C8E"/>
                <w:sz w:val="18"/>
              </w:rPr>
              <w:t>WEEKLY EXPANSION CONTROL</w:t>
            </w:r>
          </w:p>
          <w:p>
            <w:pPr>
              <w:spacing w:after="0"/>
            </w:pPr>
            <w:r>
              <w:rPr>
                <w:rFonts w:ascii="Jost" w:hAnsi="Jost"/>
                <w:color w:val="2B2A28"/>
                <w:sz w:val="20"/>
              </w:rPr>
              <w:t>Add at least 10 net-new qualified entities per week, but cap low-confidence discovery-only additions. Each new entity must record the parent target, expansion ring, reason for adjacency and evidence source.</w:t>
            </w:r>
          </w:p>
        </w:tc>
      </w:tr>
    </w:tbl>
    <w:p>
      <w:pPr>
        <w:spacing w:after="0"/>
      </w:pPr>
    </w:p>
    <w:p>
      <w:pPr>
        <w:pStyle w:val="Title"/>
      </w:pPr>
      <w:r>
        <w:t>5. Signal taxonomy</w:t>
      </w:r>
    </w:p>
    <w:tbl>
      <w:tblPr>
        <w:tblStyle w:val="TableGrid"/>
        <w:tblW w:type="dxa" w:w="9360"/>
        <w:jc w:val="center"/>
        <w:tblLayout w:type="fixed"/>
        <w:tblLook w:firstColumn="1" w:firstRow="1" w:lastColumn="0" w:lastRow="0" w:noHBand="0" w:noVBand="1" w:val="04A0"/>
      </w:tblPr>
      <w:tblGrid>
        <w:gridCol w:w="2088"/>
        <w:gridCol w:w="3671"/>
        <w:gridCol w:w="3600"/>
      </w:tblGrid>
      <w:tr>
        <w:trPr>
          <w:tblHeader w:val="true"/>
        </w:trPr>
        <w:tc>
          <w:tcPr>
            <w:tcW w:type="dxa" w:w="2088"/>
            <w:shd w:fill="345A68"/>
            <w:vAlign w:val="center"/>
            <w:tcMar>
              <w:top w:w="100" w:type="dxa"/>
              <w:start w:w="120" w:type="dxa"/>
              <w:bottom w:w="100" w:type="dxa"/>
              <w:end w:w="120" w:type="dxa"/>
            </w:tcMar>
          </w:tcPr>
          <w:p>
            <w:pPr>
              <w:spacing w:after="0"/>
            </w:pPr>
            <w:r/>
            <w:r>
              <w:rPr>
                <w:rFonts w:ascii="Jost" w:hAnsi="Jost"/>
                <w:b/>
                <w:color w:val="FFFFFF"/>
                <w:sz w:val="16"/>
              </w:rPr>
              <w:t>Signal family</w:t>
            </w:r>
          </w:p>
        </w:tc>
        <w:tc>
          <w:tcPr>
            <w:tcW w:type="dxa" w:w="3672"/>
            <w:shd w:fill="345A68"/>
            <w:vAlign w:val="center"/>
            <w:tcMar>
              <w:top w:w="100" w:type="dxa"/>
              <w:start w:w="120" w:type="dxa"/>
              <w:bottom w:w="100" w:type="dxa"/>
              <w:end w:w="120" w:type="dxa"/>
            </w:tcMar>
          </w:tcPr>
          <w:p>
            <w:pPr>
              <w:spacing w:after="0"/>
            </w:pPr>
            <w:r/>
            <w:r>
              <w:rPr>
                <w:rFonts w:ascii="Jost" w:hAnsi="Jost"/>
                <w:b/>
                <w:color w:val="FFFFFF"/>
                <w:sz w:val="16"/>
              </w:rPr>
              <w:t>Events to monitor</w:t>
            </w:r>
          </w:p>
        </w:tc>
        <w:tc>
          <w:tcPr>
            <w:tcW w:type="dxa" w:w="3600"/>
            <w:shd w:fill="345A68"/>
            <w:vAlign w:val="center"/>
            <w:tcMar>
              <w:top w:w="100" w:type="dxa"/>
              <w:start w:w="120" w:type="dxa"/>
              <w:bottom w:w="100" w:type="dxa"/>
              <w:end w:w="120" w:type="dxa"/>
            </w:tcMar>
          </w:tcPr>
          <w:p>
            <w:pPr>
              <w:spacing w:after="0"/>
            </w:pPr>
            <w:r/>
            <w:r>
              <w:rPr>
                <w:rFonts w:ascii="Jost" w:hAnsi="Jost"/>
                <w:b/>
                <w:color w:val="FFFFFF"/>
                <w:sz w:val="16"/>
              </w:rPr>
              <w:t>Primary Salt Basin hypothesis</w:t>
            </w:r>
          </w:p>
        </w:tc>
      </w:tr>
      <w:tr>
        <w:tc>
          <w:tcPr>
            <w:tcW w:type="dxa" w:w="2088"/>
            <w:vAlign w:val="center"/>
            <w:tcMar>
              <w:top w:w="100" w:type="dxa"/>
              <w:start w:w="120" w:type="dxa"/>
              <w:bottom w:w="100" w:type="dxa"/>
              <w:end w:w="120" w:type="dxa"/>
            </w:tcMar>
          </w:tcPr>
          <w:p>
            <w:pPr>
              <w:spacing w:after="0"/>
            </w:pPr>
            <w:r/>
            <w:r>
              <w:rPr>
                <w:rFonts w:ascii="Jost" w:hAnsi="Jost"/>
                <w:b w:val="0"/>
                <w:color w:val="2B2A28"/>
                <w:sz w:val="16"/>
              </w:rPr>
              <w:t>Capital and ownership</w:t>
            </w:r>
          </w:p>
        </w:tc>
        <w:tc>
          <w:tcPr>
            <w:tcW w:type="dxa" w:w="3671"/>
            <w:vAlign w:val="center"/>
            <w:tcMar>
              <w:top w:w="100" w:type="dxa"/>
              <w:start w:w="120" w:type="dxa"/>
              <w:bottom w:w="100" w:type="dxa"/>
              <w:end w:w="120" w:type="dxa"/>
            </w:tcMar>
          </w:tcPr>
          <w:p>
            <w:pPr>
              <w:spacing w:after="0"/>
            </w:pPr>
            <w:r/>
            <w:r>
              <w:rPr>
                <w:rFonts w:ascii="Jost" w:hAnsi="Jost"/>
                <w:b w:val="0"/>
                <w:color w:val="2B2A28"/>
                <w:sz w:val="16"/>
              </w:rPr>
              <w:t>Funding, recapitalization, debt raise, refinancing, take-private, sponsor entry/exit, secondary liquidity.</w:t>
            </w:r>
          </w:p>
        </w:tc>
        <w:tc>
          <w:tcPr>
            <w:tcW w:type="dxa" w:w="3600"/>
            <w:vAlign w:val="center"/>
            <w:tcMar>
              <w:top w:w="100" w:type="dxa"/>
              <w:start w:w="120" w:type="dxa"/>
              <w:bottom w:w="100" w:type="dxa"/>
              <w:end w:w="120" w:type="dxa"/>
            </w:tcMar>
          </w:tcPr>
          <w:p>
            <w:pPr>
              <w:spacing w:after="0"/>
            </w:pPr>
            <w:r/>
            <w:r>
              <w:rPr>
                <w:rFonts w:ascii="Jost" w:hAnsi="Jost"/>
                <w:b w:val="0"/>
                <w:color w:val="2B2A28"/>
                <w:sz w:val="16"/>
              </w:rPr>
              <w:t>Funding-to-value, financing readiness, debt/covenant evidence, sponsor thesis and return attribution.</w:t>
            </w:r>
          </w:p>
        </w:tc>
      </w:tr>
      <w:tr>
        <w:tc>
          <w:tcPr>
            <w:tcW w:type="dxa" w:w="2088"/>
            <w:shd w:fill="F1EBDD"/>
            <w:vAlign w:val="center"/>
            <w:tcMar>
              <w:top w:w="100" w:type="dxa"/>
              <w:start w:w="120" w:type="dxa"/>
              <w:bottom w:w="100" w:type="dxa"/>
              <w:end w:w="120" w:type="dxa"/>
            </w:tcMar>
          </w:tcPr>
          <w:p>
            <w:pPr>
              <w:spacing w:after="0"/>
            </w:pPr>
            <w:r/>
            <w:r>
              <w:rPr>
                <w:rFonts w:ascii="Jost" w:hAnsi="Jost"/>
                <w:b w:val="0"/>
                <w:color w:val="2B2A28"/>
                <w:sz w:val="16"/>
              </w:rPr>
              <w:t>Liquidity and transaction readiness</w:t>
            </w:r>
          </w:p>
        </w:tc>
        <w:tc>
          <w:tcPr>
            <w:tcW w:type="dxa" w:w="3671"/>
            <w:shd w:fill="F1EBDD"/>
            <w:vAlign w:val="center"/>
            <w:tcMar>
              <w:top w:w="100" w:type="dxa"/>
              <w:start w:w="120" w:type="dxa"/>
              <w:bottom w:w="100" w:type="dxa"/>
              <w:end w:w="120" w:type="dxa"/>
            </w:tcMar>
          </w:tcPr>
          <w:p>
            <w:pPr>
              <w:spacing w:after="0"/>
            </w:pPr>
            <w:r/>
            <w:r>
              <w:rPr>
                <w:rFonts w:ascii="Jost" w:hAnsi="Jost"/>
                <w:b w:val="0"/>
                <w:color w:val="2B2A28"/>
                <w:sz w:val="16"/>
              </w:rPr>
              <w:t>IPO filing/postponement, delayed exit, sale process, carve-out, continuation vehicle, retrade or failed transaction.</w:t>
            </w:r>
          </w:p>
        </w:tc>
        <w:tc>
          <w:tcPr>
            <w:tcW w:type="dxa" w:w="3600"/>
            <w:shd w:fill="F1EBDD"/>
            <w:vAlign w:val="center"/>
            <w:tcMar>
              <w:top w:w="100" w:type="dxa"/>
              <w:start w:w="120" w:type="dxa"/>
              <w:bottom w:w="100" w:type="dxa"/>
              <w:end w:w="120" w:type="dxa"/>
            </w:tcMar>
          </w:tcPr>
          <w:p>
            <w:pPr>
              <w:spacing w:after="0"/>
            </w:pPr>
            <w:r/>
            <w:r>
              <w:rPr>
                <w:rFonts w:ascii="Jost" w:hAnsi="Jost"/>
                <w:b w:val="0"/>
                <w:color w:val="2B2A28"/>
                <w:sz w:val="16"/>
              </w:rPr>
              <w:t>Exit readiness, earnings defensibility, data-room readiness, valuation and diligence evidence.</w:t>
            </w:r>
          </w:p>
        </w:tc>
      </w:tr>
      <w:tr>
        <w:tc>
          <w:tcPr>
            <w:tcW w:type="dxa" w:w="2088"/>
            <w:vAlign w:val="center"/>
            <w:tcMar>
              <w:top w:w="100" w:type="dxa"/>
              <w:start w:w="120" w:type="dxa"/>
              <w:bottom w:w="100" w:type="dxa"/>
              <w:end w:w="120" w:type="dxa"/>
            </w:tcMar>
          </w:tcPr>
          <w:p>
            <w:pPr>
              <w:spacing w:after="0"/>
            </w:pPr>
            <w:r/>
            <w:r>
              <w:rPr>
                <w:rFonts w:ascii="Jost" w:hAnsi="Jost"/>
                <w:b w:val="0"/>
                <w:color w:val="2B2A28"/>
                <w:sz w:val="16"/>
              </w:rPr>
              <w:t>Growth and monetization</w:t>
            </w:r>
          </w:p>
        </w:tc>
        <w:tc>
          <w:tcPr>
            <w:tcW w:type="dxa" w:w="3671"/>
            <w:vAlign w:val="center"/>
            <w:tcMar>
              <w:top w:w="100" w:type="dxa"/>
              <w:start w:w="120" w:type="dxa"/>
              <w:bottom w:w="100" w:type="dxa"/>
              <w:end w:w="120" w:type="dxa"/>
            </w:tcMar>
          </w:tcPr>
          <w:p>
            <w:pPr>
              <w:spacing w:after="0"/>
            </w:pPr>
            <w:r/>
            <w:r>
              <w:rPr>
                <w:rFonts w:ascii="Jost" w:hAnsi="Jost"/>
                <w:b w:val="0"/>
                <w:color w:val="2B2A28"/>
                <w:sz w:val="16"/>
              </w:rPr>
              <w:t>Guidance change, bookings/ARR growth, pricing change, expansion, new channel or customer segment.</w:t>
            </w:r>
          </w:p>
        </w:tc>
        <w:tc>
          <w:tcPr>
            <w:tcW w:type="dxa" w:w="3600"/>
            <w:vAlign w:val="center"/>
            <w:tcMar>
              <w:top w:w="100" w:type="dxa"/>
              <w:start w:w="120" w:type="dxa"/>
              <w:bottom w:w="100" w:type="dxa"/>
              <w:end w:w="120" w:type="dxa"/>
            </w:tcMar>
          </w:tcPr>
          <w:p>
            <w:pPr>
              <w:spacing w:after="0"/>
            </w:pPr>
            <w:r/>
            <w:r>
              <w:rPr>
                <w:rFonts w:ascii="Jost" w:hAnsi="Jost"/>
                <w:b w:val="0"/>
                <w:color w:val="2B2A28"/>
                <w:sz w:val="16"/>
              </w:rPr>
              <w:t>Revenue lifecycle, pricing realization, quote-to-revenue controls and durable growth evidence.</w:t>
            </w:r>
          </w:p>
        </w:tc>
      </w:tr>
      <w:tr>
        <w:tc>
          <w:tcPr>
            <w:tcW w:type="dxa" w:w="2088"/>
            <w:shd w:fill="F1EBDD"/>
            <w:vAlign w:val="center"/>
            <w:tcMar>
              <w:top w:w="100" w:type="dxa"/>
              <w:start w:w="120" w:type="dxa"/>
              <w:bottom w:w="100" w:type="dxa"/>
              <w:end w:w="120" w:type="dxa"/>
            </w:tcMar>
          </w:tcPr>
          <w:p>
            <w:pPr>
              <w:spacing w:after="0"/>
            </w:pPr>
            <w:r/>
            <w:r>
              <w:rPr>
                <w:rFonts w:ascii="Jost" w:hAnsi="Jost"/>
                <w:b w:val="0"/>
                <w:color w:val="2B2A28"/>
                <w:sz w:val="16"/>
              </w:rPr>
              <w:t>Product and AI</w:t>
            </w:r>
          </w:p>
        </w:tc>
        <w:tc>
          <w:tcPr>
            <w:tcW w:type="dxa" w:w="3671"/>
            <w:shd w:fill="F1EBDD"/>
            <w:vAlign w:val="center"/>
            <w:tcMar>
              <w:top w:w="100" w:type="dxa"/>
              <w:start w:w="120" w:type="dxa"/>
              <w:bottom w:w="100" w:type="dxa"/>
              <w:end w:w="120" w:type="dxa"/>
            </w:tcMar>
          </w:tcPr>
          <w:p>
            <w:pPr>
              <w:spacing w:after="0"/>
            </w:pPr>
            <w:r/>
            <w:r>
              <w:rPr>
                <w:rFonts w:ascii="Jost" w:hAnsi="Jost"/>
                <w:b w:val="0"/>
                <w:color w:val="2B2A28"/>
                <w:sz w:val="16"/>
              </w:rPr>
              <w:t>New product, agentic/AI launch, strategic AI partnership, usage claim or model rollout.</w:t>
            </w:r>
          </w:p>
        </w:tc>
        <w:tc>
          <w:tcPr>
            <w:tcW w:type="dxa" w:w="3600"/>
            <w:shd w:fill="F1EBDD"/>
            <w:vAlign w:val="center"/>
            <w:tcMar>
              <w:top w:w="100" w:type="dxa"/>
              <w:start w:w="120" w:type="dxa"/>
              <w:bottom w:w="100" w:type="dxa"/>
              <w:end w:w="120" w:type="dxa"/>
            </w:tcMar>
          </w:tcPr>
          <w:p>
            <w:pPr>
              <w:spacing w:after="0"/>
            </w:pPr>
            <w:r/>
            <w:r>
              <w:rPr>
                <w:rFonts w:ascii="Jost" w:hAnsi="Jost"/>
                <w:b w:val="0"/>
                <w:color w:val="2B2A28"/>
                <w:sz w:val="16"/>
              </w:rPr>
              <w:t>AI adoption, unit economics, workflow completion, rework, customer outcome and attributable financial benefit.</w:t>
            </w:r>
          </w:p>
        </w:tc>
      </w:tr>
      <w:tr>
        <w:tc>
          <w:tcPr>
            <w:tcW w:type="dxa" w:w="2088"/>
            <w:vAlign w:val="center"/>
            <w:tcMar>
              <w:top w:w="100" w:type="dxa"/>
              <w:start w:w="120" w:type="dxa"/>
              <w:bottom w:w="100" w:type="dxa"/>
              <w:end w:w="120" w:type="dxa"/>
            </w:tcMar>
          </w:tcPr>
          <w:p>
            <w:pPr>
              <w:spacing w:after="0"/>
            </w:pPr>
            <w:r/>
            <w:r>
              <w:rPr>
                <w:rFonts w:ascii="Jost" w:hAnsi="Jost"/>
                <w:b w:val="0"/>
                <w:color w:val="2B2A28"/>
                <w:sz w:val="16"/>
              </w:rPr>
              <w:t>Acquisition and integration</w:t>
            </w:r>
          </w:p>
        </w:tc>
        <w:tc>
          <w:tcPr>
            <w:tcW w:type="dxa" w:w="3671"/>
            <w:vAlign w:val="center"/>
            <w:tcMar>
              <w:top w:w="100" w:type="dxa"/>
              <w:start w:w="120" w:type="dxa"/>
              <w:bottom w:w="100" w:type="dxa"/>
              <w:end w:w="120" w:type="dxa"/>
            </w:tcMar>
          </w:tcPr>
          <w:p>
            <w:pPr>
              <w:spacing w:after="0"/>
            </w:pPr>
            <w:r/>
            <w:r>
              <w:rPr>
                <w:rFonts w:ascii="Jost" w:hAnsi="Jost"/>
                <w:b w:val="0"/>
                <w:color w:val="2B2A28"/>
                <w:sz w:val="16"/>
              </w:rPr>
              <w:t>Platform acquisition, add-on, divestiture, merger, product consolidation or synergy claim.</w:t>
            </w:r>
          </w:p>
        </w:tc>
        <w:tc>
          <w:tcPr>
            <w:tcW w:type="dxa" w:w="3600"/>
            <w:vAlign w:val="center"/>
            <w:tcMar>
              <w:top w:w="100" w:type="dxa"/>
              <w:start w:w="120" w:type="dxa"/>
              <w:bottom w:w="100" w:type="dxa"/>
              <w:end w:w="120" w:type="dxa"/>
            </w:tcMar>
          </w:tcPr>
          <w:p>
            <w:pPr>
              <w:spacing w:after="0"/>
            </w:pPr>
            <w:r/>
            <w:r>
              <w:rPr>
                <w:rFonts w:ascii="Jost" w:hAnsi="Jost"/>
                <w:b w:val="0"/>
                <w:color w:val="2B2A28"/>
                <w:sz w:val="16"/>
              </w:rPr>
              <w:t>Integration milestones, retained ARR, cross-sell, cost synergy, cannibalization and acquired-versus-organic performance.</w:t>
            </w:r>
          </w:p>
        </w:tc>
      </w:tr>
      <w:tr>
        <w:tc>
          <w:tcPr>
            <w:tcW w:type="dxa" w:w="2088"/>
            <w:shd w:fill="F1EBDD"/>
            <w:vAlign w:val="center"/>
            <w:tcMar>
              <w:top w:w="100" w:type="dxa"/>
              <w:start w:w="120" w:type="dxa"/>
              <w:bottom w:w="100" w:type="dxa"/>
              <w:end w:w="120" w:type="dxa"/>
            </w:tcMar>
          </w:tcPr>
          <w:p>
            <w:pPr>
              <w:spacing w:after="0"/>
            </w:pPr>
            <w:r/>
            <w:r>
              <w:rPr>
                <w:rFonts w:ascii="Jost" w:hAnsi="Jost"/>
                <w:b w:val="0"/>
                <w:color w:val="2B2A28"/>
                <w:sz w:val="16"/>
              </w:rPr>
              <w:t>Operating volatility</w:t>
            </w:r>
          </w:p>
        </w:tc>
        <w:tc>
          <w:tcPr>
            <w:tcW w:type="dxa" w:w="3671"/>
            <w:shd w:fill="F1EBDD"/>
            <w:vAlign w:val="center"/>
            <w:tcMar>
              <w:top w:w="100" w:type="dxa"/>
              <w:start w:w="120" w:type="dxa"/>
              <w:bottom w:w="100" w:type="dxa"/>
              <w:end w:w="120" w:type="dxa"/>
            </w:tcMar>
          </w:tcPr>
          <w:p>
            <w:pPr>
              <w:spacing w:after="0"/>
            </w:pPr>
            <w:r/>
            <w:r>
              <w:rPr>
                <w:rFonts w:ascii="Jost" w:hAnsi="Jost"/>
                <w:b w:val="0"/>
                <w:color w:val="2B2A28"/>
                <w:sz w:val="16"/>
              </w:rPr>
              <w:t>Leadership turnover, restructuring, layoffs, system change, billing redesign, policy change or data-quality event.</w:t>
            </w:r>
          </w:p>
        </w:tc>
        <w:tc>
          <w:tcPr>
            <w:tcW w:type="dxa" w:w="3600"/>
            <w:shd w:fill="F1EBDD"/>
            <w:vAlign w:val="center"/>
            <w:tcMar>
              <w:top w:w="100" w:type="dxa"/>
              <w:start w:w="120" w:type="dxa"/>
              <w:bottom w:w="100" w:type="dxa"/>
              <w:end w:w="120" w:type="dxa"/>
            </w:tcMar>
          </w:tcPr>
          <w:p>
            <w:pPr>
              <w:spacing w:after="0"/>
            </w:pPr>
            <w:r/>
            <w:r>
              <w:rPr>
                <w:rFonts w:ascii="Jost" w:hAnsi="Jost"/>
                <w:b w:val="0"/>
                <w:color w:val="2B2A28"/>
                <w:sz w:val="16"/>
              </w:rPr>
              <w:t>Definition continuity, lineage preservation, initiative realization, productivity and evidence-chain resilience.</w:t>
            </w:r>
          </w:p>
        </w:tc>
      </w:tr>
      <w:tr>
        <w:tc>
          <w:tcPr>
            <w:tcW w:type="dxa" w:w="2088"/>
            <w:vAlign w:val="center"/>
            <w:tcMar>
              <w:top w:w="100" w:type="dxa"/>
              <w:start w:w="120" w:type="dxa"/>
              <w:bottom w:w="100" w:type="dxa"/>
              <w:end w:w="120" w:type="dxa"/>
            </w:tcMar>
          </w:tcPr>
          <w:p>
            <w:pPr>
              <w:spacing w:after="0"/>
            </w:pPr>
            <w:r/>
            <w:r>
              <w:rPr>
                <w:rFonts w:ascii="Jost" w:hAnsi="Jost"/>
                <w:b w:val="0"/>
                <w:color w:val="2B2A28"/>
                <w:sz w:val="16"/>
              </w:rPr>
              <w:t>Customer and member economics</w:t>
            </w:r>
          </w:p>
        </w:tc>
        <w:tc>
          <w:tcPr>
            <w:tcW w:type="dxa" w:w="3671"/>
            <w:vAlign w:val="center"/>
            <w:tcMar>
              <w:top w:w="100" w:type="dxa"/>
              <w:start w:w="120" w:type="dxa"/>
              <w:bottom w:w="100" w:type="dxa"/>
              <w:end w:w="120" w:type="dxa"/>
            </w:tcMar>
          </w:tcPr>
          <w:p>
            <w:pPr>
              <w:spacing w:after="0"/>
            </w:pPr>
            <w:r/>
            <w:r>
              <w:rPr>
                <w:rFonts w:ascii="Jost" w:hAnsi="Jost"/>
                <w:b w:val="0"/>
                <w:color w:val="2B2A28"/>
                <w:sz w:val="16"/>
              </w:rPr>
              <w:t>Adoption, retention, churn, activation, service quality, entitlement or usage changes.</w:t>
            </w:r>
          </w:p>
        </w:tc>
        <w:tc>
          <w:tcPr>
            <w:tcW w:type="dxa" w:w="3600"/>
            <w:vAlign w:val="center"/>
            <w:tcMar>
              <w:top w:w="100" w:type="dxa"/>
              <w:start w:w="120" w:type="dxa"/>
              <w:bottom w:w="100" w:type="dxa"/>
              <w:end w:w="120" w:type="dxa"/>
            </w:tcMar>
          </w:tcPr>
          <w:p>
            <w:pPr>
              <w:spacing w:after="0"/>
            </w:pPr>
            <w:r/>
            <w:r>
              <w:rPr>
                <w:rFonts w:ascii="Jost" w:hAnsi="Jost"/>
                <w:b w:val="0"/>
                <w:color w:val="2B2A28"/>
                <w:sz w:val="16"/>
              </w:rPr>
              <w:t>Customer/member journey evidence, economic activation, expansion and service outcome.</w:t>
            </w:r>
          </w:p>
        </w:tc>
      </w:tr>
      <w:tr>
        <w:tc>
          <w:tcPr>
            <w:tcW w:type="dxa" w:w="2088"/>
            <w:shd w:fill="F1EBDD"/>
            <w:vAlign w:val="center"/>
            <w:tcMar>
              <w:top w:w="100" w:type="dxa"/>
              <w:start w:w="120" w:type="dxa"/>
              <w:bottom w:w="100" w:type="dxa"/>
              <w:end w:w="120" w:type="dxa"/>
            </w:tcMar>
          </w:tcPr>
          <w:p>
            <w:pPr>
              <w:spacing w:after="0"/>
            </w:pPr>
            <w:r/>
            <w:r>
              <w:rPr>
                <w:rFonts w:ascii="Jost" w:hAnsi="Jost"/>
                <w:b w:val="0"/>
                <w:color w:val="2B2A28"/>
                <w:sz w:val="16"/>
              </w:rPr>
              <w:t>Talent demand</w:t>
            </w:r>
          </w:p>
        </w:tc>
        <w:tc>
          <w:tcPr>
            <w:tcW w:type="dxa" w:w="3671"/>
            <w:shd w:fill="F1EBDD"/>
            <w:vAlign w:val="center"/>
            <w:tcMar>
              <w:top w:w="100" w:type="dxa"/>
              <w:start w:w="120" w:type="dxa"/>
              <w:bottom w:w="100" w:type="dxa"/>
              <w:end w:w="120" w:type="dxa"/>
            </w:tcMar>
          </w:tcPr>
          <w:p>
            <w:pPr>
              <w:spacing w:after="0"/>
            </w:pPr>
            <w:r/>
            <w:r>
              <w:rPr>
                <w:rFonts w:ascii="Jost" w:hAnsi="Jost"/>
                <w:b w:val="0"/>
                <w:color w:val="2B2A28"/>
                <w:sz w:val="16"/>
              </w:rPr>
              <w:t>New role, repeated hiring pattern, executive appointment, team build or recruiter activity.</w:t>
            </w:r>
          </w:p>
        </w:tc>
        <w:tc>
          <w:tcPr>
            <w:tcW w:type="dxa" w:w="3600"/>
            <w:shd w:fill="F1EBDD"/>
            <w:vAlign w:val="center"/>
            <w:tcMar>
              <w:top w:w="100" w:type="dxa"/>
              <w:start w:w="120" w:type="dxa"/>
              <w:bottom w:w="100" w:type="dxa"/>
              <w:end w:w="120" w:type="dxa"/>
            </w:tcMar>
          </w:tcPr>
          <w:p>
            <w:pPr>
              <w:spacing w:after="0"/>
            </w:pPr>
            <w:r/>
            <w:r>
              <w:rPr>
                <w:rFonts w:ascii="Jost" w:hAnsi="Jost"/>
                <w:b w:val="0"/>
                <w:color w:val="2B2A28"/>
                <w:sz w:val="16"/>
              </w:rPr>
              <w:t>Career match and/or company need; never equate a hiring signal with an open role without a live posting.</w:t>
            </w:r>
          </w:p>
        </w:tc>
      </w:tr>
      <w:tr>
        <w:tc>
          <w:tcPr>
            <w:tcW w:type="dxa" w:w="2088"/>
            <w:vAlign w:val="center"/>
            <w:tcMar>
              <w:top w:w="100" w:type="dxa"/>
              <w:start w:w="120" w:type="dxa"/>
              <w:bottom w:w="100" w:type="dxa"/>
              <w:end w:w="120" w:type="dxa"/>
            </w:tcMar>
          </w:tcPr>
          <w:p>
            <w:pPr>
              <w:spacing w:after="0"/>
            </w:pPr>
            <w:r/>
            <w:r>
              <w:rPr>
                <w:rFonts w:ascii="Jost" w:hAnsi="Jost"/>
                <w:b w:val="0"/>
                <w:color w:val="2B2A28"/>
                <w:sz w:val="16"/>
              </w:rPr>
              <w:t>Vendor and partnership demand</w:t>
            </w:r>
          </w:p>
        </w:tc>
        <w:tc>
          <w:tcPr>
            <w:tcW w:type="dxa" w:w="3671"/>
            <w:vAlign w:val="center"/>
            <w:tcMar>
              <w:top w:w="100" w:type="dxa"/>
              <w:start w:w="120" w:type="dxa"/>
              <w:bottom w:w="100" w:type="dxa"/>
              <w:end w:w="120" w:type="dxa"/>
            </w:tcMar>
          </w:tcPr>
          <w:p>
            <w:pPr>
              <w:spacing w:after="0"/>
            </w:pPr>
            <w:r/>
            <w:r>
              <w:rPr>
                <w:rFonts w:ascii="Jost" w:hAnsi="Jost"/>
                <w:b w:val="0"/>
                <w:color w:val="2B2A28"/>
                <w:sz w:val="16"/>
              </w:rPr>
              <w:t>RFP, procurement notice, implementation partner announcement, integration ecosystem expansion or public request for expertise.</w:t>
            </w:r>
          </w:p>
        </w:tc>
        <w:tc>
          <w:tcPr>
            <w:tcW w:type="dxa" w:w="3600"/>
            <w:vAlign w:val="center"/>
            <w:tcMar>
              <w:top w:w="100" w:type="dxa"/>
              <w:start w:w="120" w:type="dxa"/>
              <w:bottom w:w="100" w:type="dxa"/>
              <w:end w:w="120" w:type="dxa"/>
            </w:tcMar>
          </w:tcPr>
          <w:p>
            <w:pPr>
              <w:spacing w:after="0"/>
            </w:pPr>
            <w:r/>
            <w:r>
              <w:rPr>
                <w:rFonts w:ascii="Jost" w:hAnsi="Jost"/>
                <w:b w:val="0"/>
                <w:color w:val="2B2A28"/>
                <w:sz w:val="16"/>
              </w:rPr>
              <w:t>Direct service opportunity, teaming route or evidence of an operational priority.</w:t>
            </w:r>
          </w:p>
        </w:tc>
      </w:tr>
    </w:tbl>
    <w:p>
      <w:pPr>
        <w:spacing w:after="0"/>
      </w:pPr>
    </w:p>
    <w:p>
      <w:pPr>
        <w:pStyle w:val="Title"/>
      </w:pPr>
      <w:r>
        <w:t>6. Salt Basin commercial opportunity scoring</w:t>
      </w:r>
    </w:p>
    <w:p>
      <w:r>
        <w:t>Score each company-event pair, not the company in the abstract. A company may have several independent signals with different readiness and solution fit.</w:t>
      </w:r>
    </w:p>
    <w:tbl>
      <w:tblPr>
        <w:tblStyle w:val="TableGrid"/>
        <w:tblW w:type="dxa" w:w="9360"/>
        <w:jc w:val="center"/>
        <w:tblLayout w:type="fixed"/>
        <w:tblLook w:firstColumn="1" w:firstRow="1" w:lastColumn="0" w:lastRow="0" w:noHBand="0" w:noVBand="1" w:val="04A0"/>
      </w:tblPr>
      <w:tblGrid>
        <w:gridCol w:w="2880"/>
        <w:gridCol w:w="936"/>
        <w:gridCol w:w="5544"/>
      </w:tblGrid>
      <w:tr>
        <w:trPr>
          <w:tblHeader w:val="true"/>
        </w:trPr>
        <w:tc>
          <w:tcPr>
            <w:tcW w:type="dxa" w:w="2880"/>
            <w:shd w:fill="345A68"/>
            <w:vAlign w:val="center"/>
            <w:tcMar>
              <w:top w:w="100" w:type="dxa"/>
              <w:start w:w="120" w:type="dxa"/>
              <w:bottom w:w="100" w:type="dxa"/>
              <w:end w:w="120" w:type="dxa"/>
            </w:tcMar>
          </w:tcPr>
          <w:p>
            <w:pPr>
              <w:spacing w:after="0"/>
            </w:pPr>
            <w:r/>
            <w:r>
              <w:rPr>
                <w:rFonts w:ascii="Jost" w:hAnsi="Jost"/>
                <w:b/>
                <w:color w:val="FFFFFF"/>
                <w:sz w:val="16"/>
              </w:rPr>
              <w:t>Dimension</w:t>
            </w:r>
          </w:p>
        </w:tc>
        <w:tc>
          <w:tcPr>
            <w:tcW w:type="dxa" w:w="936"/>
            <w:shd w:fill="345A68"/>
            <w:vAlign w:val="center"/>
            <w:tcMar>
              <w:top w:w="100" w:type="dxa"/>
              <w:start w:w="120" w:type="dxa"/>
              <w:bottom w:w="100" w:type="dxa"/>
              <w:end w:w="120" w:type="dxa"/>
            </w:tcMar>
          </w:tcPr>
          <w:p>
            <w:pPr>
              <w:spacing w:after="0"/>
            </w:pPr>
            <w:r/>
            <w:r>
              <w:rPr>
                <w:rFonts w:ascii="Jost" w:hAnsi="Jost"/>
                <w:b/>
                <w:color w:val="FFFFFF"/>
                <w:sz w:val="16"/>
              </w:rPr>
              <w:t>Weight</w:t>
            </w:r>
          </w:p>
        </w:tc>
        <w:tc>
          <w:tcPr>
            <w:tcW w:type="dxa" w:w="5544"/>
            <w:shd w:fill="345A68"/>
            <w:vAlign w:val="center"/>
            <w:tcMar>
              <w:top w:w="100" w:type="dxa"/>
              <w:start w:w="120" w:type="dxa"/>
              <w:bottom w:w="100" w:type="dxa"/>
              <w:end w:w="120" w:type="dxa"/>
            </w:tcMar>
          </w:tcPr>
          <w:p>
            <w:pPr>
              <w:spacing w:after="0"/>
            </w:pPr>
            <w:r/>
            <w:r>
              <w:rPr>
                <w:rFonts w:ascii="Jost" w:hAnsi="Jost"/>
                <w:b/>
                <w:color w:val="FFFFFF"/>
                <w:sz w:val="16"/>
              </w:rPr>
              <w:t>Scoring rule</w:t>
            </w:r>
          </w:p>
        </w:tc>
      </w:tr>
      <w:tr>
        <w:tc>
          <w:tcPr>
            <w:tcW w:type="dxa" w:w="2880"/>
            <w:vAlign w:val="center"/>
            <w:tcMar>
              <w:top w:w="100" w:type="dxa"/>
              <w:start w:w="120" w:type="dxa"/>
              <w:bottom w:w="100" w:type="dxa"/>
              <w:end w:w="120" w:type="dxa"/>
            </w:tcMar>
          </w:tcPr>
          <w:p>
            <w:pPr>
              <w:spacing w:after="0"/>
            </w:pPr>
            <w:r/>
            <w:r>
              <w:rPr>
                <w:rFonts w:ascii="Jost" w:hAnsi="Jost"/>
                <w:b w:val="0"/>
                <w:color w:val="2B2A28"/>
                <w:sz w:val="16"/>
              </w:rPr>
              <w:t>Trigger strength</w:t>
            </w:r>
          </w:p>
        </w:tc>
        <w:tc>
          <w:tcPr>
            <w:tcW w:type="dxa" w:w="936"/>
            <w:vAlign w:val="center"/>
            <w:tcMar>
              <w:top w:w="100" w:type="dxa"/>
              <w:start w:w="120" w:type="dxa"/>
              <w:bottom w:w="100" w:type="dxa"/>
              <w:end w:w="120" w:type="dxa"/>
            </w:tcMar>
          </w:tcPr>
          <w:p>
            <w:pPr>
              <w:spacing w:after="0"/>
            </w:pPr>
            <w:r/>
            <w:r>
              <w:rPr>
                <w:rFonts w:ascii="Jost" w:hAnsi="Jost"/>
                <w:b w:val="0"/>
                <w:color w:val="2B2A28"/>
                <w:sz w:val="16"/>
              </w:rPr>
              <w:t>20%</w:t>
            </w:r>
          </w:p>
        </w:tc>
        <w:tc>
          <w:tcPr>
            <w:tcW w:type="dxa" w:w="5544"/>
            <w:vAlign w:val="center"/>
            <w:tcMar>
              <w:top w:w="100" w:type="dxa"/>
              <w:start w:w="120" w:type="dxa"/>
              <w:bottom w:w="100" w:type="dxa"/>
              <w:end w:w="120" w:type="dxa"/>
            </w:tcMar>
          </w:tcPr>
          <w:p>
            <w:pPr>
              <w:spacing w:after="0"/>
            </w:pPr>
            <w:r/>
            <w:r>
              <w:rPr>
                <w:rFonts w:ascii="Jost" w:hAnsi="Jost"/>
                <w:b w:val="0"/>
                <w:color w:val="2B2A28"/>
                <w:sz w:val="16"/>
              </w:rPr>
              <w:t>0 rumor/weak lead; 1 indirect; 3 credible event; 5 consequential primary-sourced event.</w:t>
            </w:r>
          </w:p>
        </w:tc>
      </w:tr>
      <w:tr>
        <w:tc>
          <w:tcPr>
            <w:tcW w:type="dxa" w:w="2880"/>
            <w:shd w:fill="F1EBDD"/>
            <w:vAlign w:val="center"/>
            <w:tcMar>
              <w:top w:w="100" w:type="dxa"/>
              <w:start w:w="120" w:type="dxa"/>
              <w:bottom w:w="100" w:type="dxa"/>
              <w:end w:w="120" w:type="dxa"/>
            </w:tcMar>
          </w:tcPr>
          <w:p>
            <w:pPr>
              <w:spacing w:after="0"/>
            </w:pPr>
            <w:r/>
            <w:r>
              <w:rPr>
                <w:rFonts w:ascii="Jost" w:hAnsi="Jost"/>
                <w:b w:val="0"/>
                <w:color w:val="2B2A28"/>
                <w:sz w:val="16"/>
              </w:rPr>
              <w:t>Salt Basin problem/solution fit</w:t>
            </w:r>
          </w:p>
        </w:tc>
        <w:tc>
          <w:tcPr>
            <w:tcW w:type="dxa" w:w="936"/>
            <w:shd w:fill="F1EBDD"/>
            <w:vAlign w:val="center"/>
            <w:tcMar>
              <w:top w:w="100" w:type="dxa"/>
              <w:start w:w="120" w:type="dxa"/>
              <w:bottom w:w="100" w:type="dxa"/>
              <w:end w:w="120" w:type="dxa"/>
            </w:tcMar>
          </w:tcPr>
          <w:p>
            <w:pPr>
              <w:spacing w:after="0"/>
            </w:pPr>
            <w:r/>
            <w:r>
              <w:rPr>
                <w:rFonts w:ascii="Jost" w:hAnsi="Jost"/>
                <w:b w:val="0"/>
                <w:color w:val="2B2A28"/>
                <w:sz w:val="16"/>
              </w:rPr>
              <w:t>20%</w:t>
            </w:r>
          </w:p>
        </w:tc>
        <w:tc>
          <w:tcPr>
            <w:tcW w:type="dxa" w:w="5544"/>
            <w:shd w:fill="F1EBDD"/>
            <w:vAlign w:val="center"/>
            <w:tcMar>
              <w:top w:w="100" w:type="dxa"/>
              <w:start w:w="120" w:type="dxa"/>
              <w:bottom w:w="100" w:type="dxa"/>
              <w:end w:w="120" w:type="dxa"/>
            </w:tcMar>
          </w:tcPr>
          <w:p>
            <w:pPr>
              <w:spacing w:after="0"/>
            </w:pPr>
            <w:r/>
            <w:r>
              <w:rPr>
                <w:rFonts w:ascii="Jost" w:hAnsi="Jost"/>
                <w:b w:val="0"/>
                <w:color w:val="2B2A28"/>
                <w:sz w:val="16"/>
              </w:rPr>
              <w:t>Fit to evidence chain, revenue lifecycle, journey rods, Data Basin, value-creation registry, AI validation, diligence, financing or exit readiness.</w:t>
            </w:r>
          </w:p>
        </w:tc>
      </w:tr>
      <w:tr>
        <w:tc>
          <w:tcPr>
            <w:tcW w:type="dxa" w:w="2880"/>
            <w:vAlign w:val="center"/>
            <w:tcMar>
              <w:top w:w="100" w:type="dxa"/>
              <w:start w:w="120" w:type="dxa"/>
              <w:bottom w:w="100" w:type="dxa"/>
              <w:end w:w="120" w:type="dxa"/>
            </w:tcMar>
          </w:tcPr>
          <w:p>
            <w:pPr>
              <w:spacing w:after="0"/>
            </w:pPr>
            <w:r/>
            <w:r>
              <w:rPr>
                <w:rFonts w:ascii="Jost" w:hAnsi="Jost"/>
                <w:b w:val="0"/>
                <w:color w:val="2B2A28"/>
                <w:sz w:val="16"/>
              </w:rPr>
              <w:t>Economic materiality</w:t>
            </w:r>
          </w:p>
        </w:tc>
        <w:tc>
          <w:tcPr>
            <w:tcW w:type="dxa" w:w="936"/>
            <w:vAlign w:val="center"/>
            <w:tcMar>
              <w:top w:w="100" w:type="dxa"/>
              <w:start w:w="120" w:type="dxa"/>
              <w:bottom w:w="100" w:type="dxa"/>
              <w:end w:w="120" w:type="dxa"/>
            </w:tcMar>
          </w:tcPr>
          <w:p>
            <w:pPr>
              <w:spacing w:after="0"/>
            </w:pPr>
            <w:r/>
            <w:r>
              <w:rPr>
                <w:rFonts w:ascii="Jost" w:hAnsi="Jost"/>
                <w:b w:val="0"/>
                <w:color w:val="2B2A28"/>
                <w:sz w:val="16"/>
              </w:rPr>
              <w:t>15%</w:t>
            </w:r>
          </w:p>
        </w:tc>
        <w:tc>
          <w:tcPr>
            <w:tcW w:type="dxa" w:w="5544"/>
            <w:vAlign w:val="center"/>
            <w:tcMar>
              <w:top w:w="100" w:type="dxa"/>
              <w:start w:w="120" w:type="dxa"/>
              <w:bottom w:w="100" w:type="dxa"/>
              <w:end w:w="120" w:type="dxa"/>
            </w:tcMar>
          </w:tcPr>
          <w:p>
            <w:pPr>
              <w:spacing w:after="0"/>
            </w:pPr>
            <w:r/>
            <w:r>
              <w:rPr>
                <w:rFonts w:ascii="Jost" w:hAnsi="Jost"/>
                <w:b w:val="0"/>
                <w:color w:val="2B2A28"/>
                <w:sz w:val="16"/>
              </w:rPr>
              <w:t>Potential relevance to revenue, EBITDA, cash, risk or transaction value; never count modeled value as fact.</w:t>
            </w:r>
          </w:p>
        </w:tc>
      </w:tr>
      <w:tr>
        <w:tc>
          <w:tcPr>
            <w:tcW w:type="dxa" w:w="2880"/>
            <w:shd w:fill="F1EBDD"/>
            <w:vAlign w:val="center"/>
            <w:tcMar>
              <w:top w:w="100" w:type="dxa"/>
              <w:start w:w="120" w:type="dxa"/>
              <w:bottom w:w="100" w:type="dxa"/>
              <w:end w:w="120" w:type="dxa"/>
            </w:tcMar>
          </w:tcPr>
          <w:p>
            <w:pPr>
              <w:spacing w:after="0"/>
            </w:pPr>
            <w:r/>
            <w:r>
              <w:rPr>
                <w:rFonts w:ascii="Jost" w:hAnsi="Jost"/>
                <w:b w:val="0"/>
                <w:color w:val="2B2A28"/>
                <w:sz w:val="16"/>
              </w:rPr>
              <w:t>Timing and urgency</w:t>
            </w:r>
          </w:p>
        </w:tc>
        <w:tc>
          <w:tcPr>
            <w:tcW w:type="dxa" w:w="936"/>
            <w:shd w:fill="F1EBDD"/>
            <w:vAlign w:val="center"/>
            <w:tcMar>
              <w:top w:w="100" w:type="dxa"/>
              <w:start w:w="120" w:type="dxa"/>
              <w:bottom w:w="100" w:type="dxa"/>
              <w:end w:w="120" w:type="dxa"/>
            </w:tcMar>
          </w:tcPr>
          <w:p>
            <w:pPr>
              <w:spacing w:after="0"/>
            </w:pPr>
            <w:r/>
            <w:r>
              <w:rPr>
                <w:rFonts w:ascii="Jost" w:hAnsi="Jost"/>
                <w:b w:val="0"/>
                <w:color w:val="2B2A28"/>
                <w:sz w:val="16"/>
              </w:rPr>
              <w:t>15%</w:t>
            </w:r>
          </w:p>
        </w:tc>
        <w:tc>
          <w:tcPr>
            <w:tcW w:type="dxa" w:w="5544"/>
            <w:shd w:fill="F1EBDD"/>
            <w:vAlign w:val="center"/>
            <w:tcMar>
              <w:top w:w="100" w:type="dxa"/>
              <w:start w:w="120" w:type="dxa"/>
              <w:bottom w:w="100" w:type="dxa"/>
              <w:end w:w="120" w:type="dxa"/>
            </w:tcMar>
          </w:tcPr>
          <w:p>
            <w:pPr>
              <w:spacing w:after="0"/>
            </w:pPr>
            <w:r/>
            <w:r>
              <w:rPr>
                <w:rFonts w:ascii="Jost" w:hAnsi="Jost"/>
                <w:b w:val="0"/>
                <w:color w:val="2B2A28"/>
                <w:sz w:val="16"/>
              </w:rPr>
              <w:t>Event recency, deadline, financing/exit window, integration milestone, announced launch or hiring need.</w:t>
            </w:r>
          </w:p>
        </w:tc>
      </w:tr>
      <w:tr>
        <w:tc>
          <w:tcPr>
            <w:tcW w:type="dxa" w:w="2880"/>
            <w:vAlign w:val="center"/>
            <w:tcMar>
              <w:top w:w="100" w:type="dxa"/>
              <w:start w:w="120" w:type="dxa"/>
              <w:bottom w:w="100" w:type="dxa"/>
              <w:end w:w="120" w:type="dxa"/>
            </w:tcMar>
          </w:tcPr>
          <w:p>
            <w:pPr>
              <w:spacing w:after="0"/>
            </w:pPr>
            <w:r/>
            <w:r>
              <w:rPr>
                <w:rFonts w:ascii="Jost" w:hAnsi="Jost"/>
                <w:b w:val="0"/>
                <w:color w:val="2B2A28"/>
                <w:sz w:val="16"/>
              </w:rPr>
              <w:t>Evidence gap plausibility</w:t>
            </w:r>
          </w:p>
        </w:tc>
        <w:tc>
          <w:tcPr>
            <w:tcW w:type="dxa" w:w="936"/>
            <w:vAlign w:val="center"/>
            <w:tcMar>
              <w:top w:w="100" w:type="dxa"/>
              <w:start w:w="120" w:type="dxa"/>
              <w:bottom w:w="100" w:type="dxa"/>
              <w:end w:w="120" w:type="dxa"/>
            </w:tcMar>
          </w:tcPr>
          <w:p>
            <w:pPr>
              <w:spacing w:after="0"/>
            </w:pPr>
            <w:r/>
            <w:r>
              <w:rPr>
                <w:rFonts w:ascii="Jost" w:hAnsi="Jost"/>
                <w:b w:val="0"/>
                <w:color w:val="2B2A28"/>
                <w:sz w:val="16"/>
              </w:rPr>
              <w:t>10%</w:t>
            </w:r>
          </w:p>
        </w:tc>
        <w:tc>
          <w:tcPr>
            <w:tcW w:type="dxa" w:w="5544"/>
            <w:vAlign w:val="center"/>
            <w:tcMar>
              <w:top w:w="100" w:type="dxa"/>
              <w:start w:w="120" w:type="dxa"/>
              <w:bottom w:w="100" w:type="dxa"/>
              <w:end w:w="120" w:type="dxa"/>
            </w:tcMar>
          </w:tcPr>
          <w:p>
            <w:pPr>
              <w:spacing w:after="0"/>
            </w:pPr>
            <w:r/>
            <w:r>
              <w:rPr>
                <w:rFonts w:ascii="Jost" w:hAnsi="Jost"/>
                <w:b w:val="0"/>
                <w:color w:val="2B2A28"/>
                <w:sz w:val="16"/>
              </w:rPr>
              <w:t>How strongly the event implies a need to reconcile claims to source events—stated as a testable hypothesis.</w:t>
            </w:r>
          </w:p>
        </w:tc>
      </w:tr>
      <w:tr>
        <w:tc>
          <w:tcPr>
            <w:tcW w:type="dxa" w:w="2880"/>
            <w:shd w:fill="F1EBDD"/>
            <w:vAlign w:val="center"/>
            <w:tcMar>
              <w:top w:w="100" w:type="dxa"/>
              <w:start w:w="120" w:type="dxa"/>
              <w:bottom w:w="100" w:type="dxa"/>
              <w:end w:w="120" w:type="dxa"/>
            </w:tcMar>
          </w:tcPr>
          <w:p>
            <w:pPr>
              <w:spacing w:after="0"/>
            </w:pPr>
            <w:r/>
            <w:r>
              <w:rPr>
                <w:rFonts w:ascii="Jost" w:hAnsi="Jost"/>
                <w:b w:val="0"/>
                <w:color w:val="2B2A28"/>
                <w:sz w:val="16"/>
              </w:rPr>
              <w:t>Access and relationship path</w:t>
            </w:r>
          </w:p>
        </w:tc>
        <w:tc>
          <w:tcPr>
            <w:tcW w:type="dxa" w:w="936"/>
            <w:shd w:fill="F1EBDD"/>
            <w:vAlign w:val="center"/>
            <w:tcMar>
              <w:top w:w="100" w:type="dxa"/>
              <w:start w:w="120" w:type="dxa"/>
              <w:bottom w:w="100" w:type="dxa"/>
              <w:end w:w="120" w:type="dxa"/>
            </w:tcMar>
          </w:tcPr>
          <w:p>
            <w:pPr>
              <w:spacing w:after="0"/>
            </w:pPr>
            <w:r/>
            <w:r>
              <w:rPr>
                <w:rFonts w:ascii="Jost" w:hAnsi="Jost"/>
                <w:b w:val="0"/>
                <w:color w:val="2B2A28"/>
                <w:sz w:val="16"/>
              </w:rPr>
              <w:t>10%</w:t>
            </w:r>
          </w:p>
        </w:tc>
        <w:tc>
          <w:tcPr>
            <w:tcW w:type="dxa" w:w="5544"/>
            <w:shd w:fill="F1EBDD"/>
            <w:vAlign w:val="center"/>
            <w:tcMar>
              <w:top w:w="100" w:type="dxa"/>
              <w:start w:w="120" w:type="dxa"/>
              <w:bottom w:w="100" w:type="dxa"/>
              <w:end w:w="120" w:type="dxa"/>
            </w:tcMar>
          </w:tcPr>
          <w:p>
            <w:pPr>
              <w:spacing w:after="0"/>
            </w:pPr>
            <w:r/>
            <w:r>
              <w:rPr>
                <w:rFonts w:ascii="Jost" w:hAnsi="Jost"/>
                <w:b w:val="0"/>
                <w:color w:val="2B2A28"/>
                <w:sz w:val="16"/>
              </w:rPr>
              <w:t>Named function, warm route, sponsor/portfolio link, public contact channel or partner path.</w:t>
            </w:r>
          </w:p>
        </w:tc>
      </w:tr>
      <w:tr>
        <w:tc>
          <w:tcPr>
            <w:tcW w:type="dxa" w:w="2880"/>
            <w:vAlign w:val="center"/>
            <w:tcMar>
              <w:top w:w="100" w:type="dxa"/>
              <w:start w:w="120" w:type="dxa"/>
              <w:bottom w:w="100" w:type="dxa"/>
              <w:end w:w="120" w:type="dxa"/>
            </w:tcMar>
          </w:tcPr>
          <w:p>
            <w:pPr>
              <w:spacing w:after="0"/>
            </w:pPr>
            <w:r/>
            <w:r>
              <w:rPr>
                <w:rFonts w:ascii="Jost" w:hAnsi="Jost"/>
                <w:b w:val="0"/>
                <w:color w:val="2B2A28"/>
                <w:sz w:val="16"/>
              </w:rPr>
              <w:t>Serviceability</w:t>
            </w:r>
          </w:p>
        </w:tc>
        <w:tc>
          <w:tcPr>
            <w:tcW w:type="dxa" w:w="936"/>
            <w:vAlign w:val="center"/>
            <w:tcMar>
              <w:top w:w="100" w:type="dxa"/>
              <w:start w:w="120" w:type="dxa"/>
              <w:bottom w:w="100" w:type="dxa"/>
              <w:end w:w="120" w:type="dxa"/>
            </w:tcMar>
          </w:tcPr>
          <w:p>
            <w:pPr>
              <w:spacing w:after="0"/>
            </w:pPr>
            <w:r/>
            <w:r>
              <w:rPr>
                <w:rFonts w:ascii="Jost" w:hAnsi="Jost"/>
                <w:b w:val="0"/>
                <w:color w:val="2B2A28"/>
                <w:sz w:val="16"/>
              </w:rPr>
              <w:t>10%</w:t>
            </w:r>
          </w:p>
        </w:tc>
        <w:tc>
          <w:tcPr>
            <w:tcW w:type="dxa" w:w="5544"/>
            <w:vAlign w:val="center"/>
            <w:tcMar>
              <w:top w:w="100" w:type="dxa"/>
              <w:start w:w="120" w:type="dxa"/>
              <w:bottom w:w="100" w:type="dxa"/>
              <w:end w:w="120" w:type="dxa"/>
            </w:tcMar>
          </w:tcPr>
          <w:p>
            <w:pPr>
              <w:spacing w:after="0"/>
            </w:pPr>
            <w:r/>
            <w:r>
              <w:rPr>
                <w:rFonts w:ascii="Jost" w:hAnsi="Jost"/>
                <w:b w:val="0"/>
                <w:color w:val="2B2A28"/>
                <w:sz w:val="16"/>
              </w:rPr>
              <w:t>Can Betsy/Salt Basin credibly deliver a diagnostic, operating design, value registry, AI validation or Q2R intervention?</w:t>
            </w:r>
          </w:p>
        </w:tc>
      </w:tr>
    </w:tbl>
    <w:p>
      <w:pPr>
        <w:spacing w:after="0"/>
      </w:pPr>
    </w:p>
    <w:p>
      <w:r>
        <w:t>Commercial Priority Score = weighted sum × 20, producing 0–100. Apply confidence separately; do not hide weak evidence inside the priority score.</w:t>
      </w:r>
    </w:p>
    <w:tbl>
      <w:tblPr>
        <w:tblStyle w:val="TableGrid"/>
        <w:tblW w:type="dxa" w:w="9360"/>
        <w:jc w:val="center"/>
        <w:tblLayout w:type="fixed"/>
        <w:tblLook w:firstColumn="1" w:firstRow="1" w:lastColumn="0" w:lastRow="0" w:noHBand="0" w:noVBand="1" w:val="04A0"/>
      </w:tblPr>
      <w:tblGrid>
        <w:gridCol w:w="2015"/>
        <w:gridCol w:w="1440"/>
        <w:gridCol w:w="5903"/>
      </w:tblGrid>
      <w:tr>
        <w:trPr>
          <w:tblHeader w:val="true"/>
        </w:trPr>
        <w:tc>
          <w:tcPr>
            <w:tcW w:type="dxa" w:w="2016"/>
            <w:shd w:fill="345A68"/>
            <w:vAlign w:val="center"/>
            <w:tcMar>
              <w:top w:w="100" w:type="dxa"/>
              <w:start w:w="120" w:type="dxa"/>
              <w:bottom w:w="100" w:type="dxa"/>
              <w:end w:w="120" w:type="dxa"/>
            </w:tcMar>
          </w:tcPr>
          <w:p>
            <w:pPr>
              <w:spacing w:after="0"/>
            </w:pPr>
            <w:r/>
            <w:r>
              <w:rPr>
                <w:rFonts w:ascii="Jost" w:hAnsi="Jost"/>
                <w:b/>
                <w:color w:val="FFFFFF"/>
                <w:sz w:val="16"/>
              </w:rPr>
              <w:t>Tier</w:t>
            </w:r>
          </w:p>
        </w:tc>
        <w:tc>
          <w:tcPr>
            <w:tcW w:type="dxa" w:w="1440"/>
            <w:shd w:fill="345A68"/>
            <w:vAlign w:val="center"/>
            <w:tcMar>
              <w:top w:w="100" w:type="dxa"/>
              <w:start w:w="120" w:type="dxa"/>
              <w:bottom w:w="100" w:type="dxa"/>
              <w:end w:w="120" w:type="dxa"/>
            </w:tcMar>
          </w:tcPr>
          <w:p>
            <w:pPr>
              <w:spacing w:after="0"/>
            </w:pPr>
            <w:r/>
            <w:r>
              <w:rPr>
                <w:rFonts w:ascii="Jost" w:hAnsi="Jost"/>
                <w:b/>
                <w:color w:val="FFFFFF"/>
                <w:sz w:val="16"/>
              </w:rPr>
              <w:t>Score</w:t>
            </w:r>
          </w:p>
        </w:tc>
        <w:tc>
          <w:tcPr>
            <w:tcW w:type="dxa" w:w="5904"/>
            <w:shd w:fill="345A68"/>
            <w:vAlign w:val="center"/>
            <w:tcMar>
              <w:top w:w="100" w:type="dxa"/>
              <w:start w:w="120" w:type="dxa"/>
              <w:bottom w:w="100" w:type="dxa"/>
              <w:end w:w="120" w:type="dxa"/>
            </w:tcMar>
          </w:tcPr>
          <w:p>
            <w:pPr>
              <w:spacing w:after="0"/>
            </w:pPr>
            <w:r/>
            <w:r>
              <w:rPr>
                <w:rFonts w:ascii="Jost" w:hAnsi="Jost"/>
                <w:b/>
                <w:color w:val="FFFFFF"/>
                <w:sz w:val="16"/>
              </w:rPr>
              <w:t>Action</w:t>
            </w:r>
          </w:p>
        </w:tc>
      </w:tr>
      <w:tr>
        <w:tc>
          <w:tcPr>
            <w:tcW w:type="dxa" w:w="2015"/>
            <w:vAlign w:val="center"/>
            <w:tcMar>
              <w:top w:w="100" w:type="dxa"/>
              <w:start w:w="120" w:type="dxa"/>
              <w:bottom w:w="100" w:type="dxa"/>
              <w:end w:w="120" w:type="dxa"/>
            </w:tcMar>
          </w:tcPr>
          <w:p>
            <w:pPr>
              <w:spacing w:after="0"/>
            </w:pPr>
            <w:r/>
            <w:r>
              <w:rPr>
                <w:rFonts w:ascii="Jost" w:hAnsi="Jost"/>
                <w:b w:val="0"/>
                <w:color w:val="2B2A28"/>
                <w:sz w:val="16"/>
              </w:rPr>
              <w:t>A — Act now</w:t>
            </w:r>
          </w:p>
        </w:tc>
        <w:tc>
          <w:tcPr>
            <w:tcW w:type="dxa" w:w="1440"/>
            <w:vAlign w:val="center"/>
            <w:tcMar>
              <w:top w:w="100" w:type="dxa"/>
              <w:start w:w="120" w:type="dxa"/>
              <w:bottom w:w="100" w:type="dxa"/>
              <w:end w:w="120" w:type="dxa"/>
            </w:tcMar>
          </w:tcPr>
          <w:p>
            <w:pPr>
              <w:spacing w:after="0"/>
            </w:pPr>
            <w:r/>
            <w:r>
              <w:rPr>
                <w:rFonts w:ascii="Jost" w:hAnsi="Jost"/>
                <w:b w:val="0"/>
                <w:color w:val="2B2A28"/>
                <w:sz w:val="16"/>
              </w:rPr>
              <w:t>80–100</w:t>
            </w:r>
          </w:p>
        </w:tc>
        <w:tc>
          <w:tcPr>
            <w:tcW w:type="dxa" w:w="5903"/>
            <w:vAlign w:val="center"/>
            <w:tcMar>
              <w:top w:w="100" w:type="dxa"/>
              <w:start w:w="120" w:type="dxa"/>
              <w:bottom w:w="100" w:type="dxa"/>
              <w:end w:w="120" w:type="dxa"/>
            </w:tcMar>
          </w:tcPr>
          <w:p>
            <w:pPr>
              <w:spacing w:after="0"/>
            </w:pPr>
            <w:r/>
            <w:r>
              <w:rPr>
                <w:rFonts w:ascii="Jost" w:hAnsi="Jost"/>
                <w:b w:val="0"/>
                <w:color w:val="2B2A28"/>
                <w:sz w:val="16"/>
              </w:rPr>
              <w:t>Prepare account brief and first-contact draft this week.</w:t>
            </w:r>
          </w:p>
        </w:tc>
      </w:tr>
      <w:tr>
        <w:tc>
          <w:tcPr>
            <w:tcW w:type="dxa" w:w="2015"/>
            <w:shd w:fill="F1EBDD"/>
            <w:vAlign w:val="center"/>
            <w:tcMar>
              <w:top w:w="100" w:type="dxa"/>
              <w:start w:w="120" w:type="dxa"/>
              <w:bottom w:w="100" w:type="dxa"/>
              <w:end w:w="120" w:type="dxa"/>
            </w:tcMar>
          </w:tcPr>
          <w:p>
            <w:pPr>
              <w:spacing w:after="0"/>
            </w:pPr>
            <w:r/>
            <w:r>
              <w:rPr>
                <w:rFonts w:ascii="Jost" w:hAnsi="Jost"/>
                <w:b w:val="0"/>
                <w:color w:val="2B2A28"/>
                <w:sz w:val="16"/>
              </w:rPr>
              <w:t>B — Develop</w:t>
            </w:r>
          </w:p>
        </w:tc>
        <w:tc>
          <w:tcPr>
            <w:tcW w:type="dxa" w:w="1440"/>
            <w:shd w:fill="F1EBDD"/>
            <w:vAlign w:val="center"/>
            <w:tcMar>
              <w:top w:w="100" w:type="dxa"/>
              <w:start w:w="120" w:type="dxa"/>
              <w:bottom w:w="100" w:type="dxa"/>
              <w:end w:w="120" w:type="dxa"/>
            </w:tcMar>
          </w:tcPr>
          <w:p>
            <w:pPr>
              <w:spacing w:after="0"/>
            </w:pPr>
            <w:r/>
            <w:r>
              <w:rPr>
                <w:rFonts w:ascii="Jost" w:hAnsi="Jost"/>
                <w:b w:val="0"/>
                <w:color w:val="2B2A28"/>
                <w:sz w:val="16"/>
              </w:rPr>
              <w:t>65–79</w:t>
            </w:r>
          </w:p>
        </w:tc>
        <w:tc>
          <w:tcPr>
            <w:tcW w:type="dxa" w:w="5903"/>
            <w:shd w:fill="F1EBDD"/>
            <w:vAlign w:val="center"/>
            <w:tcMar>
              <w:top w:w="100" w:type="dxa"/>
              <w:start w:w="120" w:type="dxa"/>
              <w:bottom w:w="100" w:type="dxa"/>
              <w:end w:w="120" w:type="dxa"/>
            </w:tcMar>
          </w:tcPr>
          <w:p>
            <w:pPr>
              <w:spacing w:after="0"/>
            </w:pPr>
            <w:r/>
            <w:r>
              <w:rPr>
                <w:rFonts w:ascii="Jost" w:hAnsi="Jost"/>
                <w:b w:val="0"/>
                <w:color w:val="2B2A28"/>
                <w:sz w:val="16"/>
              </w:rPr>
              <w:t>Identify contacts, strengthen evidence and draft an outreach angle.</w:t>
            </w:r>
          </w:p>
        </w:tc>
      </w:tr>
      <w:tr>
        <w:tc>
          <w:tcPr>
            <w:tcW w:type="dxa" w:w="2015"/>
            <w:vAlign w:val="center"/>
            <w:tcMar>
              <w:top w:w="100" w:type="dxa"/>
              <w:start w:w="120" w:type="dxa"/>
              <w:bottom w:w="100" w:type="dxa"/>
              <w:end w:w="120" w:type="dxa"/>
            </w:tcMar>
          </w:tcPr>
          <w:p>
            <w:pPr>
              <w:spacing w:after="0"/>
            </w:pPr>
            <w:r/>
            <w:r>
              <w:rPr>
                <w:rFonts w:ascii="Jost" w:hAnsi="Jost"/>
                <w:b w:val="0"/>
                <w:color w:val="2B2A28"/>
                <w:sz w:val="16"/>
              </w:rPr>
              <w:t>C — Monitor</w:t>
            </w:r>
          </w:p>
        </w:tc>
        <w:tc>
          <w:tcPr>
            <w:tcW w:type="dxa" w:w="1440"/>
            <w:vAlign w:val="center"/>
            <w:tcMar>
              <w:top w:w="100" w:type="dxa"/>
              <w:start w:w="120" w:type="dxa"/>
              <w:bottom w:w="100" w:type="dxa"/>
              <w:end w:w="120" w:type="dxa"/>
            </w:tcMar>
          </w:tcPr>
          <w:p>
            <w:pPr>
              <w:spacing w:after="0"/>
            </w:pPr>
            <w:r/>
            <w:r>
              <w:rPr>
                <w:rFonts w:ascii="Jost" w:hAnsi="Jost"/>
                <w:b w:val="0"/>
                <w:color w:val="2B2A28"/>
                <w:sz w:val="16"/>
              </w:rPr>
              <w:t>50–64</w:t>
            </w:r>
          </w:p>
        </w:tc>
        <w:tc>
          <w:tcPr>
            <w:tcW w:type="dxa" w:w="5903"/>
            <w:vAlign w:val="center"/>
            <w:tcMar>
              <w:top w:w="100" w:type="dxa"/>
              <w:start w:w="120" w:type="dxa"/>
              <w:bottom w:w="100" w:type="dxa"/>
              <w:end w:w="120" w:type="dxa"/>
            </w:tcMar>
          </w:tcPr>
          <w:p>
            <w:pPr>
              <w:spacing w:after="0"/>
            </w:pPr>
            <w:r/>
            <w:r>
              <w:rPr>
                <w:rFonts w:ascii="Jost" w:hAnsi="Jost"/>
                <w:b w:val="0"/>
                <w:color w:val="2B2A28"/>
                <w:sz w:val="16"/>
              </w:rPr>
              <w:t>Track next catalyst; no forced outreach.</w:t>
            </w:r>
          </w:p>
        </w:tc>
      </w:tr>
      <w:tr>
        <w:tc>
          <w:tcPr>
            <w:tcW w:type="dxa" w:w="2015"/>
            <w:shd w:fill="F1EBDD"/>
            <w:vAlign w:val="center"/>
            <w:tcMar>
              <w:top w:w="100" w:type="dxa"/>
              <w:start w:w="120" w:type="dxa"/>
              <w:bottom w:w="100" w:type="dxa"/>
              <w:end w:w="120" w:type="dxa"/>
            </w:tcMar>
          </w:tcPr>
          <w:p>
            <w:pPr>
              <w:spacing w:after="0"/>
            </w:pPr>
            <w:r/>
            <w:r>
              <w:rPr>
                <w:rFonts w:ascii="Jost" w:hAnsi="Jost"/>
                <w:b w:val="0"/>
                <w:color w:val="2B2A28"/>
                <w:sz w:val="16"/>
              </w:rPr>
              <w:t>D — Archive/weak</w:t>
            </w:r>
          </w:p>
        </w:tc>
        <w:tc>
          <w:tcPr>
            <w:tcW w:type="dxa" w:w="1440"/>
            <w:shd w:fill="F1EBDD"/>
            <w:vAlign w:val="center"/>
            <w:tcMar>
              <w:top w:w="100" w:type="dxa"/>
              <w:start w:w="120" w:type="dxa"/>
              <w:bottom w:w="100" w:type="dxa"/>
              <w:end w:w="120" w:type="dxa"/>
            </w:tcMar>
          </w:tcPr>
          <w:p>
            <w:pPr>
              <w:spacing w:after="0"/>
            </w:pPr>
            <w:r/>
            <w:r>
              <w:rPr>
                <w:rFonts w:ascii="Jost" w:hAnsi="Jost"/>
                <w:b w:val="0"/>
                <w:color w:val="2B2A28"/>
                <w:sz w:val="16"/>
              </w:rPr>
              <w:t>Below 50</w:t>
            </w:r>
          </w:p>
        </w:tc>
        <w:tc>
          <w:tcPr>
            <w:tcW w:type="dxa" w:w="5903"/>
            <w:shd w:fill="F1EBDD"/>
            <w:vAlign w:val="center"/>
            <w:tcMar>
              <w:top w:w="100" w:type="dxa"/>
              <w:start w:w="120" w:type="dxa"/>
              <w:bottom w:w="100" w:type="dxa"/>
              <w:end w:w="120" w:type="dxa"/>
            </w:tcMar>
          </w:tcPr>
          <w:p>
            <w:pPr>
              <w:spacing w:after="0"/>
            </w:pPr>
            <w:r/>
            <w:r>
              <w:rPr>
                <w:rFonts w:ascii="Jost" w:hAnsi="Jost"/>
                <w:b w:val="0"/>
                <w:color w:val="2B2A28"/>
                <w:sz w:val="16"/>
              </w:rPr>
              <w:t>Retain history; reactivate only on new evidence.</w:t>
            </w:r>
          </w:p>
        </w:tc>
      </w:tr>
    </w:tbl>
    <w:p>
      <w:pPr>
        <w:spacing w:after="0"/>
      </w:pPr>
    </w:p>
    <w:p>
      <w:pPr>
        <w:pStyle w:val="Title"/>
      </w:pPr>
      <w:r>
        <w:t>7. Career match scoring and verification</w:t>
      </w:r>
    </w:p>
    <w:tbl>
      <w:tblPr>
        <w:tblStyle w:val="TableGrid"/>
        <w:tblW w:type="dxa" w:w="9360"/>
        <w:jc w:val="center"/>
        <w:tblLayout w:type="fixed"/>
        <w:tblLook w:firstColumn="1" w:firstRow="1" w:lastColumn="0" w:lastRow="0" w:noHBand="0" w:noVBand="1" w:val="04A0"/>
      </w:tblPr>
      <w:tblGrid>
        <w:gridCol w:w="3168"/>
        <w:gridCol w:w="936"/>
        <w:gridCol w:w="5256"/>
      </w:tblGrid>
      <w:tr>
        <w:trPr>
          <w:tblHeader w:val="true"/>
        </w:trPr>
        <w:tc>
          <w:tcPr>
            <w:tcW w:type="dxa" w:w="3168"/>
            <w:shd w:fill="345A68"/>
            <w:vAlign w:val="center"/>
            <w:tcMar>
              <w:top w:w="100" w:type="dxa"/>
              <w:start w:w="120" w:type="dxa"/>
              <w:bottom w:w="100" w:type="dxa"/>
              <w:end w:w="120" w:type="dxa"/>
            </w:tcMar>
          </w:tcPr>
          <w:p>
            <w:pPr>
              <w:spacing w:after="0"/>
            </w:pPr>
            <w:r/>
            <w:r>
              <w:rPr>
                <w:rFonts w:ascii="Jost" w:hAnsi="Jost"/>
                <w:b/>
                <w:color w:val="FFFFFF"/>
                <w:sz w:val="16"/>
              </w:rPr>
              <w:t>Dimension</w:t>
            </w:r>
          </w:p>
        </w:tc>
        <w:tc>
          <w:tcPr>
            <w:tcW w:type="dxa" w:w="936"/>
            <w:shd w:fill="345A68"/>
            <w:vAlign w:val="center"/>
            <w:tcMar>
              <w:top w:w="100" w:type="dxa"/>
              <w:start w:w="120" w:type="dxa"/>
              <w:bottom w:w="100" w:type="dxa"/>
              <w:end w:w="120" w:type="dxa"/>
            </w:tcMar>
          </w:tcPr>
          <w:p>
            <w:pPr>
              <w:spacing w:after="0"/>
            </w:pPr>
            <w:r/>
            <w:r>
              <w:rPr>
                <w:rFonts w:ascii="Jost" w:hAnsi="Jost"/>
                <w:b/>
                <w:color w:val="FFFFFF"/>
                <w:sz w:val="16"/>
              </w:rPr>
              <w:t>Weight</w:t>
            </w:r>
          </w:p>
        </w:tc>
        <w:tc>
          <w:tcPr>
            <w:tcW w:type="dxa" w:w="5256"/>
            <w:shd w:fill="345A68"/>
            <w:vAlign w:val="center"/>
            <w:tcMar>
              <w:top w:w="100" w:type="dxa"/>
              <w:start w:w="120" w:type="dxa"/>
              <w:bottom w:w="100" w:type="dxa"/>
              <w:end w:w="120" w:type="dxa"/>
            </w:tcMar>
          </w:tcPr>
          <w:p>
            <w:pPr>
              <w:spacing w:after="0"/>
            </w:pPr>
            <w:r/>
            <w:r>
              <w:rPr>
                <w:rFonts w:ascii="Jost" w:hAnsi="Jost"/>
                <w:b/>
                <w:color w:val="FFFFFF"/>
                <w:sz w:val="16"/>
              </w:rPr>
              <w:t>Interpretation</w:t>
            </w:r>
          </w:p>
        </w:tc>
      </w:tr>
      <w:tr>
        <w:tc>
          <w:tcPr>
            <w:tcW w:type="dxa" w:w="3168"/>
            <w:vAlign w:val="center"/>
            <w:tcMar>
              <w:top w:w="100" w:type="dxa"/>
              <w:start w:w="120" w:type="dxa"/>
              <w:bottom w:w="100" w:type="dxa"/>
              <w:end w:w="120" w:type="dxa"/>
            </w:tcMar>
          </w:tcPr>
          <w:p>
            <w:pPr>
              <w:spacing w:after="0"/>
            </w:pPr>
            <w:r/>
            <w:r>
              <w:rPr>
                <w:rFonts w:ascii="Jost" w:hAnsi="Jost"/>
                <w:b w:val="0"/>
                <w:color w:val="2B2A28"/>
                <w:sz w:val="16"/>
              </w:rPr>
              <w:t>Role scope and altitude</w:t>
            </w:r>
          </w:p>
        </w:tc>
        <w:tc>
          <w:tcPr>
            <w:tcW w:type="dxa" w:w="936"/>
            <w:vAlign w:val="center"/>
            <w:tcMar>
              <w:top w:w="100" w:type="dxa"/>
              <w:start w:w="120" w:type="dxa"/>
              <w:bottom w:w="100" w:type="dxa"/>
              <w:end w:w="120" w:type="dxa"/>
            </w:tcMar>
          </w:tcPr>
          <w:p>
            <w:pPr>
              <w:spacing w:after="0"/>
            </w:pPr>
            <w:r/>
            <w:r>
              <w:rPr>
                <w:rFonts w:ascii="Jost" w:hAnsi="Jost"/>
                <w:b w:val="0"/>
                <w:color w:val="2B2A28"/>
                <w:sz w:val="16"/>
              </w:rPr>
              <w:t>15%</w:t>
            </w:r>
          </w:p>
        </w:tc>
        <w:tc>
          <w:tcPr>
            <w:tcW w:type="dxa" w:w="5256"/>
            <w:vAlign w:val="center"/>
            <w:tcMar>
              <w:top w:w="100" w:type="dxa"/>
              <w:start w:w="120" w:type="dxa"/>
              <w:bottom w:w="100" w:type="dxa"/>
              <w:end w:w="120" w:type="dxa"/>
            </w:tcMar>
          </w:tcPr>
          <w:p>
            <w:pPr>
              <w:spacing w:after="0"/>
            </w:pPr>
            <w:r/>
            <w:r>
              <w:rPr>
                <w:rFonts w:ascii="Jost" w:hAnsi="Jost"/>
                <w:b w:val="0"/>
                <w:color w:val="2B2A28"/>
                <w:sz w:val="16"/>
              </w:rPr>
              <w:t>COO/portfolio operator/C-suite partner/director or VP strategic operations scope; reward real decision ownership, not title alone.</w:t>
            </w:r>
          </w:p>
        </w:tc>
      </w:tr>
      <w:tr>
        <w:tc>
          <w:tcPr>
            <w:tcW w:type="dxa" w:w="3168"/>
            <w:shd w:fill="F1EBDD"/>
            <w:vAlign w:val="center"/>
            <w:tcMar>
              <w:top w:w="100" w:type="dxa"/>
              <w:start w:w="120" w:type="dxa"/>
              <w:bottom w:w="100" w:type="dxa"/>
              <w:end w:w="120" w:type="dxa"/>
            </w:tcMar>
          </w:tcPr>
          <w:p>
            <w:pPr>
              <w:spacing w:after="0"/>
            </w:pPr>
            <w:r/>
            <w:r>
              <w:rPr>
                <w:rFonts w:ascii="Jost" w:hAnsi="Jost"/>
                <w:b w:val="0"/>
                <w:color w:val="2B2A28"/>
                <w:sz w:val="16"/>
              </w:rPr>
              <w:t>Strategic operations and transformation</w:t>
            </w:r>
          </w:p>
        </w:tc>
        <w:tc>
          <w:tcPr>
            <w:tcW w:type="dxa" w:w="936"/>
            <w:shd w:fill="F1EBDD"/>
            <w:vAlign w:val="center"/>
            <w:tcMar>
              <w:top w:w="100" w:type="dxa"/>
              <w:start w:w="120" w:type="dxa"/>
              <w:bottom w:w="100" w:type="dxa"/>
              <w:end w:w="120" w:type="dxa"/>
            </w:tcMar>
          </w:tcPr>
          <w:p>
            <w:pPr>
              <w:spacing w:after="0"/>
            </w:pPr>
            <w:r/>
            <w:r>
              <w:rPr>
                <w:rFonts w:ascii="Jost" w:hAnsi="Jost"/>
                <w:b w:val="0"/>
                <w:color w:val="2B2A28"/>
                <w:sz w:val="16"/>
              </w:rPr>
              <w:t>15%</w:t>
            </w:r>
          </w:p>
        </w:tc>
        <w:tc>
          <w:tcPr>
            <w:tcW w:type="dxa" w:w="5256"/>
            <w:shd w:fill="F1EBDD"/>
            <w:vAlign w:val="center"/>
            <w:tcMar>
              <w:top w:w="100" w:type="dxa"/>
              <w:start w:w="120" w:type="dxa"/>
              <w:bottom w:w="100" w:type="dxa"/>
              <w:end w:w="120" w:type="dxa"/>
            </w:tcMar>
          </w:tcPr>
          <w:p>
            <w:pPr>
              <w:spacing w:after="0"/>
            </w:pPr>
            <w:r/>
            <w:r>
              <w:rPr>
                <w:rFonts w:ascii="Jost" w:hAnsi="Jost"/>
                <w:b w:val="0"/>
                <w:color w:val="2B2A28"/>
                <w:sz w:val="16"/>
              </w:rPr>
              <w:t>Operating model, enterprise transformation, cross-functional governance and executive partnership.</w:t>
            </w:r>
          </w:p>
        </w:tc>
      </w:tr>
      <w:tr>
        <w:tc>
          <w:tcPr>
            <w:tcW w:type="dxa" w:w="3168"/>
            <w:vAlign w:val="center"/>
            <w:tcMar>
              <w:top w:w="100" w:type="dxa"/>
              <w:start w:w="120" w:type="dxa"/>
              <w:bottom w:w="100" w:type="dxa"/>
              <w:end w:w="120" w:type="dxa"/>
            </w:tcMar>
          </w:tcPr>
          <w:p>
            <w:pPr>
              <w:spacing w:after="0"/>
            </w:pPr>
            <w:r/>
            <w:r>
              <w:rPr>
                <w:rFonts w:ascii="Jost" w:hAnsi="Jost"/>
                <w:b w:val="0"/>
                <w:color w:val="2B2A28"/>
                <w:sz w:val="16"/>
              </w:rPr>
              <w:t>Revenue systems / Q2R / monetization</w:t>
            </w:r>
          </w:p>
        </w:tc>
        <w:tc>
          <w:tcPr>
            <w:tcW w:type="dxa" w:w="936"/>
            <w:vAlign w:val="center"/>
            <w:tcMar>
              <w:top w:w="100" w:type="dxa"/>
              <w:start w:w="120" w:type="dxa"/>
              <w:bottom w:w="100" w:type="dxa"/>
              <w:end w:w="120" w:type="dxa"/>
            </w:tcMar>
          </w:tcPr>
          <w:p>
            <w:pPr>
              <w:spacing w:after="0"/>
            </w:pPr>
            <w:r/>
            <w:r>
              <w:rPr>
                <w:rFonts w:ascii="Jost" w:hAnsi="Jost"/>
                <w:b w:val="0"/>
                <w:color w:val="2B2A28"/>
                <w:sz w:val="16"/>
              </w:rPr>
              <w:t>15%</w:t>
            </w:r>
          </w:p>
        </w:tc>
        <w:tc>
          <w:tcPr>
            <w:tcW w:type="dxa" w:w="5256"/>
            <w:vAlign w:val="center"/>
            <w:tcMar>
              <w:top w:w="100" w:type="dxa"/>
              <w:start w:w="120" w:type="dxa"/>
              <w:bottom w:w="100" w:type="dxa"/>
              <w:end w:w="120" w:type="dxa"/>
            </w:tcMar>
          </w:tcPr>
          <w:p>
            <w:pPr>
              <w:spacing w:after="0"/>
            </w:pPr>
            <w:r/>
            <w:r>
              <w:rPr>
                <w:rFonts w:ascii="Jost" w:hAnsi="Jost"/>
                <w:b w:val="0"/>
                <w:color w:val="2B2A28"/>
                <w:sz w:val="16"/>
              </w:rPr>
              <w:t>CPQ, CLM, billing, RevOps, pricing, GTM systems, revenue architecture and monetization.</w:t>
            </w:r>
          </w:p>
        </w:tc>
      </w:tr>
      <w:tr>
        <w:tc>
          <w:tcPr>
            <w:tcW w:type="dxa" w:w="3168"/>
            <w:shd w:fill="F1EBDD"/>
            <w:vAlign w:val="center"/>
            <w:tcMar>
              <w:top w:w="100" w:type="dxa"/>
              <w:start w:w="120" w:type="dxa"/>
              <w:bottom w:w="100" w:type="dxa"/>
              <w:end w:w="120" w:type="dxa"/>
            </w:tcMar>
          </w:tcPr>
          <w:p>
            <w:pPr>
              <w:spacing w:after="0"/>
            </w:pPr>
            <w:r/>
            <w:r>
              <w:rPr>
                <w:rFonts w:ascii="Jost" w:hAnsi="Jost"/>
                <w:b w:val="0"/>
                <w:color w:val="2B2A28"/>
                <w:sz w:val="16"/>
              </w:rPr>
              <w:t>AI validation and data intelligence</w:t>
            </w:r>
          </w:p>
        </w:tc>
        <w:tc>
          <w:tcPr>
            <w:tcW w:type="dxa" w:w="936"/>
            <w:shd w:fill="F1EBDD"/>
            <w:vAlign w:val="center"/>
            <w:tcMar>
              <w:top w:w="100" w:type="dxa"/>
              <w:start w:w="120" w:type="dxa"/>
              <w:bottom w:w="100" w:type="dxa"/>
              <w:end w:w="120" w:type="dxa"/>
            </w:tcMar>
          </w:tcPr>
          <w:p>
            <w:pPr>
              <w:spacing w:after="0"/>
            </w:pPr>
            <w:r/>
            <w:r>
              <w:rPr>
                <w:rFonts w:ascii="Jost" w:hAnsi="Jost"/>
                <w:b w:val="0"/>
                <w:color w:val="2B2A28"/>
                <w:sz w:val="16"/>
              </w:rPr>
              <w:t>15%</w:t>
            </w:r>
          </w:p>
        </w:tc>
        <w:tc>
          <w:tcPr>
            <w:tcW w:type="dxa" w:w="5256"/>
            <w:shd w:fill="F1EBDD"/>
            <w:vAlign w:val="center"/>
            <w:tcMar>
              <w:top w:w="100" w:type="dxa"/>
              <w:start w:w="120" w:type="dxa"/>
              <w:bottom w:w="100" w:type="dxa"/>
              <w:end w:w="120" w:type="dxa"/>
            </w:tcMar>
          </w:tcPr>
          <w:p>
            <w:pPr>
              <w:spacing w:after="0"/>
            </w:pPr>
            <w:r/>
            <w:r>
              <w:rPr>
                <w:rFonts w:ascii="Jost" w:hAnsi="Jost"/>
                <w:b w:val="0"/>
                <w:color w:val="2B2A28"/>
                <w:sz w:val="16"/>
              </w:rPr>
              <w:t>AI workflow validation, evidence, data governance, model benefit realization and explainability.</w:t>
            </w:r>
          </w:p>
        </w:tc>
      </w:tr>
      <w:tr>
        <w:tc>
          <w:tcPr>
            <w:tcW w:type="dxa" w:w="3168"/>
            <w:vAlign w:val="center"/>
            <w:tcMar>
              <w:top w:w="100" w:type="dxa"/>
              <w:start w:w="120" w:type="dxa"/>
              <w:bottom w:w="100" w:type="dxa"/>
              <w:end w:w="120" w:type="dxa"/>
            </w:tcMar>
          </w:tcPr>
          <w:p>
            <w:pPr>
              <w:spacing w:after="0"/>
            </w:pPr>
            <w:r/>
            <w:r>
              <w:rPr>
                <w:rFonts w:ascii="Jost" w:hAnsi="Jost"/>
                <w:b w:val="0"/>
                <w:color w:val="2B2A28"/>
                <w:sz w:val="16"/>
              </w:rPr>
              <w:t>PE / value creation / finance relevance</w:t>
            </w:r>
          </w:p>
        </w:tc>
        <w:tc>
          <w:tcPr>
            <w:tcW w:type="dxa" w:w="936"/>
            <w:vAlign w:val="center"/>
            <w:tcMar>
              <w:top w:w="100" w:type="dxa"/>
              <w:start w:w="120" w:type="dxa"/>
              <w:bottom w:w="100" w:type="dxa"/>
              <w:end w:w="120" w:type="dxa"/>
            </w:tcMar>
          </w:tcPr>
          <w:p>
            <w:pPr>
              <w:spacing w:after="0"/>
            </w:pPr>
            <w:r/>
            <w:r>
              <w:rPr>
                <w:rFonts w:ascii="Jost" w:hAnsi="Jost"/>
                <w:b w:val="0"/>
                <w:color w:val="2B2A28"/>
                <w:sz w:val="16"/>
              </w:rPr>
              <w:t>15%</w:t>
            </w:r>
          </w:p>
        </w:tc>
        <w:tc>
          <w:tcPr>
            <w:tcW w:type="dxa" w:w="5256"/>
            <w:vAlign w:val="center"/>
            <w:tcMar>
              <w:top w:w="100" w:type="dxa"/>
              <w:start w:w="120" w:type="dxa"/>
              <w:bottom w:w="100" w:type="dxa"/>
              <w:end w:w="120" w:type="dxa"/>
            </w:tcMar>
          </w:tcPr>
          <w:p>
            <w:pPr>
              <w:spacing w:after="0"/>
            </w:pPr>
            <w:r/>
            <w:r>
              <w:rPr>
                <w:rFonts w:ascii="Jost" w:hAnsi="Jost"/>
                <w:b w:val="0"/>
                <w:color w:val="2B2A28"/>
                <w:sz w:val="16"/>
              </w:rPr>
              <w:t>Portfolio operations, office of CFO, underwriting, EBITDA, cash, valuation, diligence or exit readiness.</w:t>
            </w:r>
          </w:p>
        </w:tc>
      </w:tr>
      <w:tr>
        <w:tc>
          <w:tcPr>
            <w:tcW w:type="dxa" w:w="3168"/>
            <w:shd w:fill="F1EBDD"/>
            <w:vAlign w:val="center"/>
            <w:tcMar>
              <w:top w:w="100" w:type="dxa"/>
              <w:start w:w="120" w:type="dxa"/>
              <w:bottom w:w="100" w:type="dxa"/>
              <w:end w:w="120" w:type="dxa"/>
            </w:tcMar>
          </w:tcPr>
          <w:p>
            <w:pPr>
              <w:spacing w:after="0"/>
            </w:pPr>
            <w:r/>
            <w:r>
              <w:rPr>
                <w:rFonts w:ascii="Jost" w:hAnsi="Jost"/>
                <w:b w:val="0"/>
                <w:color w:val="2B2A28"/>
                <w:sz w:val="16"/>
              </w:rPr>
              <w:t>Leadership and stakeholder fit</w:t>
            </w:r>
          </w:p>
        </w:tc>
        <w:tc>
          <w:tcPr>
            <w:tcW w:type="dxa" w:w="936"/>
            <w:shd w:fill="F1EBDD"/>
            <w:vAlign w:val="center"/>
            <w:tcMar>
              <w:top w:w="100" w:type="dxa"/>
              <w:start w:w="120" w:type="dxa"/>
              <w:bottom w:w="100" w:type="dxa"/>
              <w:end w:w="120" w:type="dxa"/>
            </w:tcMar>
          </w:tcPr>
          <w:p>
            <w:pPr>
              <w:spacing w:after="0"/>
            </w:pPr>
            <w:r/>
            <w:r>
              <w:rPr>
                <w:rFonts w:ascii="Jost" w:hAnsi="Jost"/>
                <w:b w:val="0"/>
                <w:color w:val="2B2A28"/>
                <w:sz w:val="16"/>
              </w:rPr>
              <w:t>10%</w:t>
            </w:r>
          </w:p>
        </w:tc>
        <w:tc>
          <w:tcPr>
            <w:tcW w:type="dxa" w:w="5256"/>
            <w:shd w:fill="F1EBDD"/>
            <w:vAlign w:val="center"/>
            <w:tcMar>
              <w:top w:w="100" w:type="dxa"/>
              <w:start w:w="120" w:type="dxa"/>
              <w:bottom w:w="100" w:type="dxa"/>
              <w:end w:w="120" w:type="dxa"/>
            </w:tcMar>
          </w:tcPr>
          <w:p>
            <w:pPr>
              <w:spacing w:after="0"/>
            </w:pPr>
            <w:r/>
            <w:r>
              <w:rPr>
                <w:rFonts w:ascii="Jost" w:hAnsi="Jost"/>
                <w:b w:val="0"/>
                <w:color w:val="2B2A28"/>
                <w:sz w:val="16"/>
              </w:rPr>
              <w:t>C-suite partnership, team leadership, difficult stakeholders, consulting/operator credibility.</w:t>
            </w:r>
          </w:p>
        </w:tc>
      </w:tr>
      <w:tr>
        <w:tc>
          <w:tcPr>
            <w:tcW w:type="dxa" w:w="3168"/>
            <w:vAlign w:val="center"/>
            <w:tcMar>
              <w:top w:w="100" w:type="dxa"/>
              <w:start w:w="120" w:type="dxa"/>
              <w:bottom w:w="100" w:type="dxa"/>
              <w:end w:w="120" w:type="dxa"/>
            </w:tcMar>
          </w:tcPr>
          <w:p>
            <w:pPr>
              <w:spacing w:after="0"/>
            </w:pPr>
            <w:r/>
            <w:r>
              <w:rPr>
                <w:rFonts w:ascii="Jost" w:hAnsi="Jost"/>
                <w:b w:val="0"/>
                <w:color w:val="2B2A28"/>
                <w:sz w:val="16"/>
              </w:rPr>
              <w:t>Transferable industry fit</w:t>
            </w:r>
          </w:p>
        </w:tc>
        <w:tc>
          <w:tcPr>
            <w:tcW w:type="dxa" w:w="936"/>
            <w:vAlign w:val="center"/>
            <w:tcMar>
              <w:top w:w="100" w:type="dxa"/>
              <w:start w:w="120" w:type="dxa"/>
              <w:bottom w:w="100" w:type="dxa"/>
              <w:end w:w="120" w:type="dxa"/>
            </w:tcMar>
          </w:tcPr>
          <w:p>
            <w:pPr>
              <w:spacing w:after="0"/>
            </w:pPr>
            <w:r/>
            <w:r>
              <w:rPr>
                <w:rFonts w:ascii="Jost" w:hAnsi="Jost"/>
                <w:b w:val="0"/>
                <w:color w:val="2B2A28"/>
                <w:sz w:val="16"/>
              </w:rPr>
              <w:t>5%</w:t>
            </w:r>
          </w:p>
        </w:tc>
        <w:tc>
          <w:tcPr>
            <w:tcW w:type="dxa" w:w="5256"/>
            <w:vAlign w:val="center"/>
            <w:tcMar>
              <w:top w:w="100" w:type="dxa"/>
              <w:start w:w="120" w:type="dxa"/>
              <w:bottom w:w="100" w:type="dxa"/>
              <w:end w:w="120" w:type="dxa"/>
            </w:tcMar>
          </w:tcPr>
          <w:p>
            <w:pPr>
              <w:spacing w:after="0"/>
            </w:pPr>
            <w:r/>
            <w:r>
              <w:rPr>
                <w:rFonts w:ascii="Jost" w:hAnsi="Jost"/>
                <w:b w:val="0"/>
                <w:color w:val="2B2A28"/>
                <w:sz w:val="16"/>
              </w:rPr>
              <w:t>Enterprise software, SaaS, healthcare technology, PE, manufacturing, education or adjacent sectors.</w:t>
            </w:r>
          </w:p>
        </w:tc>
      </w:tr>
      <w:tr>
        <w:tc>
          <w:tcPr>
            <w:tcW w:type="dxa" w:w="3168"/>
            <w:shd w:fill="F1EBDD"/>
            <w:vAlign w:val="center"/>
            <w:tcMar>
              <w:top w:w="100" w:type="dxa"/>
              <w:start w:w="120" w:type="dxa"/>
              <w:bottom w:w="100" w:type="dxa"/>
              <w:end w:w="120" w:type="dxa"/>
            </w:tcMar>
          </w:tcPr>
          <w:p>
            <w:pPr>
              <w:spacing w:after="0"/>
            </w:pPr>
            <w:r/>
            <w:r>
              <w:rPr>
                <w:rFonts w:ascii="Jost" w:hAnsi="Jost"/>
                <w:b w:val="0"/>
                <w:color w:val="2B2A28"/>
                <w:sz w:val="16"/>
              </w:rPr>
              <w:t>Practical fit</w:t>
            </w:r>
          </w:p>
        </w:tc>
        <w:tc>
          <w:tcPr>
            <w:tcW w:type="dxa" w:w="936"/>
            <w:shd w:fill="F1EBDD"/>
            <w:vAlign w:val="center"/>
            <w:tcMar>
              <w:top w:w="100" w:type="dxa"/>
              <w:start w:w="120" w:type="dxa"/>
              <w:bottom w:w="100" w:type="dxa"/>
              <w:end w:w="120" w:type="dxa"/>
            </w:tcMar>
          </w:tcPr>
          <w:p>
            <w:pPr>
              <w:spacing w:after="0"/>
            </w:pPr>
            <w:r/>
            <w:r>
              <w:rPr>
                <w:rFonts w:ascii="Jost" w:hAnsi="Jost"/>
                <w:b w:val="0"/>
                <w:color w:val="2B2A28"/>
                <w:sz w:val="16"/>
              </w:rPr>
              <w:t>10%</w:t>
            </w:r>
          </w:p>
        </w:tc>
        <w:tc>
          <w:tcPr>
            <w:tcW w:type="dxa" w:w="5256"/>
            <w:shd w:fill="F1EBDD"/>
            <w:vAlign w:val="center"/>
            <w:tcMar>
              <w:top w:w="100" w:type="dxa"/>
              <w:start w:w="120" w:type="dxa"/>
              <w:bottom w:w="100" w:type="dxa"/>
              <w:end w:w="120" w:type="dxa"/>
            </w:tcMar>
          </w:tcPr>
          <w:p>
            <w:pPr>
              <w:spacing w:after="0"/>
            </w:pPr>
            <w:r/>
            <w:r>
              <w:rPr>
                <w:rFonts w:ascii="Jost" w:hAnsi="Jost"/>
                <w:b w:val="0"/>
                <w:color w:val="2B2A28"/>
                <w:sz w:val="16"/>
              </w:rPr>
              <w:t>Location/remote, compensation if disclosed, travel, employment type, seniority and application feasibility.</w:t>
            </w:r>
          </w:p>
        </w:tc>
      </w:tr>
    </w:tbl>
    <w:p>
      <w:pPr>
        <w:spacing w:after="0"/>
      </w:pPr>
    </w:p>
    <w:p>
      <w:r>
        <w:t>Career Match Score = weighted sum × 20. Also retain the established two-score view: Personal Fit (1–5) and Salt Basin Commercial Relevance (1–5). These answer different questions and must not be averaged without explanation.</w:t>
      </w:r>
    </w:p>
    <w:tbl>
      <w:tblPr>
        <w:tblW w:type="dxa" w:w="9360"/>
        <w:jc w:val="center"/>
        <w:tblLayout w:type="fixed"/>
        <w:tblLook w:firstColumn="1" w:firstRow="1" w:lastColumn="0" w:lastRow="0" w:noHBand="0" w:noVBand="1" w:val="04A0"/>
      </w:tblPr>
      <w:tblGrid>
        <w:gridCol w:w="9360"/>
      </w:tblGrid>
      <w:tr>
        <w:tc>
          <w:tcPr>
            <w:tcW w:type="dxa" w:w="9360"/>
            <w:shd w:fill="F1EBDD"/>
            <w:tcMar>
              <w:top w:w="160" w:type="dxa"/>
              <w:start w:w="180" w:type="dxa"/>
              <w:bottom w:w="160" w:type="dxa"/>
              <w:end w:w="180" w:type="dxa"/>
            </w:tcMar>
          </w:tcPr>
          <w:p>
            <w:pPr>
              <w:spacing w:after="60"/>
            </w:pPr>
            <w:r/>
            <w:r>
              <w:rPr>
                <w:rFonts w:ascii="Jost" w:hAnsi="Jost"/>
                <w:b/>
                <w:color w:val="B5433A"/>
                <w:sz w:val="18"/>
              </w:rPr>
              <w:t>VERIFICATION GATE</w:t>
            </w:r>
          </w:p>
          <w:p>
            <w:pPr>
              <w:spacing w:after="0"/>
            </w:pPr>
            <w:r>
              <w:rPr>
                <w:rFonts w:ascii="Jost" w:hAnsi="Jost"/>
                <w:color w:val="2B2A28"/>
                <w:sz w:val="20"/>
              </w:rPr>
              <w:t>A role may enter the active application/outreach queue only when the official company careers page or employer-controlled application page is open at the time of the weekly run. Record the verification timestamp. Re-open again immediately before applying.</w:t>
            </w:r>
          </w:p>
        </w:tc>
      </w:tr>
    </w:tbl>
    <w:p>
      <w:pPr>
        <w:spacing w:after="0"/>
      </w:pPr>
    </w:p>
    <w:p>
      <w:pPr>
        <w:pStyle w:val="Title"/>
      </w:pPr>
      <w:r>
        <w:t>8. Shared canonical data model</w:t>
      </w:r>
    </w:p>
    <w:tbl>
      <w:tblPr>
        <w:tblStyle w:val="TableGrid"/>
        <w:tblW w:type="dxa" w:w="9360"/>
        <w:jc w:val="center"/>
        <w:tblLayout w:type="fixed"/>
        <w:tblLook w:firstColumn="1" w:firstRow="1" w:lastColumn="0" w:lastRow="0" w:noHBand="0" w:noVBand="1" w:val="04A0"/>
      </w:tblPr>
      <w:tblGrid>
        <w:gridCol w:w="1944"/>
        <w:gridCol w:w="3671"/>
        <w:gridCol w:w="3744"/>
      </w:tblGrid>
      <w:tr>
        <w:trPr>
          <w:tblHeader w:val="true"/>
        </w:trPr>
        <w:tc>
          <w:tcPr>
            <w:tcW w:type="dxa" w:w="1944"/>
            <w:shd w:fill="345A68"/>
            <w:vAlign w:val="center"/>
            <w:tcMar>
              <w:top w:w="100" w:type="dxa"/>
              <w:start w:w="120" w:type="dxa"/>
              <w:bottom w:w="100" w:type="dxa"/>
              <w:end w:w="120" w:type="dxa"/>
            </w:tcMar>
          </w:tcPr>
          <w:p>
            <w:pPr>
              <w:spacing w:after="0"/>
            </w:pPr>
            <w:r/>
            <w:r>
              <w:rPr>
                <w:rFonts w:ascii="Jost" w:hAnsi="Jost"/>
                <w:b/>
                <w:color w:val="FFFFFF"/>
                <w:sz w:val="16"/>
              </w:rPr>
              <w:t>Record</w:t>
            </w:r>
          </w:p>
        </w:tc>
        <w:tc>
          <w:tcPr>
            <w:tcW w:type="dxa" w:w="3672"/>
            <w:shd w:fill="345A68"/>
            <w:vAlign w:val="center"/>
            <w:tcMar>
              <w:top w:w="100" w:type="dxa"/>
              <w:start w:w="120" w:type="dxa"/>
              <w:bottom w:w="100" w:type="dxa"/>
              <w:end w:w="120" w:type="dxa"/>
            </w:tcMar>
          </w:tcPr>
          <w:p>
            <w:pPr>
              <w:spacing w:after="0"/>
            </w:pPr>
            <w:r/>
            <w:r>
              <w:rPr>
                <w:rFonts w:ascii="Jost" w:hAnsi="Jost"/>
                <w:b/>
                <w:color w:val="FFFFFF"/>
                <w:sz w:val="16"/>
              </w:rPr>
              <w:t>Purpose</w:t>
            </w:r>
          </w:p>
        </w:tc>
        <w:tc>
          <w:tcPr>
            <w:tcW w:type="dxa" w:w="3744"/>
            <w:shd w:fill="345A68"/>
            <w:vAlign w:val="center"/>
            <w:tcMar>
              <w:top w:w="100" w:type="dxa"/>
              <w:start w:w="120" w:type="dxa"/>
              <w:bottom w:w="100" w:type="dxa"/>
              <w:end w:w="120" w:type="dxa"/>
            </w:tcMar>
          </w:tcPr>
          <w:p>
            <w:pPr>
              <w:spacing w:after="0"/>
            </w:pPr>
            <w:r/>
            <w:r>
              <w:rPr>
                <w:rFonts w:ascii="Jost" w:hAnsi="Jost"/>
                <w:b/>
                <w:color w:val="FFFFFF"/>
                <w:sz w:val="16"/>
              </w:rPr>
              <w:t>Minimum identity</w:t>
            </w:r>
          </w:p>
        </w:tc>
      </w:tr>
      <w:tr>
        <w:tc>
          <w:tcPr>
            <w:tcW w:type="dxa" w:w="1944"/>
            <w:vAlign w:val="center"/>
            <w:tcMar>
              <w:top w:w="100" w:type="dxa"/>
              <w:start w:w="120" w:type="dxa"/>
              <w:bottom w:w="100" w:type="dxa"/>
              <w:end w:w="120" w:type="dxa"/>
            </w:tcMar>
          </w:tcPr>
          <w:p>
            <w:pPr>
              <w:spacing w:after="0"/>
            </w:pPr>
            <w:r/>
            <w:r>
              <w:rPr>
                <w:rFonts w:ascii="Jost" w:hAnsi="Jost"/>
                <w:b w:val="0"/>
                <w:color w:val="2B2A28"/>
                <w:sz w:val="16"/>
              </w:rPr>
              <w:t>Entity</w:t>
            </w:r>
          </w:p>
        </w:tc>
        <w:tc>
          <w:tcPr>
            <w:tcW w:type="dxa" w:w="3671"/>
            <w:vAlign w:val="center"/>
            <w:tcMar>
              <w:top w:w="100" w:type="dxa"/>
              <w:start w:w="120" w:type="dxa"/>
              <w:bottom w:w="100" w:type="dxa"/>
              <w:end w:w="120" w:type="dxa"/>
            </w:tcMar>
          </w:tcPr>
          <w:p>
            <w:pPr>
              <w:spacing w:after="0"/>
            </w:pPr>
            <w:r/>
            <w:r>
              <w:rPr>
                <w:rFonts w:ascii="Jost" w:hAnsi="Jost"/>
                <w:b w:val="0"/>
                <w:color w:val="2B2A28"/>
                <w:sz w:val="16"/>
              </w:rPr>
              <w:t>One governed company, fund, product, business unit or organization.</w:t>
            </w:r>
          </w:p>
        </w:tc>
        <w:tc>
          <w:tcPr>
            <w:tcW w:type="dxa" w:w="3744"/>
            <w:vAlign w:val="center"/>
            <w:tcMar>
              <w:top w:w="100" w:type="dxa"/>
              <w:start w:w="120" w:type="dxa"/>
              <w:bottom w:w="100" w:type="dxa"/>
              <w:end w:w="120" w:type="dxa"/>
            </w:tcMar>
          </w:tcPr>
          <w:p>
            <w:pPr>
              <w:spacing w:after="0"/>
            </w:pPr>
            <w:r/>
            <w:r>
              <w:rPr>
                <w:rFonts w:ascii="Jost" w:hAnsi="Jost"/>
                <w:b w:val="0"/>
                <w:color w:val="2B2A28"/>
                <w:sz w:val="16"/>
              </w:rPr>
              <w:t>Entity ID, canonical name, aliases, entity type, ownership and dates.</w:t>
            </w:r>
          </w:p>
        </w:tc>
      </w:tr>
      <w:tr>
        <w:tc>
          <w:tcPr>
            <w:tcW w:type="dxa" w:w="1944"/>
            <w:shd w:fill="F1EBDD"/>
            <w:vAlign w:val="center"/>
            <w:tcMar>
              <w:top w:w="100" w:type="dxa"/>
              <w:start w:w="120" w:type="dxa"/>
              <w:bottom w:w="100" w:type="dxa"/>
              <w:end w:w="120" w:type="dxa"/>
            </w:tcMar>
          </w:tcPr>
          <w:p>
            <w:pPr>
              <w:spacing w:after="0"/>
            </w:pPr>
            <w:r/>
            <w:r>
              <w:rPr>
                <w:rFonts w:ascii="Jost" w:hAnsi="Jost"/>
                <w:b w:val="0"/>
                <w:color w:val="2B2A28"/>
                <w:sz w:val="16"/>
              </w:rPr>
              <w:t>Person</w:t>
            </w:r>
          </w:p>
        </w:tc>
        <w:tc>
          <w:tcPr>
            <w:tcW w:type="dxa" w:w="3671"/>
            <w:shd w:fill="F1EBDD"/>
            <w:vAlign w:val="center"/>
            <w:tcMar>
              <w:top w:w="100" w:type="dxa"/>
              <w:start w:w="120" w:type="dxa"/>
              <w:bottom w:w="100" w:type="dxa"/>
              <w:end w:w="120" w:type="dxa"/>
            </w:tcMar>
          </w:tcPr>
          <w:p>
            <w:pPr>
              <w:spacing w:after="0"/>
            </w:pPr>
            <w:r/>
            <w:r>
              <w:rPr>
                <w:rFonts w:ascii="Jost" w:hAnsi="Jost"/>
                <w:b w:val="0"/>
                <w:color w:val="2B2A28"/>
                <w:sz w:val="16"/>
              </w:rPr>
              <w:t>A public professional identity connected to an entity and role.</w:t>
            </w:r>
          </w:p>
        </w:tc>
        <w:tc>
          <w:tcPr>
            <w:tcW w:type="dxa" w:w="3744"/>
            <w:shd w:fill="F1EBDD"/>
            <w:vAlign w:val="center"/>
            <w:tcMar>
              <w:top w:w="100" w:type="dxa"/>
              <w:start w:w="120" w:type="dxa"/>
              <w:bottom w:w="100" w:type="dxa"/>
              <w:end w:w="120" w:type="dxa"/>
            </w:tcMar>
          </w:tcPr>
          <w:p>
            <w:pPr>
              <w:spacing w:after="0"/>
            </w:pPr>
            <w:r/>
            <w:r>
              <w:rPr>
                <w:rFonts w:ascii="Jost" w:hAnsi="Jost"/>
                <w:b w:val="0"/>
                <w:color w:val="2B2A28"/>
                <w:sz w:val="16"/>
              </w:rPr>
              <w:t>Person ID, name, public role, source, evidence status; no guessed private contact data.</w:t>
            </w:r>
          </w:p>
        </w:tc>
      </w:tr>
      <w:tr>
        <w:tc>
          <w:tcPr>
            <w:tcW w:type="dxa" w:w="1944"/>
            <w:vAlign w:val="center"/>
            <w:tcMar>
              <w:top w:w="100" w:type="dxa"/>
              <w:start w:w="120" w:type="dxa"/>
              <w:bottom w:w="100" w:type="dxa"/>
              <w:end w:w="120" w:type="dxa"/>
            </w:tcMar>
          </w:tcPr>
          <w:p>
            <w:pPr>
              <w:spacing w:after="0"/>
            </w:pPr>
            <w:r/>
            <w:r>
              <w:rPr>
                <w:rFonts w:ascii="Jost" w:hAnsi="Jost"/>
                <w:b w:val="0"/>
                <w:color w:val="2B2A28"/>
                <w:sz w:val="16"/>
              </w:rPr>
              <w:t>Event / signal</w:t>
            </w:r>
          </w:p>
        </w:tc>
        <w:tc>
          <w:tcPr>
            <w:tcW w:type="dxa" w:w="3671"/>
            <w:vAlign w:val="center"/>
            <w:tcMar>
              <w:top w:w="100" w:type="dxa"/>
              <w:start w:w="120" w:type="dxa"/>
              <w:bottom w:w="100" w:type="dxa"/>
              <w:end w:w="120" w:type="dxa"/>
            </w:tcMar>
          </w:tcPr>
          <w:p>
            <w:pPr>
              <w:spacing w:after="0"/>
            </w:pPr>
            <w:r/>
            <w:r>
              <w:rPr>
                <w:rFonts w:ascii="Jost" w:hAnsi="Jost"/>
                <w:b w:val="0"/>
                <w:color w:val="2B2A28"/>
                <w:sz w:val="16"/>
              </w:rPr>
              <w:t>A dated occurrence or status change.</w:t>
            </w:r>
          </w:p>
        </w:tc>
        <w:tc>
          <w:tcPr>
            <w:tcW w:type="dxa" w:w="3744"/>
            <w:vAlign w:val="center"/>
            <w:tcMar>
              <w:top w:w="100" w:type="dxa"/>
              <w:start w:w="120" w:type="dxa"/>
              <w:bottom w:w="100" w:type="dxa"/>
              <w:end w:w="120" w:type="dxa"/>
            </w:tcMar>
          </w:tcPr>
          <w:p>
            <w:pPr>
              <w:spacing w:after="0"/>
            </w:pPr>
            <w:r/>
            <w:r>
              <w:rPr>
                <w:rFonts w:ascii="Jost" w:hAnsi="Jost"/>
                <w:b w:val="0"/>
                <w:color w:val="2B2A28"/>
                <w:sz w:val="16"/>
              </w:rPr>
              <w:t>Signal ID, event type, event date, reported facts, sources and prior/new status.</w:t>
            </w:r>
          </w:p>
        </w:tc>
      </w:tr>
      <w:tr>
        <w:tc>
          <w:tcPr>
            <w:tcW w:type="dxa" w:w="1944"/>
            <w:shd w:fill="F1EBDD"/>
            <w:vAlign w:val="center"/>
            <w:tcMar>
              <w:top w:w="100" w:type="dxa"/>
              <w:start w:w="120" w:type="dxa"/>
              <w:bottom w:w="100" w:type="dxa"/>
              <w:end w:w="120" w:type="dxa"/>
            </w:tcMar>
          </w:tcPr>
          <w:p>
            <w:pPr>
              <w:spacing w:after="0"/>
            </w:pPr>
            <w:r/>
            <w:r>
              <w:rPr>
                <w:rFonts w:ascii="Jost" w:hAnsi="Jost"/>
                <w:b w:val="0"/>
                <w:color w:val="2B2A28"/>
                <w:sz w:val="16"/>
              </w:rPr>
              <w:t>Opportunity hypothesis</w:t>
            </w:r>
          </w:p>
        </w:tc>
        <w:tc>
          <w:tcPr>
            <w:tcW w:type="dxa" w:w="3671"/>
            <w:shd w:fill="F1EBDD"/>
            <w:vAlign w:val="center"/>
            <w:tcMar>
              <w:top w:w="100" w:type="dxa"/>
              <w:start w:w="120" w:type="dxa"/>
              <w:bottom w:w="100" w:type="dxa"/>
              <w:end w:w="120" w:type="dxa"/>
            </w:tcMar>
          </w:tcPr>
          <w:p>
            <w:pPr>
              <w:spacing w:after="0"/>
            </w:pPr>
            <w:r/>
            <w:r>
              <w:rPr>
                <w:rFonts w:ascii="Jost" w:hAnsi="Jost"/>
                <w:b w:val="0"/>
                <w:color w:val="2B2A28"/>
                <w:sz w:val="16"/>
              </w:rPr>
              <w:t>A Salt Basin or career interpretation of evidence.</w:t>
            </w:r>
          </w:p>
        </w:tc>
        <w:tc>
          <w:tcPr>
            <w:tcW w:type="dxa" w:w="3744"/>
            <w:shd w:fill="F1EBDD"/>
            <w:vAlign w:val="center"/>
            <w:tcMar>
              <w:top w:w="100" w:type="dxa"/>
              <w:start w:w="120" w:type="dxa"/>
              <w:bottom w:w="100" w:type="dxa"/>
              <w:end w:w="120" w:type="dxa"/>
            </w:tcMar>
          </w:tcPr>
          <w:p>
            <w:pPr>
              <w:spacing w:after="0"/>
            </w:pPr>
            <w:r/>
            <w:r>
              <w:rPr>
                <w:rFonts w:ascii="Jost" w:hAnsi="Jost"/>
                <w:b w:val="0"/>
                <w:color w:val="2B2A28"/>
                <w:sz w:val="16"/>
              </w:rPr>
              <w:t>Opportunity ID, intent, solution/role fit, KPIs, score, confidence and evidence needed.</w:t>
            </w:r>
          </w:p>
        </w:tc>
      </w:tr>
      <w:tr>
        <w:tc>
          <w:tcPr>
            <w:tcW w:type="dxa" w:w="1944"/>
            <w:vAlign w:val="center"/>
            <w:tcMar>
              <w:top w:w="100" w:type="dxa"/>
              <w:start w:w="120" w:type="dxa"/>
              <w:bottom w:w="100" w:type="dxa"/>
              <w:end w:w="120" w:type="dxa"/>
            </w:tcMar>
          </w:tcPr>
          <w:p>
            <w:pPr>
              <w:spacing w:after="0"/>
            </w:pPr>
            <w:r/>
            <w:r>
              <w:rPr>
                <w:rFonts w:ascii="Jost" w:hAnsi="Jost"/>
                <w:b w:val="0"/>
                <w:color w:val="2B2A28"/>
                <w:sz w:val="16"/>
              </w:rPr>
              <w:t>Job opening</w:t>
            </w:r>
          </w:p>
        </w:tc>
        <w:tc>
          <w:tcPr>
            <w:tcW w:type="dxa" w:w="3671"/>
            <w:vAlign w:val="center"/>
            <w:tcMar>
              <w:top w:w="100" w:type="dxa"/>
              <w:start w:w="120" w:type="dxa"/>
              <w:bottom w:w="100" w:type="dxa"/>
              <w:end w:w="120" w:type="dxa"/>
            </w:tcMar>
          </w:tcPr>
          <w:p>
            <w:pPr>
              <w:spacing w:after="0"/>
            </w:pPr>
            <w:r/>
            <w:r>
              <w:rPr>
                <w:rFonts w:ascii="Jost" w:hAnsi="Jost"/>
                <w:b w:val="0"/>
                <w:color w:val="2B2A28"/>
                <w:sz w:val="16"/>
              </w:rPr>
              <w:t>A specific employer-controlled requisition.</w:t>
            </w:r>
          </w:p>
        </w:tc>
        <w:tc>
          <w:tcPr>
            <w:tcW w:type="dxa" w:w="3744"/>
            <w:vAlign w:val="center"/>
            <w:tcMar>
              <w:top w:w="100" w:type="dxa"/>
              <w:start w:w="120" w:type="dxa"/>
              <w:bottom w:w="100" w:type="dxa"/>
              <w:end w:w="120" w:type="dxa"/>
            </w:tcMar>
          </w:tcPr>
          <w:p>
            <w:pPr>
              <w:spacing w:after="0"/>
            </w:pPr>
            <w:r/>
            <w:r>
              <w:rPr>
                <w:rFonts w:ascii="Jost" w:hAnsi="Jost"/>
                <w:b w:val="0"/>
                <w:color w:val="2B2A28"/>
                <w:sz w:val="16"/>
              </w:rPr>
              <w:t>Job ID/requisition, URL, title, location, posted/verified/closed dates and status.</w:t>
            </w:r>
          </w:p>
        </w:tc>
      </w:tr>
      <w:tr>
        <w:tc>
          <w:tcPr>
            <w:tcW w:type="dxa" w:w="1944"/>
            <w:shd w:fill="F1EBDD"/>
            <w:vAlign w:val="center"/>
            <w:tcMar>
              <w:top w:w="100" w:type="dxa"/>
              <w:start w:w="120" w:type="dxa"/>
              <w:bottom w:w="100" w:type="dxa"/>
              <w:end w:w="120" w:type="dxa"/>
            </w:tcMar>
          </w:tcPr>
          <w:p>
            <w:pPr>
              <w:spacing w:after="0"/>
            </w:pPr>
            <w:r/>
            <w:r>
              <w:rPr>
                <w:rFonts w:ascii="Jost" w:hAnsi="Jost"/>
                <w:b w:val="0"/>
                <w:color w:val="2B2A28"/>
                <w:sz w:val="16"/>
              </w:rPr>
              <w:t>Relationship</w:t>
            </w:r>
          </w:p>
        </w:tc>
        <w:tc>
          <w:tcPr>
            <w:tcW w:type="dxa" w:w="3671"/>
            <w:shd w:fill="F1EBDD"/>
            <w:vAlign w:val="center"/>
            <w:tcMar>
              <w:top w:w="100" w:type="dxa"/>
              <w:start w:w="120" w:type="dxa"/>
              <w:bottom w:w="100" w:type="dxa"/>
              <w:end w:w="120" w:type="dxa"/>
            </w:tcMar>
          </w:tcPr>
          <w:p>
            <w:pPr>
              <w:spacing w:after="0"/>
            </w:pPr>
            <w:r/>
            <w:r>
              <w:rPr>
                <w:rFonts w:ascii="Jost" w:hAnsi="Jost"/>
                <w:b w:val="0"/>
                <w:color w:val="2B2A28"/>
                <w:sz w:val="16"/>
              </w:rPr>
              <w:t>The known connection between people/entities and Betsy/Salt Basin.</w:t>
            </w:r>
          </w:p>
        </w:tc>
        <w:tc>
          <w:tcPr>
            <w:tcW w:type="dxa" w:w="3744"/>
            <w:shd w:fill="F1EBDD"/>
            <w:vAlign w:val="center"/>
            <w:tcMar>
              <w:top w:w="100" w:type="dxa"/>
              <w:start w:w="120" w:type="dxa"/>
              <w:bottom w:w="100" w:type="dxa"/>
              <w:end w:w="120" w:type="dxa"/>
            </w:tcMar>
          </w:tcPr>
          <w:p>
            <w:pPr>
              <w:spacing w:after="0"/>
            </w:pPr>
            <w:r/>
            <w:r>
              <w:rPr>
                <w:rFonts w:ascii="Jost" w:hAnsi="Jost"/>
                <w:b w:val="0"/>
                <w:color w:val="2B2A28"/>
                <w:sz w:val="16"/>
              </w:rPr>
              <w:t>Relationship ID, route, strength, origin, consent/permission and last interaction.</w:t>
            </w:r>
          </w:p>
        </w:tc>
      </w:tr>
      <w:tr>
        <w:tc>
          <w:tcPr>
            <w:tcW w:type="dxa" w:w="1944"/>
            <w:vAlign w:val="center"/>
            <w:tcMar>
              <w:top w:w="100" w:type="dxa"/>
              <w:start w:w="120" w:type="dxa"/>
              <w:bottom w:w="100" w:type="dxa"/>
              <w:end w:w="120" w:type="dxa"/>
            </w:tcMar>
          </w:tcPr>
          <w:p>
            <w:pPr>
              <w:spacing w:after="0"/>
            </w:pPr>
            <w:r/>
            <w:r>
              <w:rPr>
                <w:rFonts w:ascii="Jost" w:hAnsi="Jost"/>
                <w:b w:val="0"/>
                <w:color w:val="2B2A28"/>
                <w:sz w:val="16"/>
              </w:rPr>
              <w:t>Outreach action</w:t>
            </w:r>
          </w:p>
        </w:tc>
        <w:tc>
          <w:tcPr>
            <w:tcW w:type="dxa" w:w="3671"/>
            <w:vAlign w:val="center"/>
            <w:tcMar>
              <w:top w:w="100" w:type="dxa"/>
              <w:start w:w="120" w:type="dxa"/>
              <w:bottom w:w="100" w:type="dxa"/>
              <w:end w:w="120" w:type="dxa"/>
            </w:tcMar>
          </w:tcPr>
          <w:p>
            <w:pPr>
              <w:spacing w:after="0"/>
            </w:pPr>
            <w:r/>
            <w:r>
              <w:rPr>
                <w:rFonts w:ascii="Jost" w:hAnsi="Jost"/>
                <w:b w:val="0"/>
                <w:color w:val="2B2A28"/>
                <w:sz w:val="16"/>
              </w:rPr>
              <w:t>A planned, drafted, sent or completed touch.</w:t>
            </w:r>
          </w:p>
        </w:tc>
        <w:tc>
          <w:tcPr>
            <w:tcW w:type="dxa" w:w="3744"/>
            <w:vAlign w:val="center"/>
            <w:tcMar>
              <w:top w:w="100" w:type="dxa"/>
              <w:start w:w="120" w:type="dxa"/>
              <w:bottom w:w="100" w:type="dxa"/>
              <w:end w:w="120" w:type="dxa"/>
            </w:tcMar>
          </w:tcPr>
          <w:p>
            <w:pPr>
              <w:spacing w:after="0"/>
            </w:pPr>
            <w:r/>
            <w:r>
              <w:rPr>
                <w:rFonts w:ascii="Jost" w:hAnsi="Jost"/>
                <w:b w:val="0"/>
                <w:color w:val="2B2A28"/>
                <w:sz w:val="16"/>
              </w:rPr>
              <w:t>Action ID, intent, channel, recipient, message version, status, date and next action.</w:t>
            </w:r>
          </w:p>
        </w:tc>
      </w:tr>
      <w:tr>
        <w:tc>
          <w:tcPr>
            <w:tcW w:type="dxa" w:w="1944"/>
            <w:shd w:fill="F1EBDD"/>
            <w:vAlign w:val="center"/>
            <w:tcMar>
              <w:top w:w="100" w:type="dxa"/>
              <w:start w:w="120" w:type="dxa"/>
              <w:bottom w:w="100" w:type="dxa"/>
              <w:end w:w="120" w:type="dxa"/>
            </w:tcMar>
          </w:tcPr>
          <w:p>
            <w:pPr>
              <w:spacing w:after="0"/>
            </w:pPr>
            <w:r/>
            <w:r>
              <w:rPr>
                <w:rFonts w:ascii="Jost" w:hAnsi="Jost"/>
                <w:b w:val="0"/>
                <w:color w:val="2B2A28"/>
                <w:sz w:val="16"/>
              </w:rPr>
              <w:t>Claim / evidence</w:t>
            </w:r>
          </w:p>
        </w:tc>
        <w:tc>
          <w:tcPr>
            <w:tcW w:type="dxa" w:w="3671"/>
            <w:shd w:fill="F1EBDD"/>
            <w:vAlign w:val="center"/>
            <w:tcMar>
              <w:top w:w="100" w:type="dxa"/>
              <w:start w:w="120" w:type="dxa"/>
              <w:bottom w:w="100" w:type="dxa"/>
              <w:end w:w="120" w:type="dxa"/>
            </w:tcMar>
          </w:tcPr>
          <w:p>
            <w:pPr>
              <w:spacing w:after="0"/>
            </w:pPr>
            <w:r/>
            <w:r>
              <w:rPr>
                <w:rFonts w:ascii="Jost" w:hAnsi="Jost"/>
                <w:b w:val="0"/>
                <w:color w:val="2B2A28"/>
                <w:sz w:val="16"/>
              </w:rPr>
              <w:t>The exact statement used in research or outreach and its support.</w:t>
            </w:r>
          </w:p>
        </w:tc>
        <w:tc>
          <w:tcPr>
            <w:tcW w:type="dxa" w:w="3744"/>
            <w:shd w:fill="F1EBDD"/>
            <w:vAlign w:val="center"/>
            <w:tcMar>
              <w:top w:w="100" w:type="dxa"/>
              <w:start w:w="120" w:type="dxa"/>
              <w:bottom w:w="100" w:type="dxa"/>
              <w:end w:w="120" w:type="dxa"/>
            </w:tcMar>
          </w:tcPr>
          <w:p>
            <w:pPr>
              <w:spacing w:after="0"/>
            </w:pPr>
            <w:r/>
            <w:r>
              <w:rPr>
                <w:rFonts w:ascii="Jost" w:hAnsi="Jost"/>
                <w:b w:val="0"/>
                <w:color w:val="2B2A28"/>
                <w:sz w:val="16"/>
              </w:rPr>
              <w:t>Claim ID, fact/inference class, source IDs, confidence and valid-through date.</w:t>
            </w:r>
          </w:p>
        </w:tc>
      </w:tr>
    </w:tbl>
    <w:p>
      <w:pPr>
        <w:spacing w:after="0"/>
      </w:pPr>
    </w:p>
    <w:p>
      <w:pPr>
        <w:pStyle w:val="Title"/>
      </w:pPr>
      <w:r>
        <w:t>9. Weekly execution cycle</w:t>
      </w:r>
    </w:p>
    <w:p>
      <w:pPr>
        <w:pStyle w:val="ListNumber"/>
      </w:pPr>
      <w:r>
        <w:t>Load the latest canonical commercial registry, career workbook, outreach ledger, target universe, prior weekly run log and user-approved positioning. Do not start from an empty context.</w:t>
      </w:r>
    </w:p>
    <w:p>
      <w:pPr>
        <w:pStyle w:val="ListNumber"/>
      </w:pPr>
      <w:r>
        <w:t>Revalidate unresolved high-priority signals, open jobs and due outreach actions before discovering new targets.</w:t>
      </w:r>
    </w:p>
    <w:p>
      <w:pPr>
        <w:pStyle w:val="ListNumber"/>
      </w:pPr>
      <w:r>
        <w:t>Search the target universe across primary sources and authoritative reporting for events since the last completed run, plus material late-discovered events.</w:t>
      </w:r>
    </w:p>
    <w:p>
      <w:pPr>
        <w:pStyle w:val="ListNumber"/>
      </w:pPr>
      <w:r>
        <w:t>Expand the entity universe through the six expansion rings and record why each target was added.</w:t>
      </w:r>
    </w:p>
    <w:p>
      <w:pPr>
        <w:pStyle w:val="ListNumber"/>
      </w:pPr>
      <w:r>
        <w:t>Normalize entities, people, roles, sources and events; merge aliases; link updates to prior observations; flag conflicts.</w:t>
      </w:r>
    </w:p>
    <w:p>
      <w:pPr>
        <w:pStyle w:val="ListNumber"/>
      </w:pPr>
      <w:r>
        <w:t>Classify every observation as reported fact, derived classification or hypothesis. Identify the exact evidence still required.</w:t>
      </w:r>
    </w:p>
    <w:p>
      <w:pPr>
        <w:pStyle w:val="ListNumber"/>
      </w:pPr>
      <w:r>
        <w:t>Score and rank commercial company-event opportunities. Map each to the Salt Basin solution, governed KPIs, financial classification and diagnostic entry point.</w:t>
      </w:r>
    </w:p>
    <w:p>
      <w:pPr>
        <w:pStyle w:val="ListNumber"/>
      </w:pPr>
      <w:r>
        <w:t>Revalidate and score career openings. Identify the likely hiring function, evidence-supported public leader or recruiter, and the best positioning proof.</w:t>
      </w:r>
    </w:p>
    <w:p>
      <w:pPr>
        <w:pStyle w:val="ListNumber"/>
      </w:pPr>
      <w:r>
        <w:t>Update the relationship ledger and calculate outreach next actions. Draft—but do not send—first contacts and follow-ups.</w:t>
      </w:r>
    </w:p>
    <w:p>
      <w:pPr>
        <w:pStyle w:val="ListNumber"/>
      </w:pPr>
      <w:r>
        <w:t>Produce the weekly executive brief, appended commercial registry, appended career registry, target-expansion log, contact research queue, outreach queue and quality-control report.</w:t>
      </w:r>
    </w:p>
    <w:p>
      <w:pPr>
        <w:pStyle w:val="ListNumber"/>
      </w:pPr>
      <w:r>
        <w:t>Compare the current week with the prior four weeks: new signals, changed ranks, closed/stale roles, response movement, conversion, source conflicts and blind spots.</w:t>
      </w:r>
    </w:p>
    <w:p>
      <w:pPr>
        <w:pStyle w:val="ListNumber"/>
      </w:pPr>
      <w:r>
        <w:t>Write a run manifest with counts, time window, search coverage, sources, failures, assumptions and the precise next-run date.</w:t>
      </w:r>
    </w:p>
    <w:p>
      <w:pPr>
        <w:pStyle w:val="Title"/>
      </w:pPr>
      <w:r>
        <w:t>10. Outreach master design</w:t>
      </w:r>
    </w:p>
    <w:tbl>
      <w:tblPr>
        <w:tblStyle w:val="TableGrid"/>
        <w:tblW w:type="dxa" w:w="9360"/>
        <w:jc w:val="center"/>
        <w:tblLayout w:type="fixed"/>
        <w:tblLook w:firstColumn="1" w:firstRow="1" w:lastColumn="0" w:lastRow="0" w:noHBand="0" w:noVBand="1" w:val="04A0"/>
      </w:tblPr>
      <w:tblGrid>
        <w:gridCol w:w="2232"/>
        <w:gridCol w:w="7128"/>
      </w:tblGrid>
      <w:tr>
        <w:trPr>
          <w:tblHeader w:val="true"/>
        </w:trPr>
        <w:tc>
          <w:tcPr>
            <w:tcW w:type="dxa" w:w="2232"/>
            <w:shd w:fill="345A68"/>
            <w:vAlign w:val="center"/>
            <w:tcMar>
              <w:top w:w="100" w:type="dxa"/>
              <w:start w:w="120" w:type="dxa"/>
              <w:bottom w:w="100" w:type="dxa"/>
              <w:end w:w="120" w:type="dxa"/>
            </w:tcMar>
          </w:tcPr>
          <w:p>
            <w:pPr>
              <w:spacing w:after="0"/>
            </w:pPr>
            <w:r/>
            <w:r>
              <w:rPr>
                <w:rFonts w:ascii="Jost" w:hAnsi="Jost"/>
                <w:b/>
                <w:color w:val="FFFFFF"/>
                <w:sz w:val="16"/>
              </w:rPr>
              <w:t>Field group</w:t>
            </w:r>
          </w:p>
        </w:tc>
        <w:tc>
          <w:tcPr>
            <w:tcW w:type="dxa" w:w="7128"/>
            <w:shd w:fill="345A68"/>
            <w:vAlign w:val="center"/>
            <w:tcMar>
              <w:top w:w="100" w:type="dxa"/>
              <w:start w:w="120" w:type="dxa"/>
              <w:bottom w:w="100" w:type="dxa"/>
              <w:end w:w="120" w:type="dxa"/>
            </w:tcMar>
          </w:tcPr>
          <w:p>
            <w:pPr>
              <w:spacing w:after="0"/>
            </w:pPr>
            <w:r/>
            <w:r>
              <w:rPr>
                <w:rFonts w:ascii="Jost" w:hAnsi="Jost"/>
                <w:b/>
                <w:color w:val="FFFFFF"/>
                <w:sz w:val="16"/>
              </w:rPr>
              <w:t>Required fields</w:t>
            </w:r>
          </w:p>
        </w:tc>
      </w:tr>
      <w:tr>
        <w:tc>
          <w:tcPr>
            <w:tcW w:type="dxa" w:w="2232"/>
            <w:vAlign w:val="center"/>
            <w:tcMar>
              <w:top w:w="100" w:type="dxa"/>
              <w:start w:w="120" w:type="dxa"/>
              <w:bottom w:w="100" w:type="dxa"/>
              <w:end w:w="120" w:type="dxa"/>
            </w:tcMar>
          </w:tcPr>
          <w:p>
            <w:pPr>
              <w:spacing w:after="0"/>
            </w:pPr>
            <w:r/>
            <w:r>
              <w:rPr>
                <w:rFonts w:ascii="Jost" w:hAnsi="Jost"/>
                <w:b w:val="0"/>
                <w:color w:val="2B2A28"/>
                <w:sz w:val="16"/>
              </w:rPr>
              <w:t>Identity</w:t>
            </w:r>
          </w:p>
        </w:tc>
        <w:tc>
          <w:tcPr>
            <w:tcW w:type="dxa" w:w="7128"/>
            <w:vAlign w:val="center"/>
            <w:tcMar>
              <w:top w:w="100" w:type="dxa"/>
              <w:start w:w="120" w:type="dxa"/>
              <w:bottom w:w="100" w:type="dxa"/>
              <w:end w:w="120" w:type="dxa"/>
            </w:tcMar>
          </w:tcPr>
          <w:p>
            <w:pPr>
              <w:spacing w:after="0"/>
            </w:pPr>
            <w:r/>
            <w:r>
              <w:rPr>
                <w:rFonts w:ascii="Jost" w:hAnsi="Jost"/>
                <w:b w:val="0"/>
                <w:color w:val="2B2A28"/>
                <w:sz w:val="16"/>
              </w:rPr>
              <w:t>Outreach ID; intent (Salt Basin buyer / career / partner / referral); entity; person; role; opportunity or job ID.</w:t>
            </w:r>
          </w:p>
        </w:tc>
      </w:tr>
      <w:tr>
        <w:tc>
          <w:tcPr>
            <w:tcW w:type="dxa" w:w="2232"/>
            <w:shd w:fill="F1EBDD"/>
            <w:vAlign w:val="center"/>
            <w:tcMar>
              <w:top w:w="100" w:type="dxa"/>
              <w:start w:w="120" w:type="dxa"/>
              <w:bottom w:w="100" w:type="dxa"/>
              <w:end w:w="120" w:type="dxa"/>
            </w:tcMar>
          </w:tcPr>
          <w:p>
            <w:pPr>
              <w:spacing w:after="0"/>
            </w:pPr>
            <w:r/>
            <w:r>
              <w:rPr>
                <w:rFonts w:ascii="Jost" w:hAnsi="Jost"/>
                <w:b w:val="0"/>
                <w:color w:val="2B2A28"/>
                <w:sz w:val="16"/>
              </w:rPr>
              <w:t>Evidence basis</w:t>
            </w:r>
          </w:p>
        </w:tc>
        <w:tc>
          <w:tcPr>
            <w:tcW w:type="dxa" w:w="7128"/>
            <w:shd w:fill="F1EBDD"/>
            <w:vAlign w:val="center"/>
            <w:tcMar>
              <w:top w:w="100" w:type="dxa"/>
              <w:start w:w="120" w:type="dxa"/>
              <w:bottom w:w="100" w:type="dxa"/>
              <w:end w:w="120" w:type="dxa"/>
            </w:tcMar>
          </w:tcPr>
          <w:p>
            <w:pPr>
              <w:spacing w:after="0"/>
            </w:pPr>
            <w:r/>
            <w:r>
              <w:rPr>
                <w:rFonts w:ascii="Jost" w:hAnsi="Jost"/>
                <w:b w:val="0"/>
                <w:color w:val="2B2A28"/>
                <w:sz w:val="16"/>
              </w:rPr>
              <w:t>Trigger/event; source IDs; facts permitted in message; inference language; confidence; last verified date.</w:t>
            </w:r>
          </w:p>
        </w:tc>
      </w:tr>
      <w:tr>
        <w:tc>
          <w:tcPr>
            <w:tcW w:type="dxa" w:w="2232"/>
            <w:vAlign w:val="center"/>
            <w:tcMar>
              <w:top w:w="100" w:type="dxa"/>
              <w:start w:w="120" w:type="dxa"/>
              <w:bottom w:w="100" w:type="dxa"/>
              <w:end w:w="120" w:type="dxa"/>
            </w:tcMar>
          </w:tcPr>
          <w:p>
            <w:pPr>
              <w:spacing w:after="0"/>
            </w:pPr>
            <w:r/>
            <w:r>
              <w:rPr>
                <w:rFonts w:ascii="Jost" w:hAnsi="Jost"/>
                <w:b w:val="0"/>
                <w:color w:val="2B2A28"/>
                <w:sz w:val="16"/>
              </w:rPr>
              <w:t>Message strategy</w:t>
            </w:r>
          </w:p>
        </w:tc>
        <w:tc>
          <w:tcPr>
            <w:tcW w:type="dxa" w:w="7128"/>
            <w:vAlign w:val="center"/>
            <w:tcMar>
              <w:top w:w="100" w:type="dxa"/>
              <w:start w:w="120" w:type="dxa"/>
              <w:bottom w:w="100" w:type="dxa"/>
              <w:end w:w="120" w:type="dxa"/>
            </w:tcMar>
          </w:tcPr>
          <w:p>
            <w:pPr>
              <w:spacing w:after="0"/>
            </w:pPr>
            <w:r/>
            <w:r>
              <w:rPr>
                <w:rFonts w:ascii="Jost" w:hAnsi="Jost"/>
                <w:b w:val="0"/>
                <w:color w:val="2B2A28"/>
                <w:sz w:val="16"/>
              </w:rPr>
              <w:t>Recipient problem/mandate; why now; Betsy/Salt Basin relevance; one proof point; one useful question; requested next step.</w:t>
            </w:r>
          </w:p>
        </w:tc>
      </w:tr>
      <w:tr>
        <w:tc>
          <w:tcPr>
            <w:tcW w:type="dxa" w:w="2232"/>
            <w:shd w:fill="F1EBDD"/>
            <w:vAlign w:val="center"/>
            <w:tcMar>
              <w:top w:w="100" w:type="dxa"/>
              <w:start w:w="120" w:type="dxa"/>
              <w:bottom w:w="100" w:type="dxa"/>
              <w:end w:w="120" w:type="dxa"/>
            </w:tcMar>
          </w:tcPr>
          <w:p>
            <w:pPr>
              <w:spacing w:after="0"/>
            </w:pPr>
            <w:r/>
            <w:r>
              <w:rPr>
                <w:rFonts w:ascii="Jost" w:hAnsi="Jost"/>
                <w:b w:val="0"/>
                <w:color w:val="2B2A28"/>
                <w:sz w:val="16"/>
              </w:rPr>
              <w:t>Channel and status</w:t>
            </w:r>
          </w:p>
        </w:tc>
        <w:tc>
          <w:tcPr>
            <w:tcW w:type="dxa" w:w="7128"/>
            <w:shd w:fill="F1EBDD"/>
            <w:vAlign w:val="center"/>
            <w:tcMar>
              <w:top w:w="100" w:type="dxa"/>
              <w:start w:w="120" w:type="dxa"/>
              <w:bottom w:w="100" w:type="dxa"/>
              <w:end w:w="120" w:type="dxa"/>
            </w:tcMar>
          </w:tcPr>
          <w:p>
            <w:pPr>
              <w:spacing w:after="0"/>
            </w:pPr>
            <w:r/>
            <w:r>
              <w:rPr>
                <w:rFonts w:ascii="Jost" w:hAnsi="Jost"/>
                <w:b w:val="0"/>
                <w:color w:val="2B2A28"/>
                <w:sz w:val="16"/>
              </w:rPr>
              <w:t>Email, LinkedIn, referral, recruiter, event or application; draft/approved/sent/replied/meeting/paused/closed.</w:t>
            </w:r>
          </w:p>
        </w:tc>
      </w:tr>
      <w:tr>
        <w:tc>
          <w:tcPr>
            <w:tcW w:type="dxa" w:w="2232"/>
            <w:vAlign w:val="center"/>
            <w:tcMar>
              <w:top w:w="100" w:type="dxa"/>
              <w:start w:w="120" w:type="dxa"/>
              <w:bottom w:w="100" w:type="dxa"/>
              <w:end w:w="120" w:type="dxa"/>
            </w:tcMar>
          </w:tcPr>
          <w:p>
            <w:pPr>
              <w:spacing w:after="0"/>
            </w:pPr>
            <w:r/>
            <w:r>
              <w:rPr>
                <w:rFonts w:ascii="Jost" w:hAnsi="Jost"/>
                <w:b w:val="0"/>
                <w:color w:val="2B2A28"/>
                <w:sz w:val="16"/>
              </w:rPr>
              <w:t>Cadence</w:t>
            </w:r>
          </w:p>
        </w:tc>
        <w:tc>
          <w:tcPr>
            <w:tcW w:type="dxa" w:w="7128"/>
            <w:vAlign w:val="center"/>
            <w:tcMar>
              <w:top w:w="100" w:type="dxa"/>
              <w:start w:w="120" w:type="dxa"/>
              <w:bottom w:w="100" w:type="dxa"/>
              <w:end w:w="120" w:type="dxa"/>
            </w:tcMar>
          </w:tcPr>
          <w:p>
            <w:pPr>
              <w:spacing w:after="0"/>
            </w:pPr>
            <w:r/>
            <w:r>
              <w:rPr>
                <w:rFonts w:ascii="Jost" w:hAnsi="Jost"/>
                <w:b w:val="0"/>
                <w:color w:val="2B2A28"/>
                <w:sz w:val="16"/>
              </w:rPr>
              <w:t>Touch number; sent/due date; next action; pause reason; stop condition; last response; relationship temperature.</w:t>
            </w:r>
          </w:p>
        </w:tc>
      </w:tr>
      <w:tr>
        <w:tc>
          <w:tcPr>
            <w:tcW w:type="dxa" w:w="2232"/>
            <w:shd w:fill="F1EBDD"/>
            <w:vAlign w:val="center"/>
            <w:tcMar>
              <w:top w:w="100" w:type="dxa"/>
              <w:start w:w="120" w:type="dxa"/>
              <w:bottom w:w="100" w:type="dxa"/>
              <w:end w:w="120" w:type="dxa"/>
            </w:tcMar>
          </w:tcPr>
          <w:p>
            <w:pPr>
              <w:spacing w:after="0"/>
            </w:pPr>
            <w:r/>
            <w:r>
              <w:rPr>
                <w:rFonts w:ascii="Jost" w:hAnsi="Jost"/>
                <w:b w:val="0"/>
                <w:color w:val="2B2A28"/>
                <w:sz w:val="16"/>
              </w:rPr>
              <w:t>Learning</w:t>
            </w:r>
          </w:p>
        </w:tc>
        <w:tc>
          <w:tcPr>
            <w:tcW w:type="dxa" w:w="7128"/>
            <w:shd w:fill="F1EBDD"/>
            <w:vAlign w:val="center"/>
            <w:tcMar>
              <w:top w:w="100" w:type="dxa"/>
              <w:start w:w="120" w:type="dxa"/>
              <w:bottom w:w="100" w:type="dxa"/>
              <w:end w:w="120" w:type="dxa"/>
            </w:tcMar>
          </w:tcPr>
          <w:p>
            <w:pPr>
              <w:spacing w:after="0"/>
            </w:pPr>
            <w:r/>
            <w:r>
              <w:rPr>
                <w:rFonts w:ascii="Jost" w:hAnsi="Jost"/>
                <w:b w:val="0"/>
                <w:color w:val="2B2A28"/>
                <w:sz w:val="16"/>
              </w:rPr>
              <w:t>Message version; response category; objections; useful language; route discovered; what to change next time.</w:t>
            </w:r>
          </w:p>
        </w:tc>
      </w:tr>
    </w:tbl>
    <w:p>
      <w:pPr>
        <w:spacing w:after="0"/>
      </w:pPr>
    </w:p>
    <w:p>
      <w:pPr>
        <w:pStyle w:val="Heading1"/>
      </w:pPr>
      <w:r>
        <w:t>Commercial outreach cadence</w:t>
      </w:r>
    </w:p>
    <w:tbl>
      <w:tblPr>
        <w:tblStyle w:val="TableGrid"/>
        <w:tblW w:type="dxa" w:w="9360"/>
        <w:jc w:val="center"/>
        <w:tblLayout w:type="fixed"/>
        <w:tblLook w:firstColumn="1" w:firstRow="1" w:lastColumn="0" w:lastRow="0" w:noHBand="0" w:noVBand="1" w:val="04A0"/>
      </w:tblPr>
      <w:tblGrid>
        <w:gridCol w:w="2088"/>
        <w:gridCol w:w="2015"/>
        <w:gridCol w:w="5256"/>
      </w:tblGrid>
      <w:tr>
        <w:trPr>
          <w:tblHeader w:val="true"/>
        </w:trPr>
        <w:tc>
          <w:tcPr>
            <w:tcW w:type="dxa" w:w="2088"/>
            <w:shd w:fill="345A68"/>
            <w:vAlign w:val="center"/>
            <w:tcMar>
              <w:top w:w="100" w:type="dxa"/>
              <w:start w:w="120" w:type="dxa"/>
              <w:bottom w:w="100" w:type="dxa"/>
              <w:end w:w="120" w:type="dxa"/>
            </w:tcMar>
          </w:tcPr>
          <w:p>
            <w:pPr>
              <w:spacing w:after="0"/>
            </w:pPr>
            <w:r/>
            <w:r>
              <w:rPr>
                <w:rFonts w:ascii="Jost" w:hAnsi="Jost"/>
                <w:b/>
                <w:color w:val="FFFFFF"/>
                <w:sz w:val="16"/>
              </w:rPr>
              <w:t>Touch</w:t>
            </w:r>
          </w:p>
        </w:tc>
        <w:tc>
          <w:tcPr>
            <w:tcW w:type="dxa" w:w="2016"/>
            <w:shd w:fill="345A68"/>
            <w:vAlign w:val="center"/>
            <w:tcMar>
              <w:top w:w="100" w:type="dxa"/>
              <w:start w:w="120" w:type="dxa"/>
              <w:bottom w:w="100" w:type="dxa"/>
              <w:end w:w="120" w:type="dxa"/>
            </w:tcMar>
          </w:tcPr>
          <w:p>
            <w:pPr>
              <w:spacing w:after="0"/>
            </w:pPr>
            <w:r/>
            <w:r>
              <w:rPr>
                <w:rFonts w:ascii="Jost" w:hAnsi="Jost"/>
                <w:b/>
                <w:color w:val="FFFFFF"/>
                <w:sz w:val="16"/>
              </w:rPr>
              <w:t>Timing</w:t>
            </w:r>
          </w:p>
        </w:tc>
        <w:tc>
          <w:tcPr>
            <w:tcW w:type="dxa" w:w="5256"/>
            <w:shd w:fill="345A68"/>
            <w:vAlign w:val="center"/>
            <w:tcMar>
              <w:top w:w="100" w:type="dxa"/>
              <w:start w:w="120" w:type="dxa"/>
              <w:bottom w:w="100" w:type="dxa"/>
              <w:end w:w="120" w:type="dxa"/>
            </w:tcMar>
          </w:tcPr>
          <w:p>
            <w:pPr>
              <w:spacing w:after="0"/>
            </w:pPr>
            <w:r/>
            <w:r>
              <w:rPr>
                <w:rFonts w:ascii="Jost" w:hAnsi="Jost"/>
                <w:b/>
                <w:color w:val="FFFFFF"/>
                <w:sz w:val="16"/>
              </w:rPr>
              <w:t>Purpose</w:t>
            </w:r>
          </w:p>
        </w:tc>
      </w:tr>
      <w:tr>
        <w:tc>
          <w:tcPr>
            <w:tcW w:type="dxa" w:w="2088"/>
            <w:vAlign w:val="center"/>
            <w:tcMar>
              <w:top w:w="100" w:type="dxa"/>
              <w:start w:w="120" w:type="dxa"/>
              <w:bottom w:w="100" w:type="dxa"/>
              <w:end w:w="120" w:type="dxa"/>
            </w:tcMar>
          </w:tcPr>
          <w:p>
            <w:pPr>
              <w:spacing w:after="0"/>
            </w:pPr>
            <w:r/>
            <w:r>
              <w:rPr>
                <w:rFonts w:ascii="Jost" w:hAnsi="Jost"/>
                <w:b w:val="0"/>
                <w:color w:val="2B2A28"/>
                <w:sz w:val="16"/>
              </w:rPr>
              <w:t>0 — Warm-route check</w:t>
            </w:r>
          </w:p>
        </w:tc>
        <w:tc>
          <w:tcPr>
            <w:tcW w:type="dxa" w:w="2015"/>
            <w:vAlign w:val="center"/>
            <w:tcMar>
              <w:top w:w="100" w:type="dxa"/>
              <w:start w:w="120" w:type="dxa"/>
              <w:bottom w:w="100" w:type="dxa"/>
              <w:end w:w="120" w:type="dxa"/>
            </w:tcMar>
          </w:tcPr>
          <w:p>
            <w:pPr>
              <w:spacing w:after="0"/>
            </w:pPr>
            <w:r/>
            <w:r>
              <w:rPr>
                <w:rFonts w:ascii="Jost" w:hAnsi="Jost"/>
                <w:b w:val="0"/>
                <w:color w:val="2B2A28"/>
                <w:sz w:val="16"/>
              </w:rPr>
              <w:t>Before cold outreach</w:t>
            </w:r>
          </w:p>
        </w:tc>
        <w:tc>
          <w:tcPr>
            <w:tcW w:type="dxa" w:w="5256"/>
            <w:vAlign w:val="center"/>
            <w:tcMar>
              <w:top w:w="100" w:type="dxa"/>
              <w:start w:w="120" w:type="dxa"/>
              <w:bottom w:w="100" w:type="dxa"/>
              <w:end w:w="120" w:type="dxa"/>
            </w:tcMar>
          </w:tcPr>
          <w:p>
            <w:pPr>
              <w:spacing w:after="0"/>
            </w:pPr>
            <w:r/>
            <w:r>
              <w:rPr>
                <w:rFonts w:ascii="Jost" w:hAnsi="Jost"/>
                <w:b w:val="0"/>
                <w:color w:val="2B2A28"/>
                <w:sz w:val="16"/>
              </w:rPr>
              <w:t>Look for sponsor, portco, former colleague, partner, board, recruiter, event or shared professional route.</w:t>
            </w:r>
          </w:p>
        </w:tc>
      </w:tr>
      <w:tr>
        <w:tc>
          <w:tcPr>
            <w:tcW w:type="dxa" w:w="2088"/>
            <w:shd w:fill="F1EBDD"/>
            <w:vAlign w:val="center"/>
            <w:tcMar>
              <w:top w:w="100" w:type="dxa"/>
              <w:start w:w="120" w:type="dxa"/>
              <w:bottom w:w="100" w:type="dxa"/>
              <w:end w:w="120" w:type="dxa"/>
            </w:tcMar>
          </w:tcPr>
          <w:p>
            <w:pPr>
              <w:spacing w:after="0"/>
            </w:pPr>
            <w:r/>
            <w:r>
              <w:rPr>
                <w:rFonts w:ascii="Jost" w:hAnsi="Jost"/>
                <w:b w:val="0"/>
                <w:color w:val="2B2A28"/>
                <w:sz w:val="16"/>
              </w:rPr>
              <w:t>1 — Trigger-led first contact</w:t>
            </w:r>
          </w:p>
        </w:tc>
        <w:tc>
          <w:tcPr>
            <w:tcW w:type="dxa" w:w="2015"/>
            <w:shd w:fill="F1EBDD"/>
            <w:vAlign w:val="center"/>
            <w:tcMar>
              <w:top w:w="100" w:type="dxa"/>
              <w:start w:w="120" w:type="dxa"/>
              <w:bottom w:w="100" w:type="dxa"/>
              <w:end w:w="120" w:type="dxa"/>
            </w:tcMar>
          </w:tcPr>
          <w:p>
            <w:pPr>
              <w:spacing w:after="0"/>
            </w:pPr>
            <w:r/>
            <w:r>
              <w:rPr>
                <w:rFonts w:ascii="Jost" w:hAnsi="Jost"/>
                <w:b w:val="0"/>
                <w:color w:val="2B2A28"/>
                <w:sz w:val="16"/>
              </w:rPr>
              <w:t>Day 0</w:t>
            </w:r>
          </w:p>
        </w:tc>
        <w:tc>
          <w:tcPr>
            <w:tcW w:type="dxa" w:w="5256"/>
            <w:shd w:fill="F1EBDD"/>
            <w:vAlign w:val="center"/>
            <w:tcMar>
              <w:top w:w="100" w:type="dxa"/>
              <w:start w:w="120" w:type="dxa"/>
              <w:bottom w:w="100" w:type="dxa"/>
              <w:end w:w="120" w:type="dxa"/>
            </w:tcMar>
          </w:tcPr>
          <w:p>
            <w:pPr>
              <w:spacing w:after="0"/>
            </w:pPr>
            <w:r/>
            <w:r>
              <w:rPr>
                <w:rFonts w:ascii="Jost" w:hAnsi="Jost"/>
                <w:b w:val="0"/>
                <w:color w:val="2B2A28"/>
                <w:sz w:val="16"/>
              </w:rPr>
              <w:t>Reference one verified event, frame one testable value question and offer a focused diagnostic conversation.</w:t>
            </w:r>
          </w:p>
        </w:tc>
      </w:tr>
      <w:tr>
        <w:tc>
          <w:tcPr>
            <w:tcW w:type="dxa" w:w="2088"/>
            <w:vAlign w:val="center"/>
            <w:tcMar>
              <w:top w:w="100" w:type="dxa"/>
              <w:start w:w="120" w:type="dxa"/>
              <w:bottom w:w="100" w:type="dxa"/>
              <w:end w:w="120" w:type="dxa"/>
            </w:tcMar>
          </w:tcPr>
          <w:p>
            <w:pPr>
              <w:spacing w:after="0"/>
            </w:pPr>
            <w:r/>
            <w:r>
              <w:rPr>
                <w:rFonts w:ascii="Jost" w:hAnsi="Jost"/>
                <w:b w:val="0"/>
                <w:color w:val="2B2A28"/>
                <w:sz w:val="16"/>
              </w:rPr>
              <w:t>2 — Evidence contribution</w:t>
            </w:r>
          </w:p>
        </w:tc>
        <w:tc>
          <w:tcPr>
            <w:tcW w:type="dxa" w:w="2015"/>
            <w:vAlign w:val="center"/>
            <w:tcMar>
              <w:top w:w="100" w:type="dxa"/>
              <w:start w:w="120" w:type="dxa"/>
              <w:bottom w:w="100" w:type="dxa"/>
              <w:end w:w="120" w:type="dxa"/>
            </w:tcMar>
          </w:tcPr>
          <w:p>
            <w:pPr>
              <w:spacing w:after="0"/>
            </w:pPr>
            <w:r/>
            <w:r>
              <w:rPr>
                <w:rFonts w:ascii="Jost" w:hAnsi="Jost"/>
                <w:b w:val="0"/>
                <w:color w:val="2B2A28"/>
                <w:sz w:val="16"/>
              </w:rPr>
              <w:t>Day 4–5</w:t>
            </w:r>
          </w:p>
        </w:tc>
        <w:tc>
          <w:tcPr>
            <w:tcW w:type="dxa" w:w="5256"/>
            <w:vAlign w:val="center"/>
            <w:tcMar>
              <w:top w:w="100" w:type="dxa"/>
              <w:start w:w="120" w:type="dxa"/>
              <w:bottom w:w="100" w:type="dxa"/>
              <w:end w:w="120" w:type="dxa"/>
            </w:tcMar>
          </w:tcPr>
          <w:p>
            <w:pPr>
              <w:spacing w:after="0"/>
            </w:pPr>
            <w:r/>
            <w:r>
              <w:rPr>
                <w:rFonts w:ascii="Jost" w:hAnsi="Jost"/>
                <w:b w:val="0"/>
                <w:color w:val="2B2A28"/>
                <w:sz w:val="16"/>
              </w:rPr>
              <w:t>Share one concise KPI/evidence-chain insight relevant to the event; do not resend the same pitch.</w:t>
            </w:r>
          </w:p>
        </w:tc>
      </w:tr>
      <w:tr>
        <w:tc>
          <w:tcPr>
            <w:tcW w:type="dxa" w:w="2088"/>
            <w:shd w:fill="F1EBDD"/>
            <w:vAlign w:val="center"/>
            <w:tcMar>
              <w:top w:w="100" w:type="dxa"/>
              <w:start w:w="120" w:type="dxa"/>
              <w:bottom w:w="100" w:type="dxa"/>
              <w:end w:w="120" w:type="dxa"/>
            </w:tcMar>
          </w:tcPr>
          <w:p>
            <w:pPr>
              <w:spacing w:after="0"/>
            </w:pPr>
            <w:r/>
            <w:r>
              <w:rPr>
                <w:rFonts w:ascii="Jost" w:hAnsi="Jost"/>
                <w:b w:val="0"/>
                <w:color w:val="2B2A28"/>
                <w:sz w:val="16"/>
              </w:rPr>
              <w:t>3 — Role-specific route</w:t>
            </w:r>
          </w:p>
        </w:tc>
        <w:tc>
          <w:tcPr>
            <w:tcW w:type="dxa" w:w="2015"/>
            <w:shd w:fill="F1EBDD"/>
            <w:vAlign w:val="center"/>
            <w:tcMar>
              <w:top w:w="100" w:type="dxa"/>
              <w:start w:w="120" w:type="dxa"/>
              <w:bottom w:w="100" w:type="dxa"/>
              <w:end w:w="120" w:type="dxa"/>
            </w:tcMar>
          </w:tcPr>
          <w:p>
            <w:pPr>
              <w:spacing w:after="0"/>
            </w:pPr>
            <w:r/>
            <w:r>
              <w:rPr>
                <w:rFonts w:ascii="Jost" w:hAnsi="Jost"/>
                <w:b w:val="0"/>
                <w:color w:val="2B2A28"/>
                <w:sz w:val="16"/>
              </w:rPr>
              <w:t>Day 10–12</w:t>
            </w:r>
          </w:p>
        </w:tc>
        <w:tc>
          <w:tcPr>
            <w:tcW w:type="dxa" w:w="5256"/>
            <w:shd w:fill="F1EBDD"/>
            <w:vAlign w:val="center"/>
            <w:tcMar>
              <w:top w:w="100" w:type="dxa"/>
              <w:start w:w="120" w:type="dxa"/>
              <w:bottom w:w="100" w:type="dxa"/>
              <w:end w:w="120" w:type="dxa"/>
            </w:tcMar>
          </w:tcPr>
          <w:p>
            <w:pPr>
              <w:spacing w:after="0"/>
            </w:pPr>
            <w:r/>
            <w:r>
              <w:rPr>
                <w:rFonts w:ascii="Jost" w:hAnsi="Jost"/>
                <w:b w:val="0"/>
                <w:color w:val="2B2A28"/>
                <w:sz w:val="16"/>
              </w:rPr>
              <w:t>Approach an adjacent accountable function or request a correct referral.</w:t>
            </w:r>
          </w:p>
        </w:tc>
      </w:tr>
      <w:tr>
        <w:tc>
          <w:tcPr>
            <w:tcW w:type="dxa" w:w="2088"/>
            <w:vAlign w:val="center"/>
            <w:tcMar>
              <w:top w:w="100" w:type="dxa"/>
              <w:start w:w="120" w:type="dxa"/>
              <w:bottom w:w="100" w:type="dxa"/>
              <w:end w:w="120" w:type="dxa"/>
            </w:tcMar>
          </w:tcPr>
          <w:p>
            <w:pPr>
              <w:spacing w:after="0"/>
            </w:pPr>
            <w:r/>
            <w:r>
              <w:rPr>
                <w:rFonts w:ascii="Jost" w:hAnsi="Jost"/>
                <w:b w:val="0"/>
                <w:color w:val="2B2A28"/>
                <w:sz w:val="16"/>
              </w:rPr>
              <w:t>4 — New-signal follow-up</w:t>
            </w:r>
          </w:p>
        </w:tc>
        <w:tc>
          <w:tcPr>
            <w:tcW w:type="dxa" w:w="2015"/>
            <w:vAlign w:val="center"/>
            <w:tcMar>
              <w:top w:w="100" w:type="dxa"/>
              <w:start w:w="120" w:type="dxa"/>
              <w:bottom w:w="100" w:type="dxa"/>
              <w:end w:w="120" w:type="dxa"/>
            </w:tcMar>
          </w:tcPr>
          <w:p>
            <w:pPr>
              <w:spacing w:after="0"/>
            </w:pPr>
            <w:r/>
            <w:r>
              <w:rPr>
                <w:rFonts w:ascii="Jost" w:hAnsi="Jost"/>
                <w:b w:val="0"/>
                <w:color w:val="2B2A28"/>
                <w:sz w:val="16"/>
              </w:rPr>
              <w:t>Day 21–30 or upon catalyst</w:t>
            </w:r>
          </w:p>
        </w:tc>
        <w:tc>
          <w:tcPr>
            <w:tcW w:type="dxa" w:w="5256"/>
            <w:vAlign w:val="center"/>
            <w:tcMar>
              <w:top w:w="100" w:type="dxa"/>
              <w:start w:w="120" w:type="dxa"/>
              <w:bottom w:w="100" w:type="dxa"/>
              <w:end w:w="120" w:type="dxa"/>
            </w:tcMar>
          </w:tcPr>
          <w:p>
            <w:pPr>
              <w:spacing w:after="0"/>
            </w:pPr>
            <w:r/>
            <w:r>
              <w:rPr>
                <w:rFonts w:ascii="Jost" w:hAnsi="Jost"/>
                <w:b w:val="0"/>
                <w:color w:val="2B2A28"/>
                <w:sz w:val="16"/>
              </w:rPr>
              <w:t>Only follow up with new information, a changed event or a distinct useful artifact.</w:t>
            </w:r>
          </w:p>
        </w:tc>
      </w:tr>
      <w:tr>
        <w:tc>
          <w:tcPr>
            <w:tcW w:type="dxa" w:w="2088"/>
            <w:shd w:fill="F1EBDD"/>
            <w:vAlign w:val="center"/>
            <w:tcMar>
              <w:top w:w="100" w:type="dxa"/>
              <w:start w:w="120" w:type="dxa"/>
              <w:bottom w:w="100" w:type="dxa"/>
              <w:end w:w="120" w:type="dxa"/>
            </w:tcMar>
          </w:tcPr>
          <w:p>
            <w:pPr>
              <w:spacing w:after="0"/>
            </w:pPr>
            <w:r/>
            <w:r>
              <w:rPr>
                <w:rFonts w:ascii="Jost" w:hAnsi="Jost"/>
                <w:b w:val="0"/>
                <w:color w:val="2B2A28"/>
                <w:sz w:val="16"/>
              </w:rPr>
              <w:t>Nurture</w:t>
            </w:r>
          </w:p>
        </w:tc>
        <w:tc>
          <w:tcPr>
            <w:tcW w:type="dxa" w:w="2015"/>
            <w:shd w:fill="F1EBDD"/>
            <w:vAlign w:val="center"/>
            <w:tcMar>
              <w:top w:w="100" w:type="dxa"/>
              <w:start w:w="120" w:type="dxa"/>
              <w:bottom w:w="100" w:type="dxa"/>
              <w:end w:w="120" w:type="dxa"/>
            </w:tcMar>
          </w:tcPr>
          <w:p>
            <w:pPr>
              <w:spacing w:after="0"/>
            </w:pPr>
            <w:r/>
            <w:r>
              <w:rPr>
                <w:rFonts w:ascii="Jost" w:hAnsi="Jost"/>
                <w:b w:val="0"/>
                <w:color w:val="2B2A28"/>
                <w:sz w:val="16"/>
              </w:rPr>
              <w:t>Every 30–60 days</w:t>
            </w:r>
          </w:p>
        </w:tc>
        <w:tc>
          <w:tcPr>
            <w:tcW w:type="dxa" w:w="5256"/>
            <w:shd w:fill="F1EBDD"/>
            <w:vAlign w:val="center"/>
            <w:tcMar>
              <w:top w:w="100" w:type="dxa"/>
              <w:start w:w="120" w:type="dxa"/>
              <w:bottom w:w="100" w:type="dxa"/>
              <w:end w:w="120" w:type="dxa"/>
            </w:tcMar>
          </w:tcPr>
          <w:p>
            <w:pPr>
              <w:spacing w:after="0"/>
            </w:pPr>
            <w:r/>
            <w:r>
              <w:rPr>
                <w:rFonts w:ascii="Jost" w:hAnsi="Jost"/>
                <w:b w:val="0"/>
                <w:color w:val="2B2A28"/>
                <w:sz w:val="16"/>
              </w:rPr>
              <w:t>Continue only when the target remains qualified; stop on opt-out, irrelevance or repeated non-response.</w:t>
            </w:r>
          </w:p>
        </w:tc>
      </w:tr>
    </w:tbl>
    <w:p>
      <w:pPr>
        <w:spacing w:after="0"/>
      </w:pPr>
    </w:p>
    <w:p>
      <w:pPr>
        <w:pStyle w:val="Heading1"/>
      </w:pPr>
      <w:r>
        <w:t>Career outreach cadence</w:t>
      </w:r>
    </w:p>
    <w:tbl>
      <w:tblPr>
        <w:tblStyle w:val="TableGrid"/>
        <w:tblW w:type="dxa" w:w="9360"/>
        <w:jc w:val="center"/>
        <w:tblLayout w:type="fixed"/>
        <w:tblLook w:firstColumn="1" w:firstRow="1" w:lastColumn="0" w:lastRow="0" w:noHBand="0" w:noVBand="1" w:val="04A0"/>
      </w:tblPr>
      <w:tblGrid>
        <w:gridCol w:w="2088"/>
        <w:gridCol w:w="2015"/>
        <w:gridCol w:w="5256"/>
      </w:tblGrid>
      <w:tr>
        <w:trPr>
          <w:tblHeader w:val="true"/>
        </w:trPr>
        <w:tc>
          <w:tcPr>
            <w:tcW w:type="dxa" w:w="2088"/>
            <w:shd w:fill="345A68"/>
            <w:vAlign w:val="center"/>
            <w:tcMar>
              <w:top w:w="100" w:type="dxa"/>
              <w:start w:w="120" w:type="dxa"/>
              <w:bottom w:w="100" w:type="dxa"/>
              <w:end w:w="120" w:type="dxa"/>
            </w:tcMar>
          </w:tcPr>
          <w:p>
            <w:pPr>
              <w:spacing w:after="0"/>
            </w:pPr>
            <w:r/>
            <w:r>
              <w:rPr>
                <w:rFonts w:ascii="Jost" w:hAnsi="Jost"/>
                <w:b/>
                <w:color w:val="FFFFFF"/>
                <w:sz w:val="16"/>
              </w:rPr>
              <w:t>Touch</w:t>
            </w:r>
          </w:p>
        </w:tc>
        <w:tc>
          <w:tcPr>
            <w:tcW w:type="dxa" w:w="2016"/>
            <w:shd w:fill="345A68"/>
            <w:vAlign w:val="center"/>
            <w:tcMar>
              <w:top w:w="100" w:type="dxa"/>
              <w:start w:w="120" w:type="dxa"/>
              <w:bottom w:w="100" w:type="dxa"/>
              <w:end w:w="120" w:type="dxa"/>
            </w:tcMar>
          </w:tcPr>
          <w:p>
            <w:pPr>
              <w:spacing w:after="0"/>
            </w:pPr>
            <w:r/>
            <w:r>
              <w:rPr>
                <w:rFonts w:ascii="Jost" w:hAnsi="Jost"/>
                <w:b/>
                <w:color w:val="FFFFFF"/>
                <w:sz w:val="16"/>
              </w:rPr>
              <w:t>Timing</w:t>
            </w:r>
          </w:p>
        </w:tc>
        <w:tc>
          <w:tcPr>
            <w:tcW w:type="dxa" w:w="5256"/>
            <w:shd w:fill="345A68"/>
            <w:vAlign w:val="center"/>
            <w:tcMar>
              <w:top w:w="100" w:type="dxa"/>
              <w:start w:w="120" w:type="dxa"/>
              <w:bottom w:w="100" w:type="dxa"/>
              <w:end w:w="120" w:type="dxa"/>
            </w:tcMar>
          </w:tcPr>
          <w:p>
            <w:pPr>
              <w:spacing w:after="0"/>
            </w:pPr>
            <w:r/>
            <w:r>
              <w:rPr>
                <w:rFonts w:ascii="Jost" w:hAnsi="Jost"/>
                <w:b/>
                <w:color w:val="FFFFFF"/>
                <w:sz w:val="16"/>
              </w:rPr>
              <w:t>Purpose</w:t>
            </w:r>
          </w:p>
        </w:tc>
      </w:tr>
      <w:tr>
        <w:tc>
          <w:tcPr>
            <w:tcW w:type="dxa" w:w="2088"/>
            <w:vAlign w:val="center"/>
            <w:tcMar>
              <w:top w:w="100" w:type="dxa"/>
              <w:start w:w="120" w:type="dxa"/>
              <w:bottom w:w="100" w:type="dxa"/>
              <w:end w:w="120" w:type="dxa"/>
            </w:tcMar>
          </w:tcPr>
          <w:p>
            <w:pPr>
              <w:spacing w:after="0"/>
            </w:pPr>
            <w:r/>
            <w:r>
              <w:rPr>
                <w:rFonts w:ascii="Jost" w:hAnsi="Jost"/>
                <w:b w:val="0"/>
                <w:color w:val="2B2A28"/>
                <w:sz w:val="16"/>
              </w:rPr>
              <w:t>Application readiness</w:t>
            </w:r>
          </w:p>
        </w:tc>
        <w:tc>
          <w:tcPr>
            <w:tcW w:type="dxa" w:w="2015"/>
            <w:vAlign w:val="center"/>
            <w:tcMar>
              <w:top w:w="100" w:type="dxa"/>
              <w:start w:w="120" w:type="dxa"/>
              <w:bottom w:w="100" w:type="dxa"/>
              <w:end w:w="120" w:type="dxa"/>
            </w:tcMar>
          </w:tcPr>
          <w:p>
            <w:pPr>
              <w:spacing w:after="0"/>
            </w:pPr>
            <w:r/>
            <w:r>
              <w:rPr>
                <w:rFonts w:ascii="Jost" w:hAnsi="Jost"/>
                <w:b w:val="0"/>
                <w:color w:val="2B2A28"/>
                <w:sz w:val="16"/>
              </w:rPr>
              <w:t>Before contact</w:t>
            </w:r>
          </w:p>
        </w:tc>
        <w:tc>
          <w:tcPr>
            <w:tcW w:type="dxa" w:w="5256"/>
            <w:vAlign w:val="center"/>
            <w:tcMar>
              <w:top w:w="100" w:type="dxa"/>
              <w:start w:w="120" w:type="dxa"/>
              <w:bottom w:w="100" w:type="dxa"/>
              <w:end w:w="120" w:type="dxa"/>
            </w:tcMar>
          </w:tcPr>
          <w:p>
            <w:pPr>
              <w:spacing w:after="0"/>
            </w:pPr>
            <w:r/>
            <w:r>
              <w:rPr>
                <w:rFonts w:ascii="Jost" w:hAnsi="Jost"/>
                <w:b w:val="0"/>
                <w:color w:val="2B2A28"/>
                <w:sz w:val="16"/>
              </w:rPr>
              <w:t>Re-open role; tailor resume proof; identify function and recruiter; log requisition.</w:t>
            </w:r>
          </w:p>
        </w:tc>
      </w:tr>
      <w:tr>
        <w:tc>
          <w:tcPr>
            <w:tcW w:type="dxa" w:w="2088"/>
            <w:shd w:fill="F1EBDD"/>
            <w:vAlign w:val="center"/>
            <w:tcMar>
              <w:top w:w="100" w:type="dxa"/>
              <w:start w:w="120" w:type="dxa"/>
              <w:bottom w:w="100" w:type="dxa"/>
              <w:end w:w="120" w:type="dxa"/>
            </w:tcMar>
          </w:tcPr>
          <w:p>
            <w:pPr>
              <w:spacing w:after="0"/>
            </w:pPr>
            <w:r/>
            <w:r>
              <w:rPr>
                <w:rFonts w:ascii="Jost" w:hAnsi="Jost"/>
                <w:b w:val="0"/>
                <w:color w:val="2B2A28"/>
                <w:sz w:val="16"/>
              </w:rPr>
              <w:t>1 — Hiring-function contact</w:t>
            </w:r>
          </w:p>
        </w:tc>
        <w:tc>
          <w:tcPr>
            <w:tcW w:type="dxa" w:w="2015"/>
            <w:shd w:fill="F1EBDD"/>
            <w:vAlign w:val="center"/>
            <w:tcMar>
              <w:top w:w="100" w:type="dxa"/>
              <w:start w:w="120" w:type="dxa"/>
              <w:bottom w:w="100" w:type="dxa"/>
              <w:end w:w="120" w:type="dxa"/>
            </w:tcMar>
          </w:tcPr>
          <w:p>
            <w:pPr>
              <w:spacing w:after="0"/>
            </w:pPr>
            <w:r/>
            <w:r>
              <w:rPr>
                <w:rFonts w:ascii="Jost" w:hAnsi="Jost"/>
                <w:b w:val="0"/>
                <w:color w:val="2B2A28"/>
                <w:sz w:val="16"/>
              </w:rPr>
              <w:t>Day 0–1</w:t>
            </w:r>
          </w:p>
        </w:tc>
        <w:tc>
          <w:tcPr>
            <w:tcW w:type="dxa" w:w="5256"/>
            <w:shd w:fill="F1EBDD"/>
            <w:vAlign w:val="center"/>
            <w:tcMar>
              <w:top w:w="100" w:type="dxa"/>
              <w:start w:w="120" w:type="dxa"/>
              <w:bottom w:w="100" w:type="dxa"/>
              <w:end w:w="120" w:type="dxa"/>
            </w:tcMar>
          </w:tcPr>
          <w:p>
            <w:pPr>
              <w:spacing w:after="0"/>
            </w:pPr>
            <w:r/>
            <w:r>
              <w:rPr>
                <w:rFonts w:ascii="Jost" w:hAnsi="Jost"/>
                <w:b w:val="0"/>
                <w:color w:val="2B2A28"/>
                <w:sz w:val="16"/>
              </w:rPr>
              <w:t>Short role-specific note linking 2–3 requirements to credible outcomes and asking one substantive question.</w:t>
            </w:r>
          </w:p>
        </w:tc>
      </w:tr>
      <w:tr>
        <w:tc>
          <w:tcPr>
            <w:tcW w:type="dxa" w:w="2088"/>
            <w:vAlign w:val="center"/>
            <w:tcMar>
              <w:top w:w="100" w:type="dxa"/>
              <w:start w:w="120" w:type="dxa"/>
              <w:bottom w:w="100" w:type="dxa"/>
              <w:end w:w="120" w:type="dxa"/>
            </w:tcMar>
          </w:tcPr>
          <w:p>
            <w:pPr>
              <w:spacing w:after="0"/>
            </w:pPr>
            <w:r/>
            <w:r>
              <w:rPr>
                <w:rFonts w:ascii="Jost" w:hAnsi="Jost"/>
                <w:b w:val="0"/>
                <w:color w:val="2B2A28"/>
                <w:sz w:val="16"/>
              </w:rPr>
              <w:t>2 — Recruiter/application follow-up</w:t>
            </w:r>
          </w:p>
        </w:tc>
        <w:tc>
          <w:tcPr>
            <w:tcW w:type="dxa" w:w="2015"/>
            <w:vAlign w:val="center"/>
            <w:tcMar>
              <w:top w:w="100" w:type="dxa"/>
              <w:start w:w="120" w:type="dxa"/>
              <w:bottom w:w="100" w:type="dxa"/>
              <w:end w:w="120" w:type="dxa"/>
            </w:tcMar>
          </w:tcPr>
          <w:p>
            <w:pPr>
              <w:spacing w:after="0"/>
            </w:pPr>
            <w:r/>
            <w:r>
              <w:rPr>
                <w:rFonts w:ascii="Jost" w:hAnsi="Jost"/>
                <w:b w:val="0"/>
                <w:color w:val="2B2A28"/>
                <w:sz w:val="16"/>
              </w:rPr>
              <w:t>Day 4–6</w:t>
            </w:r>
          </w:p>
        </w:tc>
        <w:tc>
          <w:tcPr>
            <w:tcW w:type="dxa" w:w="5256"/>
            <w:vAlign w:val="center"/>
            <w:tcMar>
              <w:top w:w="100" w:type="dxa"/>
              <w:start w:w="120" w:type="dxa"/>
              <w:bottom w:w="100" w:type="dxa"/>
              <w:end w:w="120" w:type="dxa"/>
            </w:tcMar>
          </w:tcPr>
          <w:p>
            <w:pPr>
              <w:spacing w:after="0"/>
            </w:pPr>
            <w:r/>
            <w:r>
              <w:rPr>
                <w:rFonts w:ascii="Jost" w:hAnsi="Jost"/>
                <w:b w:val="0"/>
                <w:color w:val="2B2A28"/>
                <w:sz w:val="16"/>
              </w:rPr>
              <w:t>Confirm application and restate differentiated fit in one paragraph.</w:t>
            </w:r>
          </w:p>
        </w:tc>
      </w:tr>
      <w:tr>
        <w:tc>
          <w:tcPr>
            <w:tcW w:type="dxa" w:w="2088"/>
            <w:shd w:fill="F1EBDD"/>
            <w:vAlign w:val="center"/>
            <w:tcMar>
              <w:top w:w="100" w:type="dxa"/>
              <w:start w:w="120" w:type="dxa"/>
              <w:bottom w:w="100" w:type="dxa"/>
              <w:end w:w="120" w:type="dxa"/>
            </w:tcMar>
          </w:tcPr>
          <w:p>
            <w:pPr>
              <w:spacing w:after="0"/>
            </w:pPr>
            <w:r/>
            <w:r>
              <w:rPr>
                <w:rFonts w:ascii="Jost" w:hAnsi="Jost"/>
                <w:b w:val="0"/>
                <w:color w:val="2B2A28"/>
                <w:sz w:val="16"/>
              </w:rPr>
              <w:t>3 — Value contribution</w:t>
            </w:r>
          </w:p>
        </w:tc>
        <w:tc>
          <w:tcPr>
            <w:tcW w:type="dxa" w:w="2015"/>
            <w:shd w:fill="F1EBDD"/>
            <w:vAlign w:val="center"/>
            <w:tcMar>
              <w:top w:w="100" w:type="dxa"/>
              <w:start w:w="120" w:type="dxa"/>
              <w:bottom w:w="100" w:type="dxa"/>
              <w:end w:w="120" w:type="dxa"/>
            </w:tcMar>
          </w:tcPr>
          <w:p>
            <w:pPr>
              <w:spacing w:after="0"/>
            </w:pPr>
            <w:r/>
            <w:r>
              <w:rPr>
                <w:rFonts w:ascii="Jost" w:hAnsi="Jost"/>
                <w:b w:val="0"/>
                <w:color w:val="2B2A28"/>
                <w:sz w:val="16"/>
              </w:rPr>
              <w:t>Day 10–12</w:t>
            </w:r>
          </w:p>
        </w:tc>
        <w:tc>
          <w:tcPr>
            <w:tcW w:type="dxa" w:w="5256"/>
            <w:shd w:fill="F1EBDD"/>
            <w:vAlign w:val="center"/>
            <w:tcMar>
              <w:top w:w="100" w:type="dxa"/>
              <w:start w:w="120" w:type="dxa"/>
              <w:bottom w:w="100" w:type="dxa"/>
              <w:end w:w="120" w:type="dxa"/>
            </w:tcMar>
          </w:tcPr>
          <w:p>
            <w:pPr>
              <w:spacing w:after="0"/>
            </w:pPr>
            <w:r/>
            <w:r>
              <w:rPr>
                <w:rFonts w:ascii="Jost" w:hAnsi="Jost"/>
                <w:b w:val="0"/>
                <w:color w:val="2B2A28"/>
                <w:sz w:val="16"/>
              </w:rPr>
              <w:t>Share a concise perspective relevant to the role mandate; avoid generic “checking in.”</w:t>
            </w:r>
          </w:p>
        </w:tc>
      </w:tr>
      <w:tr>
        <w:tc>
          <w:tcPr>
            <w:tcW w:type="dxa" w:w="2088"/>
            <w:vAlign w:val="center"/>
            <w:tcMar>
              <w:top w:w="100" w:type="dxa"/>
              <w:start w:w="120" w:type="dxa"/>
              <w:bottom w:w="100" w:type="dxa"/>
              <w:end w:w="120" w:type="dxa"/>
            </w:tcMar>
          </w:tcPr>
          <w:p>
            <w:pPr>
              <w:spacing w:after="0"/>
            </w:pPr>
            <w:r/>
            <w:r>
              <w:rPr>
                <w:rFonts w:ascii="Jost" w:hAnsi="Jost"/>
                <w:b w:val="0"/>
                <w:color w:val="2B2A28"/>
                <w:sz w:val="16"/>
              </w:rPr>
              <w:t>4 — Final active follow-up</w:t>
            </w:r>
          </w:p>
        </w:tc>
        <w:tc>
          <w:tcPr>
            <w:tcW w:type="dxa" w:w="2015"/>
            <w:vAlign w:val="center"/>
            <w:tcMar>
              <w:top w:w="100" w:type="dxa"/>
              <w:start w:w="120" w:type="dxa"/>
              <w:bottom w:w="100" w:type="dxa"/>
              <w:end w:w="120" w:type="dxa"/>
            </w:tcMar>
          </w:tcPr>
          <w:p>
            <w:pPr>
              <w:spacing w:after="0"/>
            </w:pPr>
            <w:r/>
            <w:r>
              <w:rPr>
                <w:rFonts w:ascii="Jost" w:hAnsi="Jost"/>
                <w:b w:val="0"/>
                <w:color w:val="2B2A28"/>
                <w:sz w:val="16"/>
              </w:rPr>
              <w:t>Day 18–21</w:t>
            </w:r>
          </w:p>
        </w:tc>
        <w:tc>
          <w:tcPr>
            <w:tcW w:type="dxa" w:w="5256"/>
            <w:vAlign w:val="center"/>
            <w:tcMar>
              <w:top w:w="100" w:type="dxa"/>
              <w:start w:w="120" w:type="dxa"/>
              <w:bottom w:w="100" w:type="dxa"/>
              <w:end w:w="120" w:type="dxa"/>
            </w:tcMar>
          </w:tcPr>
          <w:p>
            <w:pPr>
              <w:spacing w:after="0"/>
            </w:pPr>
            <w:r/>
            <w:r>
              <w:rPr>
                <w:rFonts w:ascii="Jost" w:hAnsi="Jost"/>
                <w:b w:val="0"/>
                <w:color w:val="2B2A28"/>
                <w:sz w:val="16"/>
              </w:rPr>
              <w:t>Close the loop respectfully; ask to be considered for adjacent roles if the current role has moved.</w:t>
            </w:r>
          </w:p>
        </w:tc>
      </w:tr>
      <w:tr>
        <w:tc>
          <w:tcPr>
            <w:tcW w:type="dxa" w:w="2088"/>
            <w:shd w:fill="F1EBDD"/>
            <w:vAlign w:val="center"/>
            <w:tcMar>
              <w:top w:w="100" w:type="dxa"/>
              <w:start w:w="120" w:type="dxa"/>
              <w:bottom w:w="100" w:type="dxa"/>
              <w:end w:w="120" w:type="dxa"/>
            </w:tcMar>
          </w:tcPr>
          <w:p>
            <w:pPr>
              <w:spacing w:after="0"/>
            </w:pPr>
            <w:r/>
            <w:r>
              <w:rPr>
                <w:rFonts w:ascii="Jost" w:hAnsi="Jost"/>
                <w:b w:val="0"/>
                <w:color w:val="2B2A28"/>
                <w:sz w:val="16"/>
              </w:rPr>
              <w:t>Nurture</w:t>
            </w:r>
          </w:p>
        </w:tc>
        <w:tc>
          <w:tcPr>
            <w:tcW w:type="dxa" w:w="2015"/>
            <w:shd w:fill="F1EBDD"/>
            <w:vAlign w:val="center"/>
            <w:tcMar>
              <w:top w:w="100" w:type="dxa"/>
              <w:start w:w="120" w:type="dxa"/>
              <w:bottom w:w="100" w:type="dxa"/>
              <w:end w:w="120" w:type="dxa"/>
            </w:tcMar>
          </w:tcPr>
          <w:p>
            <w:pPr>
              <w:spacing w:after="0"/>
            </w:pPr>
            <w:r/>
            <w:r>
              <w:rPr>
                <w:rFonts w:ascii="Jost" w:hAnsi="Jost"/>
                <w:b w:val="0"/>
                <w:color w:val="2B2A28"/>
                <w:sz w:val="16"/>
              </w:rPr>
              <w:t>On new role or material company event</w:t>
            </w:r>
          </w:p>
        </w:tc>
        <w:tc>
          <w:tcPr>
            <w:tcW w:type="dxa" w:w="5256"/>
            <w:shd w:fill="F1EBDD"/>
            <w:vAlign w:val="center"/>
            <w:tcMar>
              <w:top w:w="100" w:type="dxa"/>
              <w:start w:w="120" w:type="dxa"/>
              <w:bottom w:w="100" w:type="dxa"/>
              <w:end w:w="120" w:type="dxa"/>
            </w:tcMar>
          </w:tcPr>
          <w:p>
            <w:pPr>
              <w:spacing w:after="0"/>
            </w:pPr>
            <w:r/>
            <w:r>
              <w:rPr>
                <w:rFonts w:ascii="Jost" w:hAnsi="Jost"/>
                <w:b w:val="0"/>
                <w:color w:val="2B2A28"/>
                <w:sz w:val="16"/>
              </w:rPr>
              <w:t>Reconnect based on a new and relevant reason, not a mechanical cadence.</w:t>
            </w:r>
          </w:p>
        </w:tc>
      </w:tr>
    </w:tbl>
    <w:p>
      <w:pPr>
        <w:spacing w:after="0"/>
      </w:pPr>
    </w:p>
    <w:p>
      <w:pPr>
        <w:pStyle w:val="Title"/>
      </w:pPr>
      <w:r>
        <w:t>11. Contact discovery and identity rules</w:t>
      </w:r>
    </w:p>
    <w:p>
      <w:pPr>
        <w:pStyle w:val="ListNumber"/>
      </w:pPr>
      <w:r>
        <w:t>Read the job posting, company leadership pages, department pages and public organizational descriptions to identify the accountable function and any stated reporting line.</w:t>
      </w:r>
    </w:p>
    <w:p>
      <w:pPr>
        <w:pStyle w:val="ListNumber"/>
      </w:pPr>
      <w:r>
        <w:t>Search public professional profiles for the exact company plus functional title. Record candidates and evidence; do not immediately label the first executive found as the hiring manager.</w:t>
      </w:r>
    </w:p>
    <w:p>
      <w:pPr>
        <w:pStyle w:val="ListNumber"/>
      </w:pPr>
      <w:r>
        <w:t>Check company recruiters, talent partners, portfolio talent leaders, sponsor operating partners, board members, event speakers and mutual professional connections for the best route.</w:t>
      </w:r>
    </w:p>
    <w:p>
      <w:pPr>
        <w:pStyle w:val="ListNumber"/>
      </w:pPr>
      <w:r>
        <w:t>Prefer official contact forms, company email channels, recruiter messages, professional-network messaging and consented introductions.</w:t>
      </w:r>
    </w:p>
    <w:p>
      <w:pPr>
        <w:pStyle w:val="ListNumber"/>
      </w:pPr>
      <w:r>
        <w:t>If using a business contact database, treat results as unverified until validated. Never generate an address from a pattern and present it as known.</w:t>
      </w:r>
    </w:p>
    <w:p>
      <w:pPr>
        <w:pStyle w:val="ListNumber"/>
      </w:pPr>
      <w:r>
        <w:t>Store contact confidence: confirmed by employer; strong public functional evidence; plausible function only; recruiter route; unverified lead.</w:t>
      </w:r>
    </w:p>
    <w:p>
      <w:pPr>
        <w:pStyle w:val="ListNumber"/>
      </w:pPr>
      <w:r>
        <w:t>Use public professional data only and honor opt-outs. Never enrich sensitive personal data or use personal phone/home contact information.</w:t>
      </w:r>
    </w:p>
    <w:p>
      <w:pPr>
        <w:pStyle w:val="Title"/>
      </w:pPr>
      <w:r>
        <w:t>12. Weekly deliverables</w:t>
      </w:r>
    </w:p>
    <w:tbl>
      <w:tblPr>
        <w:tblStyle w:val="TableGrid"/>
        <w:tblW w:type="dxa" w:w="9360"/>
        <w:jc w:val="center"/>
        <w:tblLayout w:type="fixed"/>
        <w:tblLook w:firstColumn="1" w:firstRow="1" w:lastColumn="0" w:lastRow="0" w:noHBand="0" w:noVBand="1" w:val="04A0"/>
      </w:tblPr>
      <w:tblGrid>
        <w:gridCol w:w="2520"/>
        <w:gridCol w:w="6840"/>
      </w:tblGrid>
      <w:tr>
        <w:trPr>
          <w:tblHeader w:val="true"/>
        </w:trPr>
        <w:tc>
          <w:tcPr>
            <w:tcW w:type="dxa" w:w="2520"/>
            <w:shd w:fill="345A68"/>
            <w:vAlign w:val="center"/>
            <w:tcMar>
              <w:top w:w="100" w:type="dxa"/>
              <w:start w:w="120" w:type="dxa"/>
              <w:bottom w:w="100" w:type="dxa"/>
              <w:end w:w="120" w:type="dxa"/>
            </w:tcMar>
          </w:tcPr>
          <w:p>
            <w:pPr>
              <w:spacing w:after="0"/>
            </w:pPr>
            <w:r/>
            <w:r>
              <w:rPr>
                <w:rFonts w:ascii="Jost" w:hAnsi="Jost"/>
                <w:b/>
                <w:color w:val="FFFFFF"/>
                <w:sz w:val="16"/>
              </w:rPr>
              <w:t>Deliverable</w:t>
            </w:r>
          </w:p>
        </w:tc>
        <w:tc>
          <w:tcPr>
            <w:tcW w:type="dxa" w:w="6840"/>
            <w:shd w:fill="345A68"/>
            <w:vAlign w:val="center"/>
            <w:tcMar>
              <w:top w:w="100" w:type="dxa"/>
              <w:start w:w="120" w:type="dxa"/>
              <w:bottom w:w="100" w:type="dxa"/>
              <w:end w:w="120" w:type="dxa"/>
            </w:tcMar>
          </w:tcPr>
          <w:p>
            <w:pPr>
              <w:spacing w:after="0"/>
            </w:pPr>
            <w:r/>
            <w:r>
              <w:rPr>
                <w:rFonts w:ascii="Jost" w:hAnsi="Jost"/>
                <w:b/>
                <w:color w:val="FFFFFF"/>
                <w:sz w:val="16"/>
              </w:rPr>
              <w:t>What changes each week</w:t>
            </w:r>
          </w:p>
        </w:tc>
      </w:tr>
      <w:tr>
        <w:tc>
          <w:tcPr>
            <w:tcW w:type="dxa" w:w="2520"/>
            <w:vAlign w:val="center"/>
            <w:tcMar>
              <w:top w:w="100" w:type="dxa"/>
              <w:start w:w="120" w:type="dxa"/>
              <w:bottom w:w="100" w:type="dxa"/>
              <w:end w:w="120" w:type="dxa"/>
            </w:tcMar>
          </w:tcPr>
          <w:p>
            <w:pPr>
              <w:spacing w:after="0"/>
            </w:pPr>
            <w:r/>
            <w:r>
              <w:rPr>
                <w:rFonts w:ascii="Jost" w:hAnsi="Jost"/>
                <w:b w:val="0"/>
                <w:color w:val="2B2A28"/>
                <w:sz w:val="16"/>
              </w:rPr>
              <w:t>Weekly executive brief</w:t>
            </w:r>
          </w:p>
        </w:tc>
        <w:tc>
          <w:tcPr>
            <w:tcW w:type="dxa" w:w="6840"/>
            <w:vAlign w:val="center"/>
            <w:tcMar>
              <w:top w:w="100" w:type="dxa"/>
              <w:start w:w="120" w:type="dxa"/>
              <w:bottom w:w="100" w:type="dxa"/>
              <w:end w:w="120" w:type="dxa"/>
            </w:tcMar>
          </w:tcPr>
          <w:p>
            <w:pPr>
              <w:spacing w:after="0"/>
            </w:pPr>
            <w:r/>
            <w:r>
              <w:rPr>
                <w:rFonts w:ascii="Jost" w:hAnsi="Jost"/>
                <w:b w:val="0"/>
                <w:color w:val="2B2A28"/>
                <w:sz w:val="16"/>
              </w:rPr>
              <w:t>Top new signals; highest-rising/falling opportunities; urgent career roles; outreach due; decisions needed.</w:t>
            </w:r>
          </w:p>
        </w:tc>
      </w:tr>
      <w:tr>
        <w:tc>
          <w:tcPr>
            <w:tcW w:type="dxa" w:w="2520"/>
            <w:shd w:fill="F1EBDD"/>
            <w:vAlign w:val="center"/>
            <w:tcMar>
              <w:top w:w="100" w:type="dxa"/>
              <w:start w:w="120" w:type="dxa"/>
              <w:bottom w:w="100" w:type="dxa"/>
              <w:end w:w="120" w:type="dxa"/>
            </w:tcMar>
          </w:tcPr>
          <w:p>
            <w:pPr>
              <w:spacing w:after="0"/>
            </w:pPr>
            <w:r/>
            <w:r>
              <w:rPr>
                <w:rFonts w:ascii="Jost" w:hAnsi="Jost"/>
                <w:b w:val="0"/>
                <w:color w:val="2B2A28"/>
                <w:sz w:val="16"/>
              </w:rPr>
              <w:t>Commercial opportunity registry</w:t>
            </w:r>
          </w:p>
        </w:tc>
        <w:tc>
          <w:tcPr>
            <w:tcW w:type="dxa" w:w="6840"/>
            <w:shd w:fill="F1EBDD"/>
            <w:vAlign w:val="center"/>
            <w:tcMar>
              <w:top w:w="100" w:type="dxa"/>
              <w:start w:w="120" w:type="dxa"/>
              <w:bottom w:w="100" w:type="dxa"/>
              <w:end w:w="120" w:type="dxa"/>
            </w:tcMar>
          </w:tcPr>
          <w:p>
            <w:pPr>
              <w:spacing w:after="0"/>
            </w:pPr>
            <w:r/>
            <w:r>
              <w:rPr>
                <w:rFonts w:ascii="Jost" w:hAnsi="Jost"/>
                <w:b w:val="0"/>
                <w:color w:val="2B2A28"/>
                <w:sz w:val="16"/>
              </w:rPr>
              <w:t>Append new company-event pairs and temporal updates; preserve scores, evidence, KPIs, solution and outreach status.</w:t>
            </w:r>
          </w:p>
        </w:tc>
      </w:tr>
      <w:tr>
        <w:tc>
          <w:tcPr>
            <w:tcW w:type="dxa" w:w="2520"/>
            <w:vAlign w:val="center"/>
            <w:tcMar>
              <w:top w:w="100" w:type="dxa"/>
              <w:start w:w="120" w:type="dxa"/>
              <w:bottom w:w="100" w:type="dxa"/>
              <w:end w:w="120" w:type="dxa"/>
            </w:tcMar>
          </w:tcPr>
          <w:p>
            <w:pPr>
              <w:spacing w:after="0"/>
            </w:pPr>
            <w:r/>
            <w:r>
              <w:rPr>
                <w:rFonts w:ascii="Jost" w:hAnsi="Jost"/>
                <w:b w:val="0"/>
                <w:color w:val="2B2A28"/>
                <w:sz w:val="16"/>
              </w:rPr>
              <w:t>Career match registry</w:t>
            </w:r>
          </w:p>
        </w:tc>
        <w:tc>
          <w:tcPr>
            <w:tcW w:type="dxa" w:w="6840"/>
            <w:vAlign w:val="center"/>
            <w:tcMar>
              <w:top w:w="100" w:type="dxa"/>
              <w:start w:w="120" w:type="dxa"/>
              <w:bottom w:w="100" w:type="dxa"/>
              <w:end w:w="120" w:type="dxa"/>
            </w:tcMar>
          </w:tcPr>
          <w:p>
            <w:pPr>
              <w:spacing w:after="0"/>
            </w:pPr>
            <w:r/>
            <w:r>
              <w:rPr>
                <w:rFonts w:ascii="Jost" w:hAnsi="Jost"/>
                <w:b w:val="0"/>
                <w:color w:val="2B2A28"/>
                <w:sz w:val="16"/>
              </w:rPr>
              <w:t>Append net-new roles; update open/closed status; retain match scores, posting verification, hiring-function evidence and positioning.</w:t>
            </w:r>
          </w:p>
        </w:tc>
      </w:tr>
      <w:tr>
        <w:tc>
          <w:tcPr>
            <w:tcW w:type="dxa" w:w="2520"/>
            <w:shd w:fill="F1EBDD"/>
            <w:vAlign w:val="center"/>
            <w:tcMar>
              <w:top w:w="100" w:type="dxa"/>
              <w:start w:w="120" w:type="dxa"/>
              <w:bottom w:w="100" w:type="dxa"/>
              <w:end w:w="120" w:type="dxa"/>
            </w:tcMar>
          </w:tcPr>
          <w:p>
            <w:pPr>
              <w:spacing w:after="0"/>
            </w:pPr>
            <w:r/>
            <w:r>
              <w:rPr>
                <w:rFonts w:ascii="Jost" w:hAnsi="Jost"/>
                <w:b w:val="0"/>
                <w:color w:val="2B2A28"/>
                <w:sz w:val="16"/>
              </w:rPr>
              <w:t>Target expansion log</w:t>
            </w:r>
          </w:p>
        </w:tc>
        <w:tc>
          <w:tcPr>
            <w:tcW w:type="dxa" w:w="6840"/>
            <w:shd w:fill="F1EBDD"/>
            <w:vAlign w:val="center"/>
            <w:tcMar>
              <w:top w:w="100" w:type="dxa"/>
              <w:start w:w="120" w:type="dxa"/>
              <w:bottom w:w="100" w:type="dxa"/>
              <w:end w:w="120" w:type="dxa"/>
            </w:tcMar>
          </w:tcPr>
          <w:p>
            <w:pPr>
              <w:spacing w:after="0"/>
            </w:pPr>
            <w:r/>
            <w:r>
              <w:rPr>
                <w:rFonts w:ascii="Jost" w:hAnsi="Jost"/>
                <w:b w:val="0"/>
                <w:color w:val="2B2A28"/>
                <w:sz w:val="16"/>
              </w:rPr>
              <w:t>New entities by expansion ring, parent target, reason, source, qualification and disposition.</w:t>
            </w:r>
          </w:p>
        </w:tc>
      </w:tr>
      <w:tr>
        <w:tc>
          <w:tcPr>
            <w:tcW w:type="dxa" w:w="2520"/>
            <w:vAlign w:val="center"/>
            <w:tcMar>
              <w:top w:w="100" w:type="dxa"/>
              <w:start w:w="120" w:type="dxa"/>
              <w:bottom w:w="100" w:type="dxa"/>
              <w:end w:w="120" w:type="dxa"/>
            </w:tcMar>
          </w:tcPr>
          <w:p>
            <w:pPr>
              <w:spacing w:after="0"/>
            </w:pPr>
            <w:r/>
            <w:r>
              <w:rPr>
                <w:rFonts w:ascii="Jost" w:hAnsi="Jost"/>
                <w:b w:val="0"/>
                <w:color w:val="2B2A28"/>
                <w:sz w:val="16"/>
              </w:rPr>
              <w:t>Outreach master</w:t>
            </w:r>
          </w:p>
        </w:tc>
        <w:tc>
          <w:tcPr>
            <w:tcW w:type="dxa" w:w="6840"/>
            <w:vAlign w:val="center"/>
            <w:tcMar>
              <w:top w:w="100" w:type="dxa"/>
              <w:start w:w="120" w:type="dxa"/>
              <w:bottom w:w="100" w:type="dxa"/>
              <w:end w:w="120" w:type="dxa"/>
            </w:tcMar>
          </w:tcPr>
          <w:p>
            <w:pPr>
              <w:spacing w:after="0"/>
            </w:pPr>
            <w:r/>
            <w:r>
              <w:rPr>
                <w:rFonts w:ascii="Jost" w:hAnsi="Jost"/>
                <w:b w:val="0"/>
                <w:color w:val="2B2A28"/>
                <w:sz w:val="16"/>
              </w:rPr>
              <w:t>All first contacts, follow-ups, responses, meetings, next actions, stop conditions and message versions.</w:t>
            </w:r>
          </w:p>
        </w:tc>
      </w:tr>
      <w:tr>
        <w:tc>
          <w:tcPr>
            <w:tcW w:type="dxa" w:w="2520"/>
            <w:shd w:fill="F1EBDD"/>
            <w:vAlign w:val="center"/>
            <w:tcMar>
              <w:top w:w="100" w:type="dxa"/>
              <w:start w:w="120" w:type="dxa"/>
              <w:bottom w:w="100" w:type="dxa"/>
              <w:end w:w="120" w:type="dxa"/>
            </w:tcMar>
          </w:tcPr>
          <w:p>
            <w:pPr>
              <w:spacing w:after="0"/>
            </w:pPr>
            <w:r/>
            <w:r>
              <w:rPr>
                <w:rFonts w:ascii="Jost" w:hAnsi="Jost"/>
                <w:b w:val="0"/>
                <w:color w:val="2B2A28"/>
                <w:sz w:val="16"/>
              </w:rPr>
              <w:t>Contact research queue</w:t>
            </w:r>
          </w:p>
        </w:tc>
        <w:tc>
          <w:tcPr>
            <w:tcW w:type="dxa" w:w="6840"/>
            <w:shd w:fill="F1EBDD"/>
            <w:vAlign w:val="center"/>
            <w:tcMar>
              <w:top w:w="100" w:type="dxa"/>
              <w:start w:w="120" w:type="dxa"/>
              <w:bottom w:w="100" w:type="dxa"/>
              <w:end w:w="120" w:type="dxa"/>
            </w:tcMar>
          </w:tcPr>
          <w:p>
            <w:pPr>
              <w:spacing w:after="0"/>
            </w:pPr>
            <w:r/>
            <w:r>
              <w:rPr>
                <w:rFonts w:ascii="Jost" w:hAnsi="Jost"/>
                <w:b w:val="0"/>
                <w:color w:val="2B2A28"/>
                <w:sz w:val="16"/>
              </w:rPr>
              <w:t>Unresolved identities, exact function needed, evidence found, confidence and next lookup.</w:t>
            </w:r>
          </w:p>
        </w:tc>
      </w:tr>
      <w:tr>
        <w:tc>
          <w:tcPr>
            <w:tcW w:type="dxa" w:w="2520"/>
            <w:vAlign w:val="center"/>
            <w:tcMar>
              <w:top w:w="100" w:type="dxa"/>
              <w:start w:w="120" w:type="dxa"/>
              <w:bottom w:w="100" w:type="dxa"/>
              <w:end w:w="120" w:type="dxa"/>
            </w:tcMar>
          </w:tcPr>
          <w:p>
            <w:pPr>
              <w:spacing w:after="0"/>
            </w:pPr>
            <w:r/>
            <w:r>
              <w:rPr>
                <w:rFonts w:ascii="Jost" w:hAnsi="Jost"/>
                <w:b w:val="0"/>
                <w:color w:val="2B2A28"/>
                <w:sz w:val="16"/>
              </w:rPr>
              <w:t>Quality-control report</w:t>
            </w:r>
          </w:p>
        </w:tc>
        <w:tc>
          <w:tcPr>
            <w:tcW w:type="dxa" w:w="6840"/>
            <w:vAlign w:val="center"/>
            <w:tcMar>
              <w:top w:w="100" w:type="dxa"/>
              <w:start w:w="120" w:type="dxa"/>
              <w:bottom w:w="100" w:type="dxa"/>
              <w:end w:w="120" w:type="dxa"/>
            </w:tcMar>
          </w:tcPr>
          <w:p>
            <w:pPr>
              <w:spacing w:after="0"/>
            </w:pPr>
            <w:r/>
            <w:r>
              <w:rPr>
                <w:rFonts w:ascii="Jost" w:hAnsi="Jost"/>
                <w:b w:val="0"/>
                <w:color w:val="2B2A28"/>
                <w:sz w:val="16"/>
              </w:rPr>
              <w:t>Duplicate rate, source freshness, stale jobs, unsupported claims, conflicts, missing fields and coverage gaps.</w:t>
            </w:r>
          </w:p>
        </w:tc>
      </w:tr>
      <w:tr>
        <w:tc>
          <w:tcPr>
            <w:tcW w:type="dxa" w:w="2520"/>
            <w:shd w:fill="F1EBDD"/>
            <w:vAlign w:val="center"/>
            <w:tcMar>
              <w:top w:w="100" w:type="dxa"/>
              <w:start w:w="120" w:type="dxa"/>
              <w:bottom w:w="100" w:type="dxa"/>
              <w:end w:w="120" w:type="dxa"/>
            </w:tcMar>
          </w:tcPr>
          <w:p>
            <w:pPr>
              <w:spacing w:after="0"/>
            </w:pPr>
            <w:r/>
            <w:r>
              <w:rPr>
                <w:rFonts w:ascii="Jost" w:hAnsi="Jost"/>
                <w:b w:val="0"/>
                <w:color w:val="2B2A28"/>
                <w:sz w:val="16"/>
              </w:rPr>
              <w:t>Run manifest</w:t>
            </w:r>
          </w:p>
        </w:tc>
        <w:tc>
          <w:tcPr>
            <w:tcW w:type="dxa" w:w="6840"/>
            <w:shd w:fill="F1EBDD"/>
            <w:vAlign w:val="center"/>
            <w:tcMar>
              <w:top w:w="100" w:type="dxa"/>
              <w:start w:w="120" w:type="dxa"/>
              <w:bottom w:w="100" w:type="dxa"/>
              <w:end w:w="120" w:type="dxa"/>
            </w:tcMar>
          </w:tcPr>
          <w:p>
            <w:pPr>
              <w:spacing w:after="0"/>
            </w:pPr>
            <w:r/>
            <w:r>
              <w:rPr>
                <w:rFonts w:ascii="Jost" w:hAnsi="Jost"/>
                <w:b w:val="0"/>
                <w:color w:val="2B2A28"/>
                <w:sz w:val="16"/>
              </w:rPr>
              <w:t>Run date, covered window, queries, sources, record counts, failures, assumptions and next run.</w:t>
            </w:r>
          </w:p>
        </w:tc>
      </w:tr>
    </w:tbl>
    <w:p>
      <w:pPr>
        <w:spacing w:after="0"/>
      </w:pPr>
    </w:p>
    <w:p>
      <w:pPr>
        <w:pStyle w:val="Title"/>
      </w:pPr>
      <w:r>
        <w:t>13. Quality gates and acceptance tests</w:t>
      </w:r>
    </w:p>
    <w:tbl>
      <w:tblPr>
        <w:tblStyle w:val="TableGrid"/>
        <w:tblW w:type="dxa" w:w="9360"/>
        <w:jc w:val="center"/>
        <w:tblLayout w:type="fixed"/>
        <w:tblLook w:firstColumn="1" w:firstRow="1" w:lastColumn="0" w:lastRow="0" w:noHBand="0" w:noVBand="1" w:val="04A0"/>
      </w:tblPr>
      <w:tblGrid>
        <w:gridCol w:w="2592"/>
        <w:gridCol w:w="6768"/>
      </w:tblGrid>
      <w:tr>
        <w:trPr>
          <w:tblHeader w:val="true"/>
        </w:trPr>
        <w:tc>
          <w:tcPr>
            <w:tcW w:type="dxa" w:w="2592"/>
            <w:shd w:fill="345A68"/>
            <w:vAlign w:val="center"/>
            <w:tcMar>
              <w:top w:w="100" w:type="dxa"/>
              <w:start w:w="120" w:type="dxa"/>
              <w:bottom w:w="100" w:type="dxa"/>
              <w:end w:w="120" w:type="dxa"/>
            </w:tcMar>
          </w:tcPr>
          <w:p>
            <w:pPr>
              <w:spacing w:after="0"/>
            </w:pPr>
            <w:r/>
            <w:r>
              <w:rPr>
                <w:rFonts w:ascii="Jost" w:hAnsi="Jost"/>
                <w:b/>
                <w:color w:val="FFFFFF"/>
                <w:sz w:val="16"/>
              </w:rPr>
              <w:t>Gate</w:t>
            </w:r>
          </w:p>
        </w:tc>
        <w:tc>
          <w:tcPr>
            <w:tcW w:type="dxa" w:w="6768"/>
            <w:shd w:fill="345A68"/>
            <w:vAlign w:val="center"/>
            <w:tcMar>
              <w:top w:w="100" w:type="dxa"/>
              <w:start w:w="120" w:type="dxa"/>
              <w:bottom w:w="100" w:type="dxa"/>
              <w:end w:w="120" w:type="dxa"/>
            </w:tcMar>
          </w:tcPr>
          <w:p>
            <w:pPr>
              <w:spacing w:after="0"/>
            </w:pPr>
            <w:r/>
            <w:r>
              <w:rPr>
                <w:rFonts w:ascii="Jost" w:hAnsi="Jost"/>
                <w:b/>
                <w:color w:val="FFFFFF"/>
                <w:sz w:val="16"/>
              </w:rPr>
              <w:t>Pass condition</w:t>
            </w:r>
          </w:p>
        </w:tc>
      </w:tr>
      <w:tr>
        <w:tc>
          <w:tcPr>
            <w:tcW w:type="dxa" w:w="2592"/>
            <w:vAlign w:val="center"/>
            <w:tcMar>
              <w:top w:w="100" w:type="dxa"/>
              <w:start w:w="120" w:type="dxa"/>
              <w:bottom w:w="100" w:type="dxa"/>
              <w:end w:w="120" w:type="dxa"/>
            </w:tcMar>
          </w:tcPr>
          <w:p>
            <w:pPr>
              <w:spacing w:after="0"/>
            </w:pPr>
            <w:r/>
            <w:r>
              <w:rPr>
                <w:rFonts w:ascii="Jost" w:hAnsi="Jost"/>
                <w:b w:val="0"/>
                <w:color w:val="2B2A28"/>
                <w:sz w:val="16"/>
              </w:rPr>
              <w:t>Novelty</w:t>
            </w:r>
          </w:p>
        </w:tc>
        <w:tc>
          <w:tcPr>
            <w:tcW w:type="dxa" w:w="6768"/>
            <w:vAlign w:val="center"/>
            <w:tcMar>
              <w:top w:w="100" w:type="dxa"/>
              <w:start w:w="120" w:type="dxa"/>
              <w:bottom w:w="100" w:type="dxa"/>
              <w:end w:w="120" w:type="dxa"/>
            </w:tcMar>
          </w:tcPr>
          <w:p>
            <w:pPr>
              <w:spacing w:after="0"/>
            </w:pPr>
            <w:r/>
            <w:r>
              <w:rPr>
                <w:rFonts w:ascii="Jost" w:hAnsi="Jost"/>
                <w:b w:val="0"/>
                <w:color w:val="2B2A28"/>
                <w:sz w:val="16"/>
              </w:rPr>
              <w:t>Every “new” result is absent from prior results or is explicitly marked as a material update linked to the earlier record.</w:t>
            </w:r>
          </w:p>
        </w:tc>
      </w:tr>
      <w:tr>
        <w:tc>
          <w:tcPr>
            <w:tcW w:type="dxa" w:w="2592"/>
            <w:shd w:fill="F1EBDD"/>
            <w:vAlign w:val="center"/>
            <w:tcMar>
              <w:top w:w="100" w:type="dxa"/>
              <w:start w:w="120" w:type="dxa"/>
              <w:bottom w:w="100" w:type="dxa"/>
              <w:end w:w="120" w:type="dxa"/>
            </w:tcMar>
          </w:tcPr>
          <w:p>
            <w:pPr>
              <w:spacing w:after="0"/>
            </w:pPr>
            <w:r/>
            <w:r>
              <w:rPr>
                <w:rFonts w:ascii="Jost" w:hAnsi="Jost"/>
                <w:b w:val="0"/>
                <w:color w:val="2B2A28"/>
                <w:sz w:val="16"/>
              </w:rPr>
              <w:t>Job status</w:t>
            </w:r>
          </w:p>
        </w:tc>
        <w:tc>
          <w:tcPr>
            <w:tcW w:type="dxa" w:w="6768"/>
            <w:shd w:fill="F1EBDD"/>
            <w:vAlign w:val="center"/>
            <w:tcMar>
              <w:top w:w="100" w:type="dxa"/>
              <w:start w:w="120" w:type="dxa"/>
              <w:bottom w:w="100" w:type="dxa"/>
              <w:end w:w="120" w:type="dxa"/>
            </w:tcMar>
          </w:tcPr>
          <w:p>
            <w:pPr>
              <w:spacing w:after="0"/>
            </w:pPr>
            <w:r/>
            <w:r>
              <w:rPr>
                <w:rFonts w:ascii="Jost" w:hAnsi="Jost"/>
                <w:b w:val="0"/>
                <w:color w:val="2B2A28"/>
                <w:sz w:val="16"/>
              </w:rPr>
              <w:t>Every active role has an employer-controlled URL opened during the run and a timestamp.</w:t>
            </w:r>
          </w:p>
        </w:tc>
      </w:tr>
      <w:tr>
        <w:tc>
          <w:tcPr>
            <w:tcW w:type="dxa" w:w="2592"/>
            <w:vAlign w:val="center"/>
            <w:tcMar>
              <w:top w:w="100" w:type="dxa"/>
              <w:start w:w="120" w:type="dxa"/>
              <w:bottom w:w="100" w:type="dxa"/>
              <w:end w:w="120" w:type="dxa"/>
            </w:tcMar>
          </w:tcPr>
          <w:p>
            <w:pPr>
              <w:spacing w:after="0"/>
            </w:pPr>
            <w:r/>
            <w:r>
              <w:rPr>
                <w:rFonts w:ascii="Jost" w:hAnsi="Jost"/>
                <w:b w:val="0"/>
                <w:color w:val="2B2A28"/>
                <w:sz w:val="16"/>
              </w:rPr>
              <w:t>Fact/inference separation</w:t>
            </w:r>
          </w:p>
        </w:tc>
        <w:tc>
          <w:tcPr>
            <w:tcW w:type="dxa" w:w="6768"/>
            <w:vAlign w:val="center"/>
            <w:tcMar>
              <w:top w:w="100" w:type="dxa"/>
              <w:start w:w="120" w:type="dxa"/>
              <w:bottom w:w="100" w:type="dxa"/>
              <w:end w:w="120" w:type="dxa"/>
            </w:tcMar>
          </w:tcPr>
          <w:p>
            <w:pPr>
              <w:spacing w:after="0"/>
            </w:pPr>
            <w:r/>
            <w:r>
              <w:rPr>
                <w:rFonts w:ascii="Jost" w:hAnsi="Jost"/>
                <w:b w:val="0"/>
                <w:color w:val="2B2A28"/>
                <w:sz w:val="16"/>
              </w:rPr>
              <w:t>Every opportunity distinguishes reported facts from the Salt Basin or career interpretation.</w:t>
            </w:r>
          </w:p>
        </w:tc>
      </w:tr>
      <w:tr>
        <w:tc>
          <w:tcPr>
            <w:tcW w:type="dxa" w:w="2592"/>
            <w:shd w:fill="F1EBDD"/>
            <w:vAlign w:val="center"/>
            <w:tcMar>
              <w:top w:w="100" w:type="dxa"/>
              <w:start w:w="120" w:type="dxa"/>
              <w:bottom w:w="100" w:type="dxa"/>
              <w:end w:w="120" w:type="dxa"/>
            </w:tcMar>
          </w:tcPr>
          <w:p>
            <w:pPr>
              <w:spacing w:after="0"/>
            </w:pPr>
            <w:r/>
            <w:r>
              <w:rPr>
                <w:rFonts w:ascii="Jost" w:hAnsi="Jost"/>
                <w:b w:val="0"/>
                <w:color w:val="2B2A28"/>
                <w:sz w:val="16"/>
              </w:rPr>
              <w:t>Identity integrity</w:t>
            </w:r>
          </w:p>
        </w:tc>
        <w:tc>
          <w:tcPr>
            <w:tcW w:type="dxa" w:w="6768"/>
            <w:shd w:fill="F1EBDD"/>
            <w:vAlign w:val="center"/>
            <w:tcMar>
              <w:top w:w="100" w:type="dxa"/>
              <w:start w:w="120" w:type="dxa"/>
              <w:bottom w:w="100" w:type="dxa"/>
              <w:end w:w="120" w:type="dxa"/>
            </w:tcMar>
          </w:tcPr>
          <w:p>
            <w:pPr>
              <w:spacing w:after="0"/>
            </w:pPr>
            <w:r/>
            <w:r>
              <w:rPr>
                <w:rFonts w:ascii="Jost" w:hAnsi="Jost"/>
                <w:b w:val="0"/>
                <w:color w:val="2B2A28"/>
                <w:sz w:val="16"/>
              </w:rPr>
              <w:t>No person is called a hiring manager or decision-maker without evidence supporting that label.</w:t>
            </w:r>
          </w:p>
        </w:tc>
      </w:tr>
      <w:tr>
        <w:tc>
          <w:tcPr>
            <w:tcW w:type="dxa" w:w="2592"/>
            <w:vAlign w:val="center"/>
            <w:tcMar>
              <w:top w:w="100" w:type="dxa"/>
              <w:start w:w="120" w:type="dxa"/>
              <w:bottom w:w="100" w:type="dxa"/>
              <w:end w:w="120" w:type="dxa"/>
            </w:tcMar>
          </w:tcPr>
          <w:p>
            <w:pPr>
              <w:spacing w:after="0"/>
            </w:pPr>
            <w:r/>
            <w:r>
              <w:rPr>
                <w:rFonts w:ascii="Jost" w:hAnsi="Jost"/>
                <w:b w:val="0"/>
                <w:color w:val="2B2A28"/>
                <w:sz w:val="16"/>
              </w:rPr>
              <w:t>Contact integrity</w:t>
            </w:r>
          </w:p>
        </w:tc>
        <w:tc>
          <w:tcPr>
            <w:tcW w:type="dxa" w:w="6768"/>
            <w:vAlign w:val="center"/>
            <w:tcMar>
              <w:top w:w="100" w:type="dxa"/>
              <w:start w:w="120" w:type="dxa"/>
              <w:bottom w:w="100" w:type="dxa"/>
              <w:end w:w="120" w:type="dxa"/>
            </w:tcMar>
          </w:tcPr>
          <w:p>
            <w:pPr>
              <w:spacing w:after="0"/>
            </w:pPr>
            <w:r/>
            <w:r>
              <w:rPr>
                <w:rFonts w:ascii="Jost" w:hAnsi="Jost"/>
                <w:b w:val="0"/>
                <w:color w:val="2B2A28"/>
                <w:sz w:val="16"/>
              </w:rPr>
              <w:t>No fabricated or pattern-guessed email, phone number or relationship.</w:t>
            </w:r>
          </w:p>
        </w:tc>
      </w:tr>
      <w:tr>
        <w:tc>
          <w:tcPr>
            <w:tcW w:type="dxa" w:w="2592"/>
            <w:shd w:fill="F1EBDD"/>
            <w:vAlign w:val="center"/>
            <w:tcMar>
              <w:top w:w="100" w:type="dxa"/>
              <w:start w:w="120" w:type="dxa"/>
              <w:bottom w:w="100" w:type="dxa"/>
              <w:end w:w="120" w:type="dxa"/>
            </w:tcMar>
          </w:tcPr>
          <w:p>
            <w:pPr>
              <w:spacing w:after="0"/>
            </w:pPr>
            <w:r/>
            <w:r>
              <w:rPr>
                <w:rFonts w:ascii="Jost" w:hAnsi="Jost"/>
                <w:b w:val="0"/>
                <w:color w:val="2B2A28"/>
                <w:sz w:val="16"/>
              </w:rPr>
              <w:t>Financial integrity</w:t>
            </w:r>
          </w:p>
        </w:tc>
        <w:tc>
          <w:tcPr>
            <w:tcW w:type="dxa" w:w="6768"/>
            <w:shd w:fill="F1EBDD"/>
            <w:vAlign w:val="center"/>
            <w:tcMar>
              <w:top w:w="100" w:type="dxa"/>
              <w:start w:w="120" w:type="dxa"/>
              <w:bottom w:w="100" w:type="dxa"/>
              <w:end w:w="120" w:type="dxa"/>
            </w:tcMar>
          </w:tcPr>
          <w:p>
            <w:pPr>
              <w:spacing w:after="0"/>
            </w:pPr>
            <w:r/>
            <w:r>
              <w:rPr>
                <w:rFonts w:ascii="Jost" w:hAnsi="Jost"/>
                <w:b w:val="0"/>
                <w:color w:val="2B2A28"/>
                <w:sz w:val="16"/>
              </w:rPr>
              <w:t>No double counting across recovered revenue, EBITDA, working capital, cost avoidance and enterprise value.</w:t>
            </w:r>
          </w:p>
        </w:tc>
      </w:tr>
      <w:tr>
        <w:tc>
          <w:tcPr>
            <w:tcW w:type="dxa" w:w="2592"/>
            <w:vAlign w:val="center"/>
            <w:tcMar>
              <w:top w:w="100" w:type="dxa"/>
              <w:start w:w="120" w:type="dxa"/>
              <w:bottom w:w="100" w:type="dxa"/>
              <w:end w:w="120" w:type="dxa"/>
            </w:tcMar>
          </w:tcPr>
          <w:p>
            <w:pPr>
              <w:spacing w:after="0"/>
            </w:pPr>
            <w:r/>
            <w:r>
              <w:rPr>
                <w:rFonts w:ascii="Jost" w:hAnsi="Jost"/>
                <w:b w:val="0"/>
                <w:color w:val="2B2A28"/>
                <w:sz w:val="16"/>
              </w:rPr>
              <w:t>Temporal integrity</w:t>
            </w:r>
          </w:p>
        </w:tc>
        <w:tc>
          <w:tcPr>
            <w:tcW w:type="dxa" w:w="6768"/>
            <w:vAlign w:val="center"/>
            <w:tcMar>
              <w:top w:w="100" w:type="dxa"/>
              <w:start w:w="120" w:type="dxa"/>
              <w:bottom w:w="100" w:type="dxa"/>
              <w:end w:w="120" w:type="dxa"/>
            </w:tcMar>
          </w:tcPr>
          <w:p>
            <w:pPr>
              <w:spacing w:after="0"/>
            </w:pPr>
            <w:r/>
            <w:r>
              <w:rPr>
                <w:rFonts w:ascii="Jost" w:hAnsi="Jost"/>
                <w:b w:val="0"/>
                <w:color w:val="2B2A28"/>
                <w:sz w:val="16"/>
              </w:rPr>
              <w:t>Changed values create dated observations; prior values remain recoverable.</w:t>
            </w:r>
          </w:p>
        </w:tc>
      </w:tr>
      <w:tr>
        <w:tc>
          <w:tcPr>
            <w:tcW w:type="dxa" w:w="2592"/>
            <w:shd w:fill="F1EBDD"/>
            <w:vAlign w:val="center"/>
            <w:tcMar>
              <w:top w:w="100" w:type="dxa"/>
              <w:start w:w="120" w:type="dxa"/>
              <w:bottom w:w="100" w:type="dxa"/>
              <w:end w:w="120" w:type="dxa"/>
            </w:tcMar>
          </w:tcPr>
          <w:p>
            <w:pPr>
              <w:spacing w:after="0"/>
            </w:pPr>
            <w:r/>
            <w:r>
              <w:rPr>
                <w:rFonts w:ascii="Jost" w:hAnsi="Jost"/>
                <w:b w:val="0"/>
                <w:color w:val="2B2A28"/>
                <w:sz w:val="16"/>
              </w:rPr>
              <w:t>Citation completeness</w:t>
            </w:r>
          </w:p>
        </w:tc>
        <w:tc>
          <w:tcPr>
            <w:tcW w:type="dxa" w:w="6768"/>
            <w:shd w:fill="F1EBDD"/>
            <w:vAlign w:val="center"/>
            <w:tcMar>
              <w:top w:w="100" w:type="dxa"/>
              <w:start w:w="120" w:type="dxa"/>
              <w:bottom w:w="100" w:type="dxa"/>
              <w:end w:w="120" w:type="dxa"/>
            </w:tcMar>
          </w:tcPr>
          <w:p>
            <w:pPr>
              <w:spacing w:after="0"/>
            </w:pPr>
            <w:r/>
            <w:r>
              <w:rPr>
                <w:rFonts w:ascii="Jost" w:hAnsi="Jost"/>
                <w:b w:val="0"/>
                <w:color w:val="2B2A28"/>
                <w:sz w:val="16"/>
              </w:rPr>
              <w:t>Every material news fact, open role and named leader has a source and access date.</w:t>
            </w:r>
          </w:p>
        </w:tc>
      </w:tr>
      <w:tr>
        <w:tc>
          <w:tcPr>
            <w:tcW w:type="dxa" w:w="2592"/>
            <w:vAlign w:val="center"/>
            <w:tcMar>
              <w:top w:w="100" w:type="dxa"/>
              <w:start w:w="120" w:type="dxa"/>
              <w:bottom w:w="100" w:type="dxa"/>
              <w:end w:w="120" w:type="dxa"/>
            </w:tcMar>
          </w:tcPr>
          <w:p>
            <w:pPr>
              <w:spacing w:after="0"/>
            </w:pPr>
            <w:r/>
            <w:r>
              <w:rPr>
                <w:rFonts w:ascii="Jost" w:hAnsi="Jost"/>
                <w:b w:val="0"/>
                <w:color w:val="2B2A28"/>
                <w:sz w:val="16"/>
              </w:rPr>
              <w:t>Outreach usability</w:t>
            </w:r>
          </w:p>
        </w:tc>
        <w:tc>
          <w:tcPr>
            <w:tcW w:type="dxa" w:w="6768"/>
            <w:vAlign w:val="center"/>
            <w:tcMar>
              <w:top w:w="100" w:type="dxa"/>
              <w:start w:w="120" w:type="dxa"/>
              <w:bottom w:w="100" w:type="dxa"/>
              <w:end w:w="120" w:type="dxa"/>
            </w:tcMar>
          </w:tcPr>
          <w:p>
            <w:pPr>
              <w:spacing w:after="0"/>
            </w:pPr>
            <w:r/>
            <w:r>
              <w:rPr>
                <w:rFonts w:ascii="Jost" w:hAnsi="Jost"/>
                <w:b w:val="0"/>
                <w:color w:val="2B2A28"/>
                <w:sz w:val="16"/>
              </w:rPr>
              <w:t>Every Tier A item has a recipient function, why-now thesis, proof point, CTA and next action.</w:t>
            </w:r>
          </w:p>
        </w:tc>
      </w:tr>
      <w:tr>
        <w:tc>
          <w:tcPr>
            <w:tcW w:type="dxa" w:w="2592"/>
            <w:shd w:fill="F1EBDD"/>
            <w:vAlign w:val="center"/>
            <w:tcMar>
              <w:top w:w="100" w:type="dxa"/>
              <w:start w:w="120" w:type="dxa"/>
              <w:bottom w:w="100" w:type="dxa"/>
              <w:end w:w="120" w:type="dxa"/>
            </w:tcMar>
          </w:tcPr>
          <w:p>
            <w:pPr>
              <w:spacing w:after="0"/>
            </w:pPr>
            <w:r/>
            <w:r>
              <w:rPr>
                <w:rFonts w:ascii="Jost" w:hAnsi="Jost"/>
                <w:b w:val="0"/>
                <w:color w:val="2B2A28"/>
                <w:sz w:val="16"/>
              </w:rPr>
              <w:t>Scope growth</w:t>
            </w:r>
          </w:p>
        </w:tc>
        <w:tc>
          <w:tcPr>
            <w:tcW w:type="dxa" w:w="6768"/>
            <w:shd w:fill="F1EBDD"/>
            <w:vAlign w:val="center"/>
            <w:tcMar>
              <w:top w:w="100" w:type="dxa"/>
              <w:start w:w="120" w:type="dxa"/>
              <w:bottom w:w="100" w:type="dxa"/>
              <w:end w:w="120" w:type="dxa"/>
            </w:tcMar>
          </w:tcPr>
          <w:p>
            <w:pPr>
              <w:spacing w:after="0"/>
            </w:pPr>
            <w:r/>
            <w:r>
              <w:rPr>
                <w:rFonts w:ascii="Jost" w:hAnsi="Jost"/>
                <w:b w:val="0"/>
                <w:color w:val="2B2A28"/>
                <w:sz w:val="16"/>
              </w:rPr>
              <w:t>Expansion is measured by qualified targets and coverage diversity, not raw record count.</w:t>
            </w:r>
          </w:p>
        </w:tc>
      </w:tr>
    </w:tbl>
    <w:p>
      <w:pPr>
        <w:spacing w:after="0"/>
      </w:pPr>
    </w:p>
    <w:p>
      <w:pPr>
        <w:pStyle w:val="Title"/>
      </w:pPr>
      <w:r>
        <w:t>14. Weekly performance metrics</w:t>
      </w:r>
    </w:p>
    <w:tbl>
      <w:tblPr>
        <w:tblStyle w:val="TableGrid"/>
        <w:tblW w:type="dxa" w:w="9360"/>
        <w:jc w:val="center"/>
        <w:tblLayout w:type="fixed"/>
        <w:tblLook w:firstColumn="1" w:firstRow="1" w:lastColumn="0" w:lastRow="0" w:noHBand="0" w:noVBand="1" w:val="04A0"/>
      </w:tblPr>
      <w:tblGrid>
        <w:gridCol w:w="2880"/>
        <w:gridCol w:w="6480"/>
      </w:tblGrid>
      <w:tr>
        <w:trPr>
          <w:tblHeader w:val="true"/>
        </w:trPr>
        <w:tc>
          <w:tcPr>
            <w:tcW w:type="dxa" w:w="2880"/>
            <w:shd w:fill="345A68"/>
            <w:vAlign w:val="center"/>
            <w:tcMar>
              <w:top w:w="100" w:type="dxa"/>
              <w:start w:w="120" w:type="dxa"/>
              <w:bottom w:w="100" w:type="dxa"/>
              <w:end w:w="120" w:type="dxa"/>
            </w:tcMar>
          </w:tcPr>
          <w:p>
            <w:pPr>
              <w:spacing w:after="0"/>
            </w:pPr>
            <w:r/>
            <w:r>
              <w:rPr>
                <w:rFonts w:ascii="Jost" w:hAnsi="Jost"/>
                <w:b/>
                <w:color w:val="FFFFFF"/>
                <w:sz w:val="16"/>
              </w:rPr>
              <w:t>Measure</w:t>
            </w:r>
          </w:p>
        </w:tc>
        <w:tc>
          <w:tcPr>
            <w:tcW w:type="dxa" w:w="6480"/>
            <w:shd w:fill="345A68"/>
            <w:vAlign w:val="center"/>
            <w:tcMar>
              <w:top w:w="100" w:type="dxa"/>
              <w:start w:w="120" w:type="dxa"/>
              <w:bottom w:w="100" w:type="dxa"/>
              <w:end w:w="120" w:type="dxa"/>
            </w:tcMar>
          </w:tcPr>
          <w:p>
            <w:pPr>
              <w:spacing w:after="0"/>
            </w:pPr>
            <w:r/>
            <w:r>
              <w:rPr>
                <w:rFonts w:ascii="Jost" w:hAnsi="Jost"/>
                <w:b/>
                <w:color w:val="FFFFFF"/>
                <w:sz w:val="16"/>
              </w:rPr>
              <w:t>Definition</w:t>
            </w:r>
          </w:p>
        </w:tc>
      </w:tr>
      <w:tr>
        <w:tc>
          <w:tcPr>
            <w:tcW w:type="dxa" w:w="2880"/>
            <w:vAlign w:val="center"/>
            <w:tcMar>
              <w:top w:w="100" w:type="dxa"/>
              <w:start w:w="120" w:type="dxa"/>
              <w:bottom w:w="100" w:type="dxa"/>
              <w:end w:w="120" w:type="dxa"/>
            </w:tcMar>
          </w:tcPr>
          <w:p>
            <w:pPr>
              <w:spacing w:after="0"/>
            </w:pPr>
            <w:r/>
            <w:r>
              <w:rPr>
                <w:rFonts w:ascii="Jost" w:hAnsi="Jost"/>
                <w:b w:val="0"/>
                <w:color w:val="2B2A28"/>
                <w:sz w:val="16"/>
              </w:rPr>
              <w:t>Qualified target growth</w:t>
            </w:r>
          </w:p>
        </w:tc>
        <w:tc>
          <w:tcPr>
            <w:tcW w:type="dxa" w:w="6480"/>
            <w:vAlign w:val="center"/>
            <w:tcMar>
              <w:top w:w="100" w:type="dxa"/>
              <w:start w:w="120" w:type="dxa"/>
              <w:bottom w:w="100" w:type="dxa"/>
              <w:end w:w="120" w:type="dxa"/>
            </w:tcMar>
          </w:tcPr>
          <w:p>
            <w:pPr>
              <w:spacing w:after="0"/>
            </w:pPr>
            <w:r/>
            <w:r>
              <w:rPr>
                <w:rFonts w:ascii="Jost" w:hAnsi="Jost"/>
                <w:b w:val="0"/>
                <w:color w:val="2B2A28"/>
                <w:sz w:val="16"/>
              </w:rPr>
              <w:t>Net-new qualified entities ÷ prior qualified universe.</w:t>
            </w:r>
          </w:p>
        </w:tc>
      </w:tr>
      <w:tr>
        <w:tc>
          <w:tcPr>
            <w:tcW w:type="dxa" w:w="2880"/>
            <w:shd w:fill="F1EBDD"/>
            <w:vAlign w:val="center"/>
            <w:tcMar>
              <w:top w:w="100" w:type="dxa"/>
              <w:start w:w="120" w:type="dxa"/>
              <w:bottom w:w="100" w:type="dxa"/>
              <w:end w:w="120" w:type="dxa"/>
            </w:tcMar>
          </w:tcPr>
          <w:p>
            <w:pPr>
              <w:spacing w:after="0"/>
            </w:pPr>
            <w:r/>
            <w:r>
              <w:rPr>
                <w:rFonts w:ascii="Jost" w:hAnsi="Jost"/>
                <w:b w:val="0"/>
                <w:color w:val="2B2A28"/>
                <w:sz w:val="16"/>
              </w:rPr>
              <w:t>Novel signal yield</w:t>
            </w:r>
          </w:p>
        </w:tc>
        <w:tc>
          <w:tcPr>
            <w:tcW w:type="dxa" w:w="6480"/>
            <w:shd w:fill="F1EBDD"/>
            <w:vAlign w:val="center"/>
            <w:tcMar>
              <w:top w:w="100" w:type="dxa"/>
              <w:start w:w="120" w:type="dxa"/>
              <w:bottom w:w="100" w:type="dxa"/>
              <w:end w:w="120" w:type="dxa"/>
            </w:tcMar>
          </w:tcPr>
          <w:p>
            <w:pPr>
              <w:spacing w:after="0"/>
            </w:pPr>
            <w:r/>
            <w:r>
              <w:rPr>
                <w:rFonts w:ascii="Jost" w:hAnsi="Jost"/>
                <w:b w:val="0"/>
                <w:color w:val="2B2A28"/>
                <w:sz w:val="16"/>
              </w:rPr>
              <w:t>Non-duplicate material signals ÷ reviewed candidate signals.</w:t>
            </w:r>
          </w:p>
        </w:tc>
      </w:tr>
      <w:tr>
        <w:tc>
          <w:tcPr>
            <w:tcW w:type="dxa" w:w="2880"/>
            <w:vAlign w:val="center"/>
            <w:tcMar>
              <w:top w:w="100" w:type="dxa"/>
              <w:start w:w="120" w:type="dxa"/>
              <w:bottom w:w="100" w:type="dxa"/>
              <w:end w:w="120" w:type="dxa"/>
            </w:tcMar>
          </w:tcPr>
          <w:p>
            <w:pPr>
              <w:spacing w:after="0"/>
            </w:pPr>
            <w:r/>
            <w:r>
              <w:rPr>
                <w:rFonts w:ascii="Jost" w:hAnsi="Jost"/>
                <w:b w:val="0"/>
                <w:color w:val="2B2A28"/>
                <w:sz w:val="16"/>
              </w:rPr>
              <w:t>Primary-source coverage</w:t>
            </w:r>
          </w:p>
        </w:tc>
        <w:tc>
          <w:tcPr>
            <w:tcW w:type="dxa" w:w="6480"/>
            <w:vAlign w:val="center"/>
            <w:tcMar>
              <w:top w:w="100" w:type="dxa"/>
              <w:start w:w="120" w:type="dxa"/>
              <w:bottom w:w="100" w:type="dxa"/>
              <w:end w:w="120" w:type="dxa"/>
            </w:tcMar>
          </w:tcPr>
          <w:p>
            <w:pPr>
              <w:spacing w:after="0"/>
            </w:pPr>
            <w:r/>
            <w:r>
              <w:rPr>
                <w:rFonts w:ascii="Jost" w:hAnsi="Jost"/>
                <w:b w:val="0"/>
                <w:color w:val="2B2A28"/>
                <w:sz w:val="16"/>
              </w:rPr>
              <w:t>Material claims supported by Tier 1 sources ÷ material claims.</w:t>
            </w:r>
          </w:p>
        </w:tc>
      </w:tr>
      <w:tr>
        <w:tc>
          <w:tcPr>
            <w:tcW w:type="dxa" w:w="2880"/>
            <w:shd w:fill="F1EBDD"/>
            <w:vAlign w:val="center"/>
            <w:tcMar>
              <w:top w:w="100" w:type="dxa"/>
              <w:start w:w="120" w:type="dxa"/>
              <w:bottom w:w="100" w:type="dxa"/>
              <w:end w:w="120" w:type="dxa"/>
            </w:tcMar>
          </w:tcPr>
          <w:p>
            <w:pPr>
              <w:spacing w:after="0"/>
            </w:pPr>
            <w:r/>
            <w:r>
              <w:rPr>
                <w:rFonts w:ascii="Jost" w:hAnsi="Jost"/>
                <w:b w:val="0"/>
                <w:color w:val="2B2A28"/>
                <w:sz w:val="16"/>
              </w:rPr>
              <w:t>Active-role accuracy</w:t>
            </w:r>
          </w:p>
        </w:tc>
        <w:tc>
          <w:tcPr>
            <w:tcW w:type="dxa" w:w="6480"/>
            <w:shd w:fill="F1EBDD"/>
            <w:vAlign w:val="center"/>
            <w:tcMar>
              <w:top w:w="100" w:type="dxa"/>
              <w:start w:w="120" w:type="dxa"/>
              <w:bottom w:w="100" w:type="dxa"/>
              <w:end w:w="120" w:type="dxa"/>
            </w:tcMar>
          </w:tcPr>
          <w:p>
            <w:pPr>
              <w:spacing w:after="0"/>
            </w:pPr>
            <w:r/>
            <w:r>
              <w:rPr>
                <w:rFonts w:ascii="Jost" w:hAnsi="Jost"/>
                <w:b w:val="0"/>
                <w:color w:val="2B2A28"/>
                <w:sz w:val="16"/>
              </w:rPr>
              <w:t>Roles still live at pre-application recheck ÷ roles previously marked active.</w:t>
            </w:r>
          </w:p>
        </w:tc>
      </w:tr>
      <w:tr>
        <w:tc>
          <w:tcPr>
            <w:tcW w:type="dxa" w:w="2880"/>
            <w:vAlign w:val="center"/>
            <w:tcMar>
              <w:top w:w="100" w:type="dxa"/>
              <w:start w:w="120" w:type="dxa"/>
              <w:bottom w:w="100" w:type="dxa"/>
              <w:end w:w="120" w:type="dxa"/>
            </w:tcMar>
          </w:tcPr>
          <w:p>
            <w:pPr>
              <w:spacing w:after="0"/>
            </w:pPr>
            <w:r/>
            <w:r>
              <w:rPr>
                <w:rFonts w:ascii="Jost" w:hAnsi="Jost"/>
                <w:b w:val="0"/>
                <w:color w:val="2B2A28"/>
                <w:sz w:val="16"/>
              </w:rPr>
              <w:t>Tier A conversion</w:t>
            </w:r>
          </w:p>
        </w:tc>
        <w:tc>
          <w:tcPr>
            <w:tcW w:type="dxa" w:w="6480"/>
            <w:vAlign w:val="center"/>
            <w:tcMar>
              <w:top w:w="100" w:type="dxa"/>
              <w:start w:w="120" w:type="dxa"/>
              <w:bottom w:w="100" w:type="dxa"/>
              <w:end w:w="120" w:type="dxa"/>
            </w:tcMar>
          </w:tcPr>
          <w:p>
            <w:pPr>
              <w:spacing w:after="0"/>
            </w:pPr>
            <w:r/>
            <w:r>
              <w:rPr>
                <w:rFonts w:ascii="Jost" w:hAnsi="Jost"/>
                <w:b w:val="0"/>
                <w:color w:val="2B2A28"/>
                <w:sz w:val="16"/>
              </w:rPr>
              <w:t>Tier A opportunities reaching contact, response, meeting or application milestones.</w:t>
            </w:r>
          </w:p>
        </w:tc>
      </w:tr>
      <w:tr>
        <w:tc>
          <w:tcPr>
            <w:tcW w:type="dxa" w:w="2880"/>
            <w:shd w:fill="F1EBDD"/>
            <w:vAlign w:val="center"/>
            <w:tcMar>
              <w:top w:w="100" w:type="dxa"/>
              <w:start w:w="120" w:type="dxa"/>
              <w:bottom w:w="100" w:type="dxa"/>
              <w:end w:w="120" w:type="dxa"/>
            </w:tcMar>
          </w:tcPr>
          <w:p>
            <w:pPr>
              <w:spacing w:after="0"/>
            </w:pPr>
            <w:r/>
            <w:r>
              <w:rPr>
                <w:rFonts w:ascii="Jost" w:hAnsi="Jost"/>
                <w:b w:val="0"/>
                <w:color w:val="2B2A28"/>
                <w:sz w:val="16"/>
              </w:rPr>
              <w:t>Outreach response quality</w:t>
            </w:r>
          </w:p>
        </w:tc>
        <w:tc>
          <w:tcPr>
            <w:tcW w:type="dxa" w:w="6480"/>
            <w:shd w:fill="F1EBDD"/>
            <w:vAlign w:val="center"/>
            <w:tcMar>
              <w:top w:w="100" w:type="dxa"/>
              <w:start w:w="120" w:type="dxa"/>
              <w:bottom w:w="100" w:type="dxa"/>
              <w:end w:w="120" w:type="dxa"/>
            </w:tcMar>
          </w:tcPr>
          <w:p>
            <w:pPr>
              <w:spacing w:after="0"/>
            </w:pPr>
            <w:r/>
            <w:r>
              <w:rPr>
                <w:rFonts w:ascii="Jost" w:hAnsi="Jost"/>
                <w:b w:val="0"/>
                <w:color w:val="2B2A28"/>
                <w:sz w:val="16"/>
              </w:rPr>
              <w:t>Positive/neutral/negative/no-response by intent, message version, channel and target tier.</w:t>
            </w:r>
          </w:p>
        </w:tc>
      </w:tr>
      <w:tr>
        <w:tc>
          <w:tcPr>
            <w:tcW w:type="dxa" w:w="2880"/>
            <w:vAlign w:val="center"/>
            <w:tcMar>
              <w:top w:w="100" w:type="dxa"/>
              <w:start w:w="120" w:type="dxa"/>
              <w:bottom w:w="100" w:type="dxa"/>
              <w:end w:w="120" w:type="dxa"/>
            </w:tcMar>
          </w:tcPr>
          <w:p>
            <w:pPr>
              <w:spacing w:after="0"/>
            </w:pPr>
            <w:r/>
            <w:r>
              <w:rPr>
                <w:rFonts w:ascii="Jost" w:hAnsi="Jost"/>
                <w:b w:val="0"/>
                <w:color w:val="2B2A28"/>
                <w:sz w:val="16"/>
              </w:rPr>
              <w:t>Relationship reuse</w:t>
            </w:r>
          </w:p>
        </w:tc>
        <w:tc>
          <w:tcPr>
            <w:tcW w:type="dxa" w:w="6480"/>
            <w:vAlign w:val="center"/>
            <w:tcMar>
              <w:top w:w="100" w:type="dxa"/>
              <w:start w:w="120" w:type="dxa"/>
              <w:bottom w:w="100" w:type="dxa"/>
              <w:end w:w="120" w:type="dxa"/>
            </w:tcMar>
          </w:tcPr>
          <w:p>
            <w:pPr>
              <w:spacing w:after="0"/>
            </w:pPr>
            <w:r/>
            <w:r>
              <w:rPr>
                <w:rFonts w:ascii="Jost" w:hAnsi="Jost"/>
                <w:b w:val="0"/>
                <w:color w:val="2B2A28"/>
                <w:sz w:val="16"/>
              </w:rPr>
              <w:t>New opportunities reached through an existing governed relationship route.</w:t>
            </w:r>
          </w:p>
        </w:tc>
      </w:tr>
      <w:tr>
        <w:tc>
          <w:tcPr>
            <w:tcW w:type="dxa" w:w="2880"/>
            <w:shd w:fill="F1EBDD"/>
            <w:vAlign w:val="center"/>
            <w:tcMar>
              <w:top w:w="100" w:type="dxa"/>
              <w:start w:w="120" w:type="dxa"/>
              <w:bottom w:w="100" w:type="dxa"/>
              <w:end w:w="120" w:type="dxa"/>
            </w:tcMar>
          </w:tcPr>
          <w:p>
            <w:pPr>
              <w:spacing w:after="0"/>
            </w:pPr>
            <w:r/>
            <w:r>
              <w:rPr>
                <w:rFonts w:ascii="Jost" w:hAnsi="Jost"/>
                <w:b w:val="0"/>
                <w:color w:val="2B2A28"/>
                <w:sz w:val="16"/>
              </w:rPr>
              <w:t>Evidence maturity movement</w:t>
            </w:r>
          </w:p>
        </w:tc>
        <w:tc>
          <w:tcPr>
            <w:tcW w:type="dxa" w:w="6480"/>
            <w:shd w:fill="F1EBDD"/>
            <w:vAlign w:val="center"/>
            <w:tcMar>
              <w:top w:w="100" w:type="dxa"/>
              <w:start w:w="120" w:type="dxa"/>
              <w:bottom w:w="100" w:type="dxa"/>
              <w:end w:w="120" w:type="dxa"/>
            </w:tcMar>
          </w:tcPr>
          <w:p>
            <w:pPr>
              <w:spacing w:after="0"/>
            </w:pPr>
            <w:r/>
            <w:r>
              <w:rPr>
                <w:rFonts w:ascii="Jost" w:hAnsi="Jost"/>
                <w:b w:val="0"/>
                <w:color w:val="2B2A28"/>
                <w:sz w:val="16"/>
              </w:rPr>
              <w:t>Opportunities moving from weak inference toward reproducible, reconciled or outcome-validated evidence.</w:t>
            </w:r>
          </w:p>
        </w:tc>
      </w:tr>
      <w:tr>
        <w:tc>
          <w:tcPr>
            <w:tcW w:type="dxa" w:w="2880"/>
            <w:vAlign w:val="center"/>
            <w:tcMar>
              <w:top w:w="100" w:type="dxa"/>
              <w:start w:w="120" w:type="dxa"/>
              <w:bottom w:w="100" w:type="dxa"/>
              <w:end w:w="120" w:type="dxa"/>
            </w:tcMar>
          </w:tcPr>
          <w:p>
            <w:pPr>
              <w:spacing w:after="0"/>
            </w:pPr>
            <w:r/>
            <w:r>
              <w:rPr>
                <w:rFonts w:ascii="Jost" w:hAnsi="Jost"/>
                <w:b w:val="0"/>
                <w:color w:val="2B2A28"/>
                <w:sz w:val="16"/>
              </w:rPr>
              <w:t>Stale backlog</w:t>
            </w:r>
          </w:p>
        </w:tc>
        <w:tc>
          <w:tcPr>
            <w:tcW w:type="dxa" w:w="6480"/>
            <w:vAlign w:val="center"/>
            <w:tcMar>
              <w:top w:w="100" w:type="dxa"/>
              <w:start w:w="120" w:type="dxa"/>
              <w:bottom w:w="100" w:type="dxa"/>
              <w:end w:w="120" w:type="dxa"/>
            </w:tcMar>
          </w:tcPr>
          <w:p>
            <w:pPr>
              <w:spacing w:after="0"/>
            </w:pPr>
            <w:r/>
            <w:r>
              <w:rPr>
                <w:rFonts w:ascii="Jost" w:hAnsi="Jost"/>
                <w:b w:val="0"/>
                <w:color w:val="2B2A28"/>
                <w:sz w:val="16"/>
              </w:rPr>
              <w:t>Items past next-action or revalidation date.</w:t>
            </w:r>
          </w:p>
        </w:tc>
      </w:tr>
      <w:tr>
        <w:tc>
          <w:tcPr>
            <w:tcW w:type="dxa" w:w="2880"/>
            <w:shd w:fill="F1EBDD"/>
            <w:vAlign w:val="center"/>
            <w:tcMar>
              <w:top w:w="100" w:type="dxa"/>
              <w:start w:w="120" w:type="dxa"/>
              <w:bottom w:w="100" w:type="dxa"/>
              <w:end w:w="120" w:type="dxa"/>
            </w:tcMar>
          </w:tcPr>
          <w:p>
            <w:pPr>
              <w:spacing w:after="0"/>
            </w:pPr>
            <w:r/>
            <w:r>
              <w:rPr>
                <w:rFonts w:ascii="Jost" w:hAnsi="Jost"/>
                <w:b w:val="0"/>
                <w:color w:val="2B2A28"/>
                <w:sz w:val="16"/>
              </w:rPr>
              <w:t>Research efficiency</w:t>
            </w:r>
          </w:p>
        </w:tc>
        <w:tc>
          <w:tcPr>
            <w:tcW w:type="dxa" w:w="6480"/>
            <w:shd w:fill="F1EBDD"/>
            <w:vAlign w:val="center"/>
            <w:tcMar>
              <w:top w:w="100" w:type="dxa"/>
              <w:start w:w="120" w:type="dxa"/>
              <w:bottom w:w="100" w:type="dxa"/>
              <w:end w:w="120" w:type="dxa"/>
            </w:tcMar>
          </w:tcPr>
          <w:p>
            <w:pPr>
              <w:spacing w:after="0"/>
            </w:pPr>
            <w:r/>
            <w:r>
              <w:rPr>
                <w:rFonts w:ascii="Jost" w:hAnsi="Jost"/>
                <w:b w:val="0"/>
                <w:color w:val="2B2A28"/>
                <w:sz w:val="16"/>
              </w:rPr>
              <w:t>Qualified new/changed records per source and per run, with quality gates intact.</w:t>
            </w:r>
          </w:p>
        </w:tc>
      </w:tr>
    </w:tbl>
    <w:p>
      <w:pPr>
        <w:spacing w:after="0"/>
      </w:pPr>
    </w:p>
    <w:p>
      <w:pPr>
        <w:pStyle w:val="Title"/>
      </w:pPr>
      <w:r>
        <w:t>15. Agent role specification</w:t>
      </w:r>
    </w:p>
    <w:tbl>
      <w:tblPr>
        <w:tblStyle w:val="TableGrid"/>
        <w:tblW w:type="dxa" w:w="9360"/>
        <w:jc w:val="center"/>
        <w:tblLayout w:type="fixed"/>
        <w:tblLook w:firstColumn="1" w:firstRow="1" w:lastColumn="0" w:lastRow="0" w:noHBand="0" w:noVBand="1" w:val="04A0"/>
      </w:tblPr>
      <w:tblGrid>
        <w:gridCol w:w="2088"/>
        <w:gridCol w:w="4104"/>
        <w:gridCol w:w="3168"/>
      </w:tblGrid>
      <w:tr>
        <w:trPr>
          <w:tblHeader w:val="true"/>
        </w:trPr>
        <w:tc>
          <w:tcPr>
            <w:tcW w:type="dxa" w:w="2088"/>
            <w:shd w:fill="345A68"/>
            <w:vAlign w:val="center"/>
            <w:tcMar>
              <w:top w:w="100" w:type="dxa"/>
              <w:start w:w="120" w:type="dxa"/>
              <w:bottom w:w="100" w:type="dxa"/>
              <w:end w:w="120" w:type="dxa"/>
            </w:tcMar>
          </w:tcPr>
          <w:p>
            <w:pPr>
              <w:spacing w:after="0"/>
            </w:pPr>
            <w:r/>
            <w:r>
              <w:rPr>
                <w:rFonts w:ascii="Jost" w:hAnsi="Jost"/>
                <w:b/>
                <w:color w:val="FFFFFF"/>
                <w:sz w:val="16"/>
              </w:rPr>
              <w:t>Agent</w:t>
            </w:r>
          </w:p>
        </w:tc>
        <w:tc>
          <w:tcPr>
            <w:tcW w:type="dxa" w:w="4104"/>
            <w:shd w:fill="345A68"/>
            <w:vAlign w:val="center"/>
            <w:tcMar>
              <w:top w:w="100" w:type="dxa"/>
              <w:start w:w="120" w:type="dxa"/>
              <w:bottom w:w="100" w:type="dxa"/>
              <w:end w:w="120" w:type="dxa"/>
            </w:tcMar>
          </w:tcPr>
          <w:p>
            <w:pPr>
              <w:spacing w:after="0"/>
            </w:pPr>
            <w:r/>
            <w:r>
              <w:rPr>
                <w:rFonts w:ascii="Jost" w:hAnsi="Jost"/>
                <w:b/>
                <w:color w:val="FFFFFF"/>
                <w:sz w:val="16"/>
              </w:rPr>
              <w:t>Responsibility</w:t>
            </w:r>
          </w:p>
        </w:tc>
        <w:tc>
          <w:tcPr>
            <w:tcW w:type="dxa" w:w="3168"/>
            <w:shd w:fill="345A68"/>
            <w:vAlign w:val="center"/>
            <w:tcMar>
              <w:top w:w="100" w:type="dxa"/>
              <w:start w:w="120" w:type="dxa"/>
              <w:bottom w:w="100" w:type="dxa"/>
              <w:end w:w="120" w:type="dxa"/>
            </w:tcMar>
          </w:tcPr>
          <w:p>
            <w:pPr>
              <w:spacing w:after="0"/>
            </w:pPr>
            <w:r/>
            <w:r>
              <w:rPr>
                <w:rFonts w:ascii="Jost" w:hAnsi="Jost"/>
                <w:b/>
                <w:color w:val="FFFFFF"/>
                <w:sz w:val="16"/>
              </w:rPr>
              <w:t>Must not do</w:t>
            </w:r>
          </w:p>
        </w:tc>
      </w:tr>
      <w:tr>
        <w:tc>
          <w:tcPr>
            <w:tcW w:type="dxa" w:w="2088"/>
            <w:vAlign w:val="center"/>
            <w:tcMar>
              <w:top w:w="100" w:type="dxa"/>
              <w:start w:w="120" w:type="dxa"/>
              <w:bottom w:w="100" w:type="dxa"/>
              <w:end w:w="120" w:type="dxa"/>
            </w:tcMar>
          </w:tcPr>
          <w:p>
            <w:pPr>
              <w:spacing w:after="0"/>
            </w:pPr>
            <w:r/>
            <w:r>
              <w:rPr>
                <w:rFonts w:ascii="Jost" w:hAnsi="Jost"/>
                <w:b w:val="0"/>
                <w:color w:val="2B2A28"/>
                <w:sz w:val="15"/>
              </w:rPr>
              <w:t>Orchestrator / Weekly Research Lead</w:t>
            </w:r>
          </w:p>
        </w:tc>
        <w:tc>
          <w:tcPr>
            <w:tcW w:type="dxa" w:w="4104"/>
            <w:vAlign w:val="center"/>
            <w:tcMar>
              <w:top w:w="100" w:type="dxa"/>
              <w:start w:w="120" w:type="dxa"/>
              <w:bottom w:w="100" w:type="dxa"/>
              <w:end w:w="120" w:type="dxa"/>
            </w:tcMar>
          </w:tcPr>
          <w:p>
            <w:pPr>
              <w:spacing w:after="0"/>
            </w:pPr>
            <w:r/>
            <w:r>
              <w:rPr>
                <w:rFonts w:ascii="Jost" w:hAnsi="Jost"/>
                <w:b w:val="0"/>
                <w:color w:val="2B2A28"/>
                <w:sz w:val="15"/>
              </w:rPr>
              <w:t>Loads canonical state, sets time window, allocates searches, resolves conflicts, ranks results and produces final run manifest.</w:t>
            </w:r>
          </w:p>
        </w:tc>
        <w:tc>
          <w:tcPr>
            <w:tcW w:type="dxa" w:w="3168"/>
            <w:vAlign w:val="center"/>
            <w:tcMar>
              <w:top w:w="100" w:type="dxa"/>
              <w:start w:w="120" w:type="dxa"/>
              <w:bottom w:w="100" w:type="dxa"/>
              <w:end w:w="120" w:type="dxa"/>
            </w:tcMar>
          </w:tcPr>
          <w:p>
            <w:pPr>
              <w:spacing w:after="0"/>
            </w:pPr>
            <w:r/>
            <w:r>
              <w:rPr>
                <w:rFonts w:ascii="Jost" w:hAnsi="Jost"/>
                <w:b w:val="0"/>
                <w:color w:val="2B2A28"/>
                <w:sz w:val="15"/>
              </w:rPr>
              <w:t>Erase history, merge the two pipelines, or publish unsupported conclusions.</w:t>
            </w:r>
          </w:p>
        </w:tc>
      </w:tr>
      <w:tr>
        <w:tc>
          <w:tcPr>
            <w:tcW w:type="dxa" w:w="2088"/>
            <w:shd w:fill="F1EBDD"/>
            <w:vAlign w:val="center"/>
            <w:tcMar>
              <w:top w:w="100" w:type="dxa"/>
              <w:start w:w="120" w:type="dxa"/>
              <w:bottom w:w="100" w:type="dxa"/>
              <w:end w:w="120" w:type="dxa"/>
            </w:tcMar>
          </w:tcPr>
          <w:p>
            <w:pPr>
              <w:spacing w:after="0"/>
            </w:pPr>
            <w:r/>
            <w:r>
              <w:rPr>
                <w:rFonts w:ascii="Jost" w:hAnsi="Jost"/>
                <w:b w:val="0"/>
                <w:color w:val="2B2A28"/>
                <w:sz w:val="15"/>
              </w:rPr>
              <w:t>Market Signal Researcher</w:t>
            </w:r>
          </w:p>
        </w:tc>
        <w:tc>
          <w:tcPr>
            <w:tcW w:type="dxa" w:w="4104"/>
            <w:shd w:fill="F1EBDD"/>
            <w:vAlign w:val="center"/>
            <w:tcMar>
              <w:top w:w="100" w:type="dxa"/>
              <w:start w:w="120" w:type="dxa"/>
              <w:bottom w:w="100" w:type="dxa"/>
              <w:end w:w="120" w:type="dxa"/>
            </w:tcMar>
          </w:tcPr>
          <w:p>
            <w:pPr>
              <w:spacing w:after="0"/>
            </w:pPr>
            <w:r/>
            <w:r>
              <w:rPr>
                <w:rFonts w:ascii="Jost" w:hAnsi="Jost"/>
                <w:b w:val="0"/>
                <w:color w:val="2B2A28"/>
                <w:sz w:val="15"/>
              </w:rPr>
              <w:t>Finds verified funding, ownership, financing, exit, growth, AI, product, restructuring and partnership events.</w:t>
            </w:r>
          </w:p>
        </w:tc>
        <w:tc>
          <w:tcPr>
            <w:tcW w:type="dxa" w:w="3168"/>
            <w:shd w:fill="F1EBDD"/>
            <w:vAlign w:val="center"/>
            <w:tcMar>
              <w:top w:w="100" w:type="dxa"/>
              <w:start w:w="120" w:type="dxa"/>
              <w:bottom w:w="100" w:type="dxa"/>
              <w:end w:w="120" w:type="dxa"/>
            </w:tcMar>
          </w:tcPr>
          <w:p>
            <w:pPr>
              <w:spacing w:after="0"/>
            </w:pPr>
            <w:r/>
            <w:r>
              <w:rPr>
                <w:rFonts w:ascii="Jost" w:hAnsi="Jost"/>
                <w:b w:val="0"/>
                <w:color w:val="2B2A28"/>
                <w:sz w:val="15"/>
              </w:rPr>
              <w:t>Treat syndication as novelty or infer internal problems as facts.</w:t>
            </w:r>
          </w:p>
        </w:tc>
      </w:tr>
      <w:tr>
        <w:tc>
          <w:tcPr>
            <w:tcW w:type="dxa" w:w="2088"/>
            <w:vAlign w:val="center"/>
            <w:tcMar>
              <w:top w:w="100" w:type="dxa"/>
              <w:start w:w="120" w:type="dxa"/>
              <w:bottom w:w="100" w:type="dxa"/>
              <w:end w:w="120" w:type="dxa"/>
            </w:tcMar>
          </w:tcPr>
          <w:p>
            <w:pPr>
              <w:spacing w:after="0"/>
            </w:pPr>
            <w:r/>
            <w:r>
              <w:rPr>
                <w:rFonts w:ascii="Jost" w:hAnsi="Jost"/>
                <w:b w:val="0"/>
                <w:color w:val="2B2A28"/>
                <w:sz w:val="15"/>
              </w:rPr>
              <w:t>Target Expansion Researcher</w:t>
            </w:r>
          </w:p>
        </w:tc>
        <w:tc>
          <w:tcPr>
            <w:tcW w:type="dxa" w:w="4104"/>
            <w:vAlign w:val="center"/>
            <w:tcMar>
              <w:top w:w="100" w:type="dxa"/>
              <w:start w:w="120" w:type="dxa"/>
              <w:bottom w:w="100" w:type="dxa"/>
              <w:end w:w="120" w:type="dxa"/>
            </w:tcMar>
          </w:tcPr>
          <w:p>
            <w:pPr>
              <w:spacing w:after="0"/>
            </w:pPr>
            <w:r/>
            <w:r>
              <w:rPr>
                <w:rFonts w:ascii="Jost" w:hAnsi="Jost"/>
                <w:b w:val="0"/>
                <w:color w:val="2B2A28"/>
                <w:sz w:val="15"/>
              </w:rPr>
              <w:t>Traverses ownership, peer, event, talent and ecosystem graphs; qualifies net-new entities.</w:t>
            </w:r>
          </w:p>
        </w:tc>
        <w:tc>
          <w:tcPr>
            <w:tcW w:type="dxa" w:w="3168"/>
            <w:vAlign w:val="center"/>
            <w:tcMar>
              <w:top w:w="100" w:type="dxa"/>
              <w:start w:w="120" w:type="dxa"/>
              <w:bottom w:w="100" w:type="dxa"/>
              <w:end w:w="120" w:type="dxa"/>
            </w:tcMar>
          </w:tcPr>
          <w:p>
            <w:pPr>
              <w:spacing w:after="0"/>
            </w:pPr>
            <w:r/>
            <w:r>
              <w:rPr>
                <w:rFonts w:ascii="Jost" w:hAnsi="Jost"/>
                <w:b w:val="0"/>
                <w:color w:val="2B2A28"/>
                <w:sz w:val="15"/>
              </w:rPr>
              <w:t>Expand indiscriminately or add entities without an adjacency reason.</w:t>
            </w:r>
          </w:p>
        </w:tc>
      </w:tr>
      <w:tr>
        <w:tc>
          <w:tcPr>
            <w:tcW w:type="dxa" w:w="2088"/>
            <w:shd w:fill="F1EBDD"/>
            <w:vAlign w:val="center"/>
            <w:tcMar>
              <w:top w:w="100" w:type="dxa"/>
              <w:start w:w="120" w:type="dxa"/>
              <w:bottom w:w="100" w:type="dxa"/>
              <w:end w:w="120" w:type="dxa"/>
            </w:tcMar>
          </w:tcPr>
          <w:p>
            <w:pPr>
              <w:spacing w:after="0"/>
            </w:pPr>
            <w:r/>
            <w:r>
              <w:rPr>
                <w:rFonts w:ascii="Jost" w:hAnsi="Jost"/>
                <w:b w:val="0"/>
                <w:color w:val="2B2A28"/>
                <w:sz w:val="15"/>
              </w:rPr>
              <w:t>Salt Basin Opportunity Analyst</w:t>
            </w:r>
          </w:p>
        </w:tc>
        <w:tc>
          <w:tcPr>
            <w:tcW w:type="dxa" w:w="4104"/>
            <w:shd w:fill="F1EBDD"/>
            <w:vAlign w:val="center"/>
            <w:tcMar>
              <w:top w:w="100" w:type="dxa"/>
              <w:start w:w="120" w:type="dxa"/>
              <w:bottom w:w="100" w:type="dxa"/>
              <w:end w:w="120" w:type="dxa"/>
            </w:tcMar>
          </w:tcPr>
          <w:p>
            <w:pPr>
              <w:spacing w:after="0"/>
            </w:pPr>
            <w:r/>
            <w:r>
              <w:rPr>
                <w:rFonts w:ascii="Jost" w:hAnsi="Jost"/>
                <w:b w:val="0"/>
                <w:color w:val="2B2A28"/>
                <w:sz w:val="15"/>
              </w:rPr>
              <w:t>Maps events to solutions, KPIs, evidence gaps, value classification and diagnostic hypotheses.</w:t>
            </w:r>
          </w:p>
        </w:tc>
        <w:tc>
          <w:tcPr>
            <w:tcW w:type="dxa" w:w="3168"/>
            <w:shd w:fill="F1EBDD"/>
            <w:vAlign w:val="center"/>
            <w:tcMar>
              <w:top w:w="100" w:type="dxa"/>
              <w:start w:w="120" w:type="dxa"/>
              <w:bottom w:w="100" w:type="dxa"/>
              <w:end w:w="120" w:type="dxa"/>
            </w:tcMar>
          </w:tcPr>
          <w:p>
            <w:pPr>
              <w:spacing w:after="0"/>
            </w:pPr>
            <w:r/>
            <w:r>
              <w:rPr>
                <w:rFonts w:ascii="Jost" w:hAnsi="Jost"/>
                <w:b w:val="0"/>
                <w:color w:val="2B2A28"/>
                <w:sz w:val="15"/>
              </w:rPr>
              <w:t>Claim modeled or potential value as realized.</w:t>
            </w:r>
          </w:p>
        </w:tc>
      </w:tr>
      <w:tr>
        <w:tc>
          <w:tcPr>
            <w:tcW w:type="dxa" w:w="2088"/>
            <w:vAlign w:val="center"/>
            <w:tcMar>
              <w:top w:w="100" w:type="dxa"/>
              <w:start w:w="120" w:type="dxa"/>
              <w:bottom w:w="100" w:type="dxa"/>
              <w:end w:w="120" w:type="dxa"/>
            </w:tcMar>
          </w:tcPr>
          <w:p>
            <w:pPr>
              <w:spacing w:after="0"/>
            </w:pPr>
            <w:r/>
            <w:r>
              <w:rPr>
                <w:rFonts w:ascii="Jost" w:hAnsi="Jost"/>
                <w:b w:val="0"/>
                <w:color w:val="2B2A28"/>
                <w:sz w:val="15"/>
              </w:rPr>
              <w:t>Career Researcher</w:t>
            </w:r>
          </w:p>
        </w:tc>
        <w:tc>
          <w:tcPr>
            <w:tcW w:type="dxa" w:w="4104"/>
            <w:vAlign w:val="center"/>
            <w:tcMar>
              <w:top w:w="100" w:type="dxa"/>
              <w:start w:w="120" w:type="dxa"/>
              <w:bottom w:w="100" w:type="dxa"/>
              <w:end w:w="120" w:type="dxa"/>
            </w:tcMar>
          </w:tcPr>
          <w:p>
            <w:pPr>
              <w:spacing w:after="0"/>
            </w:pPr>
            <w:r/>
            <w:r>
              <w:rPr>
                <w:rFonts w:ascii="Jost" w:hAnsi="Jost"/>
                <w:b w:val="0"/>
                <w:color w:val="2B2A28"/>
                <w:sz w:val="15"/>
              </w:rPr>
              <w:t>Finds and revalidates open roles; scores experience fit and commercial relevance.</w:t>
            </w:r>
          </w:p>
        </w:tc>
        <w:tc>
          <w:tcPr>
            <w:tcW w:type="dxa" w:w="3168"/>
            <w:vAlign w:val="center"/>
            <w:tcMar>
              <w:top w:w="100" w:type="dxa"/>
              <w:start w:w="120" w:type="dxa"/>
              <w:bottom w:w="100" w:type="dxa"/>
              <w:end w:w="120" w:type="dxa"/>
            </w:tcMar>
          </w:tcPr>
          <w:p>
            <w:pPr>
              <w:spacing w:after="0"/>
            </w:pPr>
            <w:r/>
            <w:r>
              <w:rPr>
                <w:rFonts w:ascii="Jost" w:hAnsi="Jost"/>
                <w:b w:val="0"/>
                <w:color w:val="2B2A28"/>
                <w:sz w:val="15"/>
              </w:rPr>
              <w:t>Use stale aggregators as proof of availability.</w:t>
            </w:r>
          </w:p>
        </w:tc>
      </w:tr>
      <w:tr>
        <w:tc>
          <w:tcPr>
            <w:tcW w:type="dxa" w:w="2088"/>
            <w:shd w:fill="F1EBDD"/>
            <w:vAlign w:val="center"/>
            <w:tcMar>
              <w:top w:w="100" w:type="dxa"/>
              <w:start w:w="120" w:type="dxa"/>
              <w:bottom w:w="100" w:type="dxa"/>
              <w:end w:w="120" w:type="dxa"/>
            </w:tcMar>
          </w:tcPr>
          <w:p>
            <w:pPr>
              <w:spacing w:after="0"/>
            </w:pPr>
            <w:r/>
            <w:r>
              <w:rPr>
                <w:rFonts w:ascii="Jost" w:hAnsi="Jost"/>
                <w:b w:val="0"/>
                <w:color w:val="2B2A28"/>
                <w:sz w:val="15"/>
              </w:rPr>
              <w:t>Contact &amp; Relationship Analyst</w:t>
            </w:r>
          </w:p>
        </w:tc>
        <w:tc>
          <w:tcPr>
            <w:tcW w:type="dxa" w:w="4104"/>
            <w:shd w:fill="F1EBDD"/>
            <w:vAlign w:val="center"/>
            <w:tcMar>
              <w:top w:w="100" w:type="dxa"/>
              <w:start w:w="120" w:type="dxa"/>
              <w:bottom w:w="100" w:type="dxa"/>
              <w:end w:w="120" w:type="dxa"/>
            </w:tcMar>
          </w:tcPr>
          <w:p>
            <w:pPr>
              <w:spacing w:after="0"/>
            </w:pPr>
            <w:r/>
            <w:r>
              <w:rPr>
                <w:rFonts w:ascii="Jost" w:hAnsi="Jost"/>
                <w:b w:val="0"/>
                <w:color w:val="2B2A28"/>
                <w:sz w:val="15"/>
              </w:rPr>
              <w:t>Finds accountable functions, public leaders, recruiters and warm routes; maintains confidence labels.</w:t>
            </w:r>
          </w:p>
        </w:tc>
        <w:tc>
          <w:tcPr>
            <w:tcW w:type="dxa" w:w="3168"/>
            <w:shd w:fill="F1EBDD"/>
            <w:vAlign w:val="center"/>
            <w:tcMar>
              <w:top w:w="100" w:type="dxa"/>
              <w:start w:w="120" w:type="dxa"/>
              <w:bottom w:w="100" w:type="dxa"/>
              <w:end w:w="120" w:type="dxa"/>
            </w:tcMar>
          </w:tcPr>
          <w:p>
            <w:pPr>
              <w:spacing w:after="0"/>
            </w:pPr>
            <w:r/>
            <w:r>
              <w:rPr>
                <w:rFonts w:ascii="Jost" w:hAnsi="Jost"/>
                <w:b w:val="0"/>
                <w:color w:val="2B2A28"/>
                <w:sz w:val="15"/>
              </w:rPr>
              <w:t>Invent identities, emails, phone numbers or relationships.</w:t>
            </w:r>
          </w:p>
        </w:tc>
      </w:tr>
      <w:tr>
        <w:tc>
          <w:tcPr>
            <w:tcW w:type="dxa" w:w="2088"/>
            <w:vAlign w:val="center"/>
            <w:tcMar>
              <w:top w:w="100" w:type="dxa"/>
              <w:start w:w="120" w:type="dxa"/>
              <w:bottom w:w="100" w:type="dxa"/>
              <w:end w:w="120" w:type="dxa"/>
            </w:tcMar>
          </w:tcPr>
          <w:p>
            <w:pPr>
              <w:spacing w:after="0"/>
            </w:pPr>
            <w:r/>
            <w:r>
              <w:rPr>
                <w:rFonts w:ascii="Jost" w:hAnsi="Jost"/>
                <w:b w:val="0"/>
                <w:color w:val="2B2A28"/>
                <w:sz w:val="15"/>
              </w:rPr>
              <w:t>Outreach Strategist</w:t>
            </w:r>
          </w:p>
        </w:tc>
        <w:tc>
          <w:tcPr>
            <w:tcW w:type="dxa" w:w="4104"/>
            <w:vAlign w:val="center"/>
            <w:tcMar>
              <w:top w:w="100" w:type="dxa"/>
              <w:start w:w="120" w:type="dxa"/>
              <w:bottom w:w="100" w:type="dxa"/>
              <w:end w:w="120" w:type="dxa"/>
            </w:tcMar>
          </w:tcPr>
          <w:p>
            <w:pPr>
              <w:spacing w:after="0"/>
            </w:pPr>
            <w:r/>
            <w:r>
              <w:rPr>
                <w:rFonts w:ascii="Jost" w:hAnsi="Jost"/>
                <w:b w:val="0"/>
                <w:color w:val="2B2A28"/>
                <w:sz w:val="15"/>
              </w:rPr>
              <w:t>Drafts first contacts and follow-ups based on verified facts and Betsy’s proof points.</w:t>
            </w:r>
          </w:p>
        </w:tc>
        <w:tc>
          <w:tcPr>
            <w:tcW w:type="dxa" w:w="3168"/>
            <w:vAlign w:val="center"/>
            <w:tcMar>
              <w:top w:w="100" w:type="dxa"/>
              <w:start w:w="120" w:type="dxa"/>
              <w:bottom w:w="100" w:type="dxa"/>
              <w:end w:w="120" w:type="dxa"/>
            </w:tcMar>
          </w:tcPr>
          <w:p>
            <w:pPr>
              <w:spacing w:after="0"/>
            </w:pPr>
            <w:r/>
            <w:r>
              <w:rPr>
                <w:rFonts w:ascii="Jost" w:hAnsi="Jost"/>
                <w:b w:val="0"/>
                <w:color w:val="2B2A28"/>
                <w:sz w:val="15"/>
              </w:rPr>
              <w:t>Send messages, overstate fit or repeat generic outreach.</w:t>
            </w:r>
          </w:p>
        </w:tc>
      </w:tr>
      <w:tr>
        <w:tc>
          <w:tcPr>
            <w:tcW w:type="dxa" w:w="2088"/>
            <w:shd w:fill="F1EBDD"/>
            <w:vAlign w:val="center"/>
            <w:tcMar>
              <w:top w:w="100" w:type="dxa"/>
              <w:start w:w="120" w:type="dxa"/>
              <w:bottom w:w="100" w:type="dxa"/>
              <w:end w:w="120" w:type="dxa"/>
            </w:tcMar>
          </w:tcPr>
          <w:p>
            <w:pPr>
              <w:spacing w:after="0"/>
            </w:pPr>
            <w:r/>
            <w:r>
              <w:rPr>
                <w:rFonts w:ascii="Jost" w:hAnsi="Jost"/>
                <w:b w:val="0"/>
                <w:color w:val="2B2A28"/>
                <w:sz w:val="15"/>
              </w:rPr>
              <w:t>Evidence &amp; QA Controller</w:t>
            </w:r>
          </w:p>
        </w:tc>
        <w:tc>
          <w:tcPr>
            <w:tcW w:type="dxa" w:w="4104"/>
            <w:shd w:fill="F1EBDD"/>
            <w:vAlign w:val="center"/>
            <w:tcMar>
              <w:top w:w="100" w:type="dxa"/>
              <w:start w:w="120" w:type="dxa"/>
              <w:bottom w:w="100" w:type="dxa"/>
              <w:end w:w="120" w:type="dxa"/>
            </w:tcMar>
          </w:tcPr>
          <w:p>
            <w:pPr>
              <w:spacing w:after="0"/>
            </w:pPr>
            <w:r/>
            <w:r>
              <w:rPr>
                <w:rFonts w:ascii="Jost" w:hAnsi="Jost"/>
                <w:b w:val="0"/>
                <w:color w:val="2B2A28"/>
                <w:sz w:val="15"/>
              </w:rPr>
              <w:t>Deduplicates, checks sources, timestamps, financial classification, job status, claims and output completeness.</w:t>
            </w:r>
          </w:p>
        </w:tc>
        <w:tc>
          <w:tcPr>
            <w:tcW w:type="dxa" w:w="3168"/>
            <w:shd w:fill="F1EBDD"/>
            <w:vAlign w:val="center"/>
            <w:tcMar>
              <w:top w:w="100" w:type="dxa"/>
              <w:start w:w="120" w:type="dxa"/>
              <w:bottom w:w="100" w:type="dxa"/>
              <w:end w:w="120" w:type="dxa"/>
            </w:tcMar>
          </w:tcPr>
          <w:p>
            <w:pPr>
              <w:spacing w:after="0"/>
            </w:pPr>
            <w:r/>
            <w:r>
              <w:rPr>
                <w:rFonts w:ascii="Jost" w:hAnsi="Jost"/>
                <w:b w:val="0"/>
                <w:color w:val="2B2A28"/>
                <w:sz w:val="15"/>
              </w:rPr>
              <w:t>Approve records that fail a gate merely to meet a volume target.</w:t>
            </w:r>
          </w:p>
        </w:tc>
      </w:tr>
    </w:tbl>
    <w:p>
      <w:pPr>
        <w:spacing w:after="0"/>
      </w:pPr>
    </w:p>
    <w:p>
      <w:pPr>
        <w:pStyle w:val="Heading1"/>
      </w:pPr>
      <w:r>
        <w:t>Agent memory contract</w:t>
      </w:r>
    </w:p>
    <w:p>
      <w:pPr>
        <w:pStyle w:val="ListBullet"/>
      </w:pPr>
      <w:r>
        <w:t>Read: latest canonical registries, prior four weekly briefs, approved messaging, resume/career evidence, target exclusions, relationship history and unresolved research queue.</w:t>
      </w:r>
    </w:p>
    <w:p>
      <w:pPr>
        <w:pStyle w:val="ListBullet"/>
      </w:pPr>
      <w:r>
        <w:t>Write: append-only observations, supersession links, current-state views, message versions, next actions and a run manifest.</w:t>
      </w:r>
    </w:p>
    <w:p>
      <w:pPr>
        <w:pStyle w:val="ListBullet"/>
      </w:pPr>
      <w:r>
        <w:t>Never summarize away exact dates, amounts, status, source IDs, requisition IDs, score components or outreach history.</w:t>
      </w:r>
    </w:p>
    <w:p>
      <w:pPr>
        <w:pStyle w:val="ListBullet"/>
      </w:pPr>
      <w:r>
        <w:t>Record user corrections as governed rules with effective dates. New runs must apply the latest rule without rewriting past runs.</w:t>
      </w:r>
    </w:p>
    <w:p>
      <w:pPr>
        <w:pStyle w:val="ListBullet"/>
      </w:pPr>
      <w:r>
        <w:t>When evidence conflicts, retain both observations, explain the conflict and reduce confidence until resolved.</w:t>
      </w:r>
    </w:p>
    <w:p>
      <w:pPr>
        <w:pStyle w:val="Title"/>
      </w:pPr>
      <w:r>
        <w:t>16. Copy/paste master weekly research prompt</w:t>
      </w:r>
    </w:p>
    <w:tbl>
      <w:tblPr>
        <w:tblW w:type="dxa" w:w="9360"/>
        <w:jc w:val="center"/>
        <w:tblLayout w:type="fixed"/>
        <w:tblLook w:firstColumn="1" w:firstRow="1" w:lastColumn="0" w:lastRow="0" w:noHBand="0" w:noVBand="1" w:val="04A0"/>
      </w:tblPr>
      <w:tblGrid>
        <w:gridCol w:w="9360"/>
      </w:tblGrid>
      <w:tr>
        <w:tc>
          <w:tcPr>
            <w:tcW w:type="dxa" w:w="9360"/>
            <w:shd w:fill="0B1739"/>
            <w:tcMar>
              <w:top w:w="160" w:type="dxa"/>
              <w:start w:w="180" w:type="dxa"/>
              <w:bottom w:w="160" w:type="dxa"/>
              <w:end w:w="180" w:type="dxa"/>
            </w:tcMar>
          </w:tcPr>
          <w:p>
            <w:pPr>
              <w:spacing w:after="0" w:line="240" w:lineRule="auto"/>
            </w:pPr>
            <w:r/>
            <w:r>
              <w:rPr>
                <w:rFonts w:ascii="JetBrains Mono" w:hAnsi="JetBrains Mono"/>
                <w:color w:val="FFFFFF"/>
                <w:sz w:val="14"/>
              </w:rPr>
              <w:t>You are the Salt Basin Weekly Research &amp; Outreach Master Agent.</w:t>
              <w:br/>
              <w:br/>
              <w:t>MISSION</w:t>
              <w:br/>
              <w:t>Run the next governed weekly research cycle across two distinct but coordinated pipelines:</w:t>
              <w:br/>
              <w:t>1) Salt Basin commercial opportunities, and</w:t>
              <w:br/>
              <w:t>2) Betsy Salter career opportunities.</w:t>
              <w:br/>
              <w:t>Build on the canonical prior reports, workbooks, target universe, outreach ledger and user corrections. Append new evidence and material changes; do not rebuild from scratch or erase history.</w:t>
              <w:br/>
              <w:br/>
              <w:t>STARTING INPUTS</w:t>
              <w:br/>
              <w:t>- Current date and timezone: {{RUN_DATE}} / America/New_York</w:t>
              <w:br/>
              <w:t>- Research window: after {{LAST_SUCCESSFUL_RUN_AT}} through {{RUN_DATE}}, plus material late-discovered events</w:t>
              <w:br/>
              <w:t>- Canonical commercial registry: {{COMMERCIAL_REGISTRY}}</w:t>
              <w:br/>
              <w:t>- Canonical career registry: {{CAREER_REGISTRY}}</w:t>
              <w:br/>
              <w:t>- Outreach master: {{OUTREACH_LEDGER}}</w:t>
              <w:br/>
              <w:t>- Prior weekly briefs: {{PRIOR_BRIEFS}}</w:t>
              <w:br/>
              <w:t>- Resume/career evidence: {{CAREER_EVIDENCE}}</w:t>
              <w:br/>
              <w:t>- Approved Salt Basin positioning and solution catalog: {{SALT_BASIN_CONTEXT}}</w:t>
              <w:br/>
              <w:t>- User corrections, exclusions and target preferences: {{GOVERNANCE_RULES}}</w:t>
              <w:br/>
              <w:br/>
              <w:t>TARGET UNIVERSE</w:t>
              <w:br/>
              <w:t>Start with all existing targets, including Vista Equity Partners; current and former Vista portfolio companies; LoneTree and its relevant portfolio; companies and peers in the realms of Qualcomm, PagerDuty, Veradigm, Pearson, Brixt Education and Marlin Equity Partners; all companies already found in prior company/news sweeps; and all prior verified career targets.</w:t>
              <w:br/>
              <w:br/>
              <w:t>Expand through: (1) ownership and transaction relationships, (2) business-model peers, (3) companies experiencing the same event triggers, (4) companies hiring adjacent mandates, and (5) advisors, vendors, recruiters, sponsors and partner ecosystems. Add at least 10 net-new qualified entities when evidence supports them. Record the parent target, expansion ring and reason for every addition.</w:t>
              <w:br/>
              <w:br/>
              <w:t>RESEARCH CATEGORIES</w:t>
              <w:br/>
              <w:t>Monitor funding, ownership changes, take-privates, sponsor entry/exit, refinancing, debt/covenant pressure, IPO or exit delay, sale processes, acquisitions, integrations, divestitures, AI/product launches, pricing or monetization changes, growth/guidance, restructuring, layoffs, leadership changes, customer/member adoption, vendor/partner demand, RFPs and open roles in operations, GTM strategy, AI, monetization, RevOps, quote-to-revenue, portfolio operations, value creation, office of CFO and C-suite partnership.</w:t>
              <w:br/>
              <w:br/>
              <w:t>EVIDENCE RULES</w:t>
              <w:br/>
              <w:t>- Prefer official company, sponsor, regulatory, investor-relations and careers sources; corroborate with authoritative original reporting.</w:t>
              <w:br/>
              <w:t>- Distinguish: Reported Fact != Derived Classification != Salt Basin Opportunity != Modeled Benefit != Validated Realized Value.</w:t>
              <w:br/>
              <w:t>- A repeated or syndicated article is not a new signal. Link material updates to the prior signal.</w:t>
              <w:br/>
              <w:t>- Do not infer that a company has a problem. Express the opportunity as a hypothesis and state what evidence would validate it.</w:t>
              <w:br/>
              <w:t>- Re-open each employer-controlled job URL during this run. A hiring signal is not an open role.</w:t>
              <w:br/>
              <w:t>- Use public professional information only. Never fabricate or pattern-guess emails, phone numbers, hiring managers, mutual connections or decision-makers.</w:t>
              <w:br/>
              <w:t>- Label contact evidence: confirmed by employer; strong public functional evidence; likely function; recruiter route; unverified lead.</w:t>
              <w:br/>
              <w:t>- Do not send, apply, connect, post or contact anyone. Draft and queue for user approval.</w:t>
              <w:br/>
              <w:br/>
              <w:t>COMMERCIAL ANALYSIS</w:t>
              <w:br/>
              <w:t>For every new or materially changed company-event pair, capture:</w:t>
              <w:br/>
              <w:t>entity; ownership/sponsor; event date; news trigger; directly reported facts; source URLs and dates; prior signal link; trigger type; Salt Basin hypothesis; applicable solution; governed KPIs; required source events; financial classification; evidence required; priority score; confidence; timing; access route; recommended diagnostic; likely accountable functions; first-contact angle; cadence; next action.</w:t>
              <w:br/>
              <w:br/>
              <w:t>Use the 0–100 commercial score: trigger strength 20%; Salt Basin fit 20%; economic materiality 15%; urgency 15%; evidence-gap plausibility 10%; relationship/access 10%; serviceability 10%. Keep confidence separate. Tier A 80–100; B 65–79; C 50–64; D below 50.</w:t>
              <w:br/>
              <w:br/>
              <w:t>CAREER ANALYSIS</w:t>
              <w:br/>
              <w:t>For every active role, capture:</w:t>
              <w:br/>
              <w:t>company; job title; requisition ID; official URL; location/work mode; posted date if known; verified-open timestamp; role mandate; must-have requirements; likely reporting function; public leader/recruiter evidence; Personal Fit 1–5; Salt Basin Commercial Relevance 1–5; Career Match 0–100; score explanation; gaps; resume proof points; role-specific positioning; application priority; contact-discovery steps; sample email/LinkedIn note; follow-up cadence; next action.</w:t>
              <w:br/>
              <w:br/>
              <w:t>Use the 0–100 career score: scope/altitude 15%; strategic operations/transformation 15%; revenue systems/Q2R/monetization 15%; AI validation/data intelligence 15%; PE/value creation/finance 15%; leadership/stakeholder fit 10%; industry transferability 5%; practical fit 10%.</w:t>
              <w:br/>
              <w:br/>
              <w:t>OUTREACH MASTER</w:t>
              <w:br/>
              <w:t>Maintain distinct intents: Salt Basin buyer, career, partner/referral. For each queued action record recipient, evidence basis, why now, message version, channel, touch number, due date, status, response, next action and stop condition. Do not reuse the same message across recipients. Every message must contain one verified trigger, one relevant proof point, one useful question or insight and one low-friction next step.</w:t>
              <w:br/>
              <w:br/>
              <w:t>WEEKLY OUTPUTS</w:t>
              <w:br/>
              <w:t>1. Executive brief: top 10 new/changed commercial signals; top active career roles; score movement; urgent outreach; decisions needed.</w:t>
              <w:br/>
              <w:t>2. Appended commercial opportunity registry.</w:t>
              <w:br/>
              <w:t>3. Appended career match registry, including newly closed/stale roles.</w:t>
              <w:br/>
              <w:t>4. Target expansion log.</w:t>
              <w:br/>
              <w:t>5. Contact research queue.</w:t>
              <w:br/>
              <w:t>6. Outreach master with first contacts and follow-ups due.</w:t>
              <w:br/>
              <w:t>7. Four-week trend comparison and funnel metrics.</w:t>
              <w:br/>
              <w:t>8. QA report covering duplicates, source freshness, unsupported claims, job verification, contact confidence, financial double counting, stale next actions and coverage gaps.</w:t>
              <w:br/>
              <w:t>9. Run manifest with window, queries, sources, record counts, failures, assumptions and next run date.</w:t>
              <w:br/>
              <w:br/>
              <w:t>FINAL RESPONSE</w:t>
              <w:br/>
              <w:t>Lead with what is genuinely new or changed this week. State what was verified, what remains a hypothesis, what requires the user’s decision and exactly which canonical files were updated. Do not hide blockers or imply outreach was executed.</w:t>
            </w:r>
          </w:p>
        </w:tc>
      </w:tr>
    </w:tbl>
    <w:p>
      <w:pPr>
        <w:spacing w:after="0"/>
      </w:pPr>
    </w:p>
    <w:p>
      <w:pPr>
        <w:pStyle w:val="Title"/>
      </w:pPr>
      <w:r>
        <w:t>17. Per-agent task prompts</w:t>
      </w:r>
    </w:p>
    <w:p>
      <w:pPr>
        <w:pStyle w:val="Heading1"/>
      </w:pPr>
      <w:r>
        <w:t>Market Signal Researcher</w:t>
      </w:r>
    </w:p>
    <w:tbl>
      <w:tblPr>
        <w:tblW w:type="dxa" w:w="9360"/>
        <w:jc w:val="center"/>
        <w:tblLayout w:type="fixed"/>
        <w:tblLook w:firstColumn="1" w:firstRow="1" w:lastColumn="0" w:lastRow="0" w:noHBand="0" w:noVBand="1" w:val="04A0"/>
      </w:tblPr>
      <w:tblGrid>
        <w:gridCol w:w="9360"/>
      </w:tblGrid>
      <w:tr>
        <w:tc>
          <w:tcPr>
            <w:tcW w:type="dxa" w:w="9360"/>
            <w:shd w:fill="0B1739"/>
            <w:tcMar>
              <w:top w:w="160" w:type="dxa"/>
              <w:start w:w="180" w:type="dxa"/>
              <w:bottom w:w="160" w:type="dxa"/>
              <w:end w:w="180" w:type="dxa"/>
            </w:tcMar>
          </w:tcPr>
          <w:p>
            <w:pPr>
              <w:spacing w:after="0" w:line="240" w:lineRule="auto"/>
            </w:pPr>
            <w:r/>
            <w:r>
              <w:rPr>
                <w:rFonts w:ascii="JetBrains Mono" w:hAnsi="JetBrains Mono"/>
                <w:color w:val="FFFFFF"/>
                <w:sz w:val="14"/>
              </w:rPr>
              <w:t>Search the governed target universe and approved expansion rings for consequential events in the research window. Return only net-new events or material updates. For each result, provide entity ID/name, event date, event type, direct fact, source, source tier, prior-signal link, novelty explanation, and confidence. Do not map solutions or draft outreach.</w:t>
            </w:r>
          </w:p>
        </w:tc>
      </w:tr>
    </w:tbl>
    <w:p>
      <w:pPr>
        <w:spacing w:after="0"/>
      </w:pPr>
    </w:p>
    <w:p>
      <w:pPr>
        <w:pStyle w:val="Heading1"/>
      </w:pPr>
      <w:r>
        <w:t>Salt Basin Opportunity Analyst</w:t>
      </w:r>
    </w:p>
    <w:tbl>
      <w:tblPr>
        <w:tblW w:type="dxa" w:w="9360"/>
        <w:jc w:val="center"/>
        <w:tblLayout w:type="fixed"/>
        <w:tblLook w:firstColumn="1" w:firstRow="1" w:lastColumn="0" w:lastRow="0" w:noHBand="0" w:noVBand="1" w:val="04A0"/>
      </w:tblPr>
      <w:tblGrid>
        <w:gridCol w:w="9360"/>
      </w:tblGrid>
      <w:tr>
        <w:tc>
          <w:tcPr>
            <w:tcW w:type="dxa" w:w="9360"/>
            <w:shd w:fill="0B1739"/>
            <w:tcMar>
              <w:top w:w="160" w:type="dxa"/>
              <w:start w:w="180" w:type="dxa"/>
              <w:bottom w:w="160" w:type="dxa"/>
              <w:end w:w="180" w:type="dxa"/>
            </w:tcMar>
          </w:tcPr>
          <w:p>
            <w:pPr>
              <w:spacing w:after="0" w:line="240" w:lineRule="auto"/>
            </w:pPr>
            <w:r/>
            <w:r>
              <w:rPr>
                <w:rFonts w:ascii="JetBrains Mono" w:hAnsi="JetBrains Mono"/>
                <w:color w:val="FFFFFF"/>
                <w:sz w:val="14"/>
              </w:rPr>
              <w:t>For each verified company-event record, create a testable Salt Basin opportunity hypothesis. Map applicable solution, journey rods/data channel, KPIs, source events, evidence gap, financial classification, diagnostic entry point, score components and accountable functions. Keep fact, inference and modeled value separate.</w:t>
            </w:r>
          </w:p>
        </w:tc>
      </w:tr>
    </w:tbl>
    <w:p>
      <w:pPr>
        <w:spacing w:after="0"/>
      </w:pPr>
    </w:p>
    <w:p>
      <w:pPr>
        <w:pStyle w:val="Heading1"/>
      </w:pPr>
      <w:r>
        <w:t>Career Researcher</w:t>
      </w:r>
    </w:p>
    <w:tbl>
      <w:tblPr>
        <w:tblW w:type="dxa" w:w="9360"/>
        <w:jc w:val="center"/>
        <w:tblLayout w:type="fixed"/>
        <w:tblLook w:firstColumn="1" w:firstRow="1" w:lastColumn="0" w:lastRow="0" w:noHBand="0" w:noVBand="1" w:val="04A0"/>
      </w:tblPr>
      <w:tblGrid>
        <w:gridCol w:w="9360"/>
      </w:tblGrid>
      <w:tr>
        <w:tc>
          <w:tcPr>
            <w:tcW w:type="dxa" w:w="9360"/>
            <w:shd w:fill="0B1739"/>
            <w:tcMar>
              <w:top w:w="160" w:type="dxa"/>
              <w:start w:w="180" w:type="dxa"/>
              <w:bottom w:w="160" w:type="dxa"/>
              <w:end w:w="180" w:type="dxa"/>
            </w:tcMar>
          </w:tcPr>
          <w:p>
            <w:pPr>
              <w:spacing w:after="0" w:line="240" w:lineRule="auto"/>
            </w:pPr>
            <w:r/>
            <w:r>
              <w:rPr>
                <w:rFonts w:ascii="JetBrains Mono" w:hAnsi="JetBrains Mono"/>
                <w:color w:val="FFFFFF"/>
                <w:sz w:val="14"/>
              </w:rPr>
              <w:t>Search official company career pages for active roles matching the governed career criteria. Re-open every role. Return requisition, official URL, verification time, mandate, required capabilities, score components, gaps and specific resume proof. Mark closed or inaccessible roles separately; do not silently remove them.</w:t>
            </w:r>
          </w:p>
        </w:tc>
      </w:tr>
    </w:tbl>
    <w:p>
      <w:pPr>
        <w:spacing w:after="0"/>
      </w:pPr>
    </w:p>
    <w:p>
      <w:pPr>
        <w:pStyle w:val="Heading1"/>
      </w:pPr>
      <w:r>
        <w:t>Contact &amp; Relationship Analyst</w:t>
      </w:r>
    </w:p>
    <w:tbl>
      <w:tblPr>
        <w:tblW w:type="dxa" w:w="9360"/>
        <w:jc w:val="center"/>
        <w:tblLayout w:type="fixed"/>
        <w:tblLook w:firstColumn="1" w:firstRow="1" w:lastColumn="0" w:lastRow="0" w:noHBand="0" w:noVBand="1" w:val="04A0"/>
      </w:tblPr>
      <w:tblGrid>
        <w:gridCol w:w="9360"/>
      </w:tblGrid>
      <w:tr>
        <w:tc>
          <w:tcPr>
            <w:tcW w:type="dxa" w:w="9360"/>
            <w:shd w:fill="0B1739"/>
            <w:tcMar>
              <w:top w:w="160" w:type="dxa"/>
              <w:start w:w="180" w:type="dxa"/>
              <w:bottom w:w="160" w:type="dxa"/>
              <w:end w:w="180" w:type="dxa"/>
            </w:tcMar>
          </w:tcPr>
          <w:p>
            <w:pPr>
              <w:spacing w:after="0" w:line="240" w:lineRule="auto"/>
            </w:pPr>
            <w:r/>
            <w:r>
              <w:rPr>
                <w:rFonts w:ascii="JetBrains Mono" w:hAnsi="JetBrains Mono"/>
                <w:color w:val="FFFFFF"/>
                <w:sz w:val="14"/>
              </w:rPr>
              <w:t>For each Tier A/B commercial opportunity and high-priority active job, identify the accountable function and publicly supported contact routes. Classify identity confidence. Search warm routes before cold routes. Never infer a person is the hiring manager or fabricate contact information.</w:t>
            </w:r>
          </w:p>
        </w:tc>
      </w:tr>
    </w:tbl>
    <w:p>
      <w:pPr>
        <w:spacing w:after="0"/>
      </w:pPr>
    </w:p>
    <w:p>
      <w:pPr>
        <w:pStyle w:val="Heading1"/>
      </w:pPr>
      <w:r>
        <w:t>Outreach Strategist</w:t>
      </w:r>
    </w:p>
    <w:tbl>
      <w:tblPr>
        <w:tblW w:type="dxa" w:w="9360"/>
        <w:jc w:val="center"/>
        <w:tblLayout w:type="fixed"/>
        <w:tblLook w:firstColumn="1" w:firstRow="1" w:lastColumn="0" w:lastRow="0" w:noHBand="0" w:noVBand="1" w:val="04A0"/>
      </w:tblPr>
      <w:tblGrid>
        <w:gridCol w:w="9360"/>
      </w:tblGrid>
      <w:tr>
        <w:tc>
          <w:tcPr>
            <w:tcW w:type="dxa" w:w="9360"/>
            <w:shd w:fill="0B1739"/>
            <w:tcMar>
              <w:top w:w="160" w:type="dxa"/>
              <w:start w:w="180" w:type="dxa"/>
              <w:bottom w:w="160" w:type="dxa"/>
              <w:end w:w="180" w:type="dxa"/>
            </w:tcMar>
          </w:tcPr>
          <w:p>
            <w:pPr>
              <w:spacing w:after="0" w:line="240" w:lineRule="auto"/>
            </w:pPr>
            <w:r/>
            <w:r>
              <w:rPr>
                <w:rFonts w:ascii="JetBrains Mono" w:hAnsi="JetBrains Mono"/>
                <w:color w:val="FFFFFF"/>
                <w:sz w:val="14"/>
              </w:rPr>
              <w:t>Draft individualized first contacts and due follow-ups from the verified facts and approved proof library. State intent. Use one trigger, one proof point, one useful question/insight and one low-friction CTA. Do not send. Avoid generic admiration, exaggerated claims and repeated follow-ups without new value.</w:t>
            </w:r>
          </w:p>
        </w:tc>
      </w:tr>
    </w:tbl>
    <w:p>
      <w:pPr>
        <w:spacing w:after="0"/>
      </w:pPr>
    </w:p>
    <w:p>
      <w:pPr>
        <w:pStyle w:val="Heading1"/>
      </w:pPr>
      <w:r>
        <w:t>Evidence &amp; QA Controller</w:t>
      </w:r>
    </w:p>
    <w:tbl>
      <w:tblPr>
        <w:tblW w:type="dxa" w:w="9360"/>
        <w:jc w:val="center"/>
        <w:tblLayout w:type="fixed"/>
        <w:tblLook w:firstColumn="1" w:firstRow="1" w:lastColumn="0" w:lastRow="0" w:noHBand="0" w:noVBand="1" w:val="04A0"/>
      </w:tblPr>
      <w:tblGrid>
        <w:gridCol w:w="9360"/>
      </w:tblGrid>
      <w:tr>
        <w:tc>
          <w:tcPr>
            <w:tcW w:type="dxa" w:w="9360"/>
            <w:shd w:fill="0B1739"/>
            <w:tcMar>
              <w:top w:w="160" w:type="dxa"/>
              <w:start w:w="180" w:type="dxa"/>
              <w:bottom w:w="160" w:type="dxa"/>
              <w:end w:w="180" w:type="dxa"/>
            </w:tcMar>
          </w:tcPr>
          <w:p>
            <w:pPr>
              <w:spacing w:after="0" w:line="240" w:lineRule="auto"/>
            </w:pPr>
            <w:r/>
            <w:r>
              <w:rPr>
                <w:rFonts w:ascii="JetBrains Mono" w:hAnsi="JetBrains Mono"/>
                <w:color w:val="FFFFFF"/>
                <w:sz w:val="14"/>
              </w:rPr>
              <w:t>Audit the full weekly run. Reject duplicates disguised as novelty, active jobs not re-opened, unsupported named contacts, missing sources, fact/inference blending, financial double counting, stale timestamps, missing supersession links and outreach without a next action. Return corrections and a pass/fail manifest.</w:t>
            </w:r>
          </w:p>
        </w:tc>
      </w:tr>
    </w:tbl>
    <w:p>
      <w:pPr>
        <w:spacing w:after="0"/>
      </w:pPr>
    </w:p>
    <w:p>
      <w:pPr>
        <w:pStyle w:val="Title"/>
      </w:pPr>
      <w:r>
        <w:t>18. Weekly executive brief template</w:t>
      </w:r>
    </w:p>
    <w:p>
      <w:pPr>
        <w:pStyle w:val="ListBullet"/>
      </w:pPr>
      <w:r>
        <w:t>Run date, research window and last successful run</w:t>
      </w:r>
    </w:p>
    <w:p>
      <w:pPr>
        <w:pStyle w:val="ListBullet"/>
      </w:pPr>
      <w:r>
        <w:t>What materially changed this week</w:t>
      </w:r>
    </w:p>
    <w:p>
      <w:pPr>
        <w:pStyle w:val="ListBullet"/>
      </w:pPr>
      <w:r>
        <w:t>Top commercial opportunities (new and rising)</w:t>
      </w:r>
    </w:p>
    <w:p>
      <w:pPr>
        <w:pStyle w:val="ListBullet"/>
      </w:pPr>
      <w:r>
        <w:t>Top career opportunities (verified open)</w:t>
      </w:r>
    </w:p>
    <w:p>
      <w:pPr>
        <w:pStyle w:val="ListBullet"/>
      </w:pPr>
      <w:r>
        <w:t>Targets added by expansion ring</w:t>
      </w:r>
    </w:p>
    <w:p>
      <w:pPr>
        <w:pStyle w:val="ListBullet"/>
      </w:pPr>
      <w:r>
        <w:t>Commercial and career outreach due</w:t>
      </w:r>
    </w:p>
    <w:p>
      <w:pPr>
        <w:pStyle w:val="ListBullet"/>
      </w:pPr>
      <w:r>
        <w:t>Responses, meetings and relationship movement</w:t>
      </w:r>
    </w:p>
    <w:p>
      <w:pPr>
        <w:pStyle w:val="ListBullet"/>
      </w:pPr>
      <w:r>
        <w:t>Signals downgraded, jobs closed and records archived</w:t>
      </w:r>
    </w:p>
    <w:p>
      <w:pPr>
        <w:pStyle w:val="ListBullet"/>
      </w:pPr>
      <w:r>
        <w:t>Four-week trend and funnel movement</w:t>
      </w:r>
    </w:p>
    <w:p>
      <w:pPr>
        <w:pStyle w:val="ListBullet"/>
      </w:pPr>
      <w:r>
        <w:t>Evidence gaps, blockers and user decisions</w:t>
      </w:r>
    </w:p>
    <w:p>
      <w:pPr>
        <w:pStyle w:val="ListBullet"/>
      </w:pPr>
      <w:r>
        <w:t>Files updated and next scheduled run</w:t>
      </w:r>
    </w:p>
    <w:p>
      <w:pPr>
        <w:pStyle w:val="Title"/>
      </w:pPr>
      <w:r>
        <w:t>19. User review queue</w:t>
      </w:r>
    </w:p>
    <w:p>
      <w:r>
        <w:t>The system should end every run with a small decision surface rather than an undifferentiated research dump.</w:t>
      </w:r>
    </w:p>
    <w:tbl>
      <w:tblPr>
        <w:tblStyle w:val="TableGrid"/>
        <w:tblW w:type="dxa" w:w="9360"/>
        <w:jc w:val="center"/>
        <w:tblLayout w:type="fixed"/>
        <w:tblLook w:firstColumn="1" w:firstRow="1" w:lastColumn="0" w:lastRow="0" w:noHBand="0" w:noVBand="1" w:val="04A0"/>
      </w:tblPr>
      <w:tblGrid>
        <w:gridCol w:w="2880"/>
        <w:gridCol w:w="6480"/>
      </w:tblGrid>
      <w:tr>
        <w:trPr>
          <w:tblHeader w:val="true"/>
        </w:trPr>
        <w:tc>
          <w:tcPr>
            <w:tcW w:type="dxa" w:w="2880"/>
            <w:shd w:fill="345A68"/>
            <w:vAlign w:val="center"/>
            <w:tcMar>
              <w:top w:w="100" w:type="dxa"/>
              <w:start w:w="120" w:type="dxa"/>
              <w:bottom w:w="100" w:type="dxa"/>
              <w:end w:w="120" w:type="dxa"/>
            </w:tcMar>
          </w:tcPr>
          <w:p>
            <w:pPr>
              <w:spacing w:after="0"/>
            </w:pPr>
            <w:r/>
            <w:r>
              <w:rPr>
                <w:rFonts w:ascii="Jost" w:hAnsi="Jost"/>
                <w:b/>
                <w:color w:val="FFFFFF"/>
                <w:sz w:val="16"/>
              </w:rPr>
              <w:t>Decision</w:t>
            </w:r>
          </w:p>
        </w:tc>
        <w:tc>
          <w:tcPr>
            <w:tcW w:type="dxa" w:w="6480"/>
            <w:shd w:fill="345A68"/>
            <w:vAlign w:val="center"/>
            <w:tcMar>
              <w:top w:w="100" w:type="dxa"/>
              <w:start w:w="120" w:type="dxa"/>
              <w:bottom w:w="100" w:type="dxa"/>
              <w:end w:w="120" w:type="dxa"/>
            </w:tcMar>
          </w:tcPr>
          <w:p>
            <w:pPr>
              <w:spacing w:after="0"/>
            </w:pPr>
            <w:r/>
            <w:r>
              <w:rPr>
                <w:rFonts w:ascii="Jost" w:hAnsi="Jost"/>
                <w:b/>
                <w:color w:val="FFFFFF"/>
                <w:sz w:val="16"/>
              </w:rPr>
              <w:t>Choices presented</w:t>
            </w:r>
          </w:p>
        </w:tc>
      </w:tr>
      <w:tr>
        <w:tc>
          <w:tcPr>
            <w:tcW w:type="dxa" w:w="2880"/>
            <w:vAlign w:val="center"/>
            <w:tcMar>
              <w:top w:w="100" w:type="dxa"/>
              <w:start w:w="120" w:type="dxa"/>
              <w:bottom w:w="100" w:type="dxa"/>
              <w:end w:w="120" w:type="dxa"/>
            </w:tcMar>
          </w:tcPr>
          <w:p>
            <w:pPr>
              <w:spacing w:after="0"/>
            </w:pPr>
            <w:r/>
            <w:r>
              <w:rPr>
                <w:rFonts w:ascii="Jost" w:hAnsi="Jost"/>
                <w:b w:val="0"/>
                <w:color w:val="2B2A28"/>
                <w:sz w:val="16"/>
              </w:rPr>
              <w:t>Commercial outreach approval</w:t>
            </w:r>
          </w:p>
        </w:tc>
        <w:tc>
          <w:tcPr>
            <w:tcW w:type="dxa" w:w="6480"/>
            <w:vAlign w:val="center"/>
            <w:tcMar>
              <w:top w:w="100" w:type="dxa"/>
              <w:start w:w="120" w:type="dxa"/>
              <w:bottom w:w="100" w:type="dxa"/>
              <w:end w:w="120" w:type="dxa"/>
            </w:tcMar>
          </w:tcPr>
          <w:p>
            <w:pPr>
              <w:spacing w:after="0"/>
            </w:pPr>
            <w:r/>
            <w:r>
              <w:rPr>
                <w:rFonts w:ascii="Jost" w:hAnsi="Jost"/>
                <w:b w:val="0"/>
                <w:color w:val="2B2A28"/>
                <w:sz w:val="16"/>
              </w:rPr>
              <w:t>Approve draft; revise angle; research further; route through relationship; monitor; archive.</w:t>
            </w:r>
          </w:p>
        </w:tc>
      </w:tr>
      <w:tr>
        <w:tc>
          <w:tcPr>
            <w:tcW w:type="dxa" w:w="2880"/>
            <w:shd w:fill="F1EBDD"/>
            <w:vAlign w:val="center"/>
            <w:tcMar>
              <w:top w:w="100" w:type="dxa"/>
              <w:start w:w="120" w:type="dxa"/>
              <w:bottom w:w="100" w:type="dxa"/>
              <w:end w:w="120" w:type="dxa"/>
            </w:tcMar>
          </w:tcPr>
          <w:p>
            <w:pPr>
              <w:spacing w:after="0"/>
            </w:pPr>
            <w:r/>
            <w:r>
              <w:rPr>
                <w:rFonts w:ascii="Jost" w:hAnsi="Jost"/>
                <w:b w:val="0"/>
                <w:color w:val="2B2A28"/>
                <w:sz w:val="16"/>
              </w:rPr>
              <w:t>Career action approval</w:t>
            </w:r>
          </w:p>
        </w:tc>
        <w:tc>
          <w:tcPr>
            <w:tcW w:type="dxa" w:w="6480"/>
            <w:shd w:fill="F1EBDD"/>
            <w:vAlign w:val="center"/>
            <w:tcMar>
              <w:top w:w="100" w:type="dxa"/>
              <w:start w:w="120" w:type="dxa"/>
              <w:bottom w:w="100" w:type="dxa"/>
              <w:end w:w="120" w:type="dxa"/>
            </w:tcMar>
          </w:tcPr>
          <w:p>
            <w:pPr>
              <w:spacing w:after="0"/>
            </w:pPr>
            <w:r/>
            <w:r>
              <w:rPr>
                <w:rFonts w:ascii="Jost" w:hAnsi="Jost"/>
                <w:b w:val="0"/>
                <w:color w:val="2B2A28"/>
                <w:sz w:val="16"/>
              </w:rPr>
              <w:t>Apply now; tailor resume first; contact hiring function; contact recruiter; seek referral; monitor; archive.</w:t>
            </w:r>
          </w:p>
        </w:tc>
      </w:tr>
      <w:tr>
        <w:tc>
          <w:tcPr>
            <w:tcW w:type="dxa" w:w="2880"/>
            <w:vAlign w:val="center"/>
            <w:tcMar>
              <w:top w:w="100" w:type="dxa"/>
              <w:start w:w="120" w:type="dxa"/>
              <w:bottom w:w="100" w:type="dxa"/>
              <w:end w:w="120" w:type="dxa"/>
            </w:tcMar>
          </w:tcPr>
          <w:p>
            <w:pPr>
              <w:spacing w:after="0"/>
            </w:pPr>
            <w:r/>
            <w:r>
              <w:rPr>
                <w:rFonts w:ascii="Jost" w:hAnsi="Jost"/>
                <w:b w:val="0"/>
                <w:color w:val="2B2A28"/>
                <w:sz w:val="16"/>
              </w:rPr>
              <w:t>Target-universe control</w:t>
            </w:r>
          </w:p>
        </w:tc>
        <w:tc>
          <w:tcPr>
            <w:tcW w:type="dxa" w:w="6480"/>
            <w:vAlign w:val="center"/>
            <w:tcMar>
              <w:top w:w="100" w:type="dxa"/>
              <w:start w:w="120" w:type="dxa"/>
              <w:bottom w:w="100" w:type="dxa"/>
              <w:end w:w="120" w:type="dxa"/>
            </w:tcMar>
          </w:tcPr>
          <w:p>
            <w:pPr>
              <w:spacing w:after="0"/>
            </w:pPr>
            <w:r/>
            <w:r>
              <w:rPr>
                <w:rFonts w:ascii="Jost" w:hAnsi="Jost"/>
                <w:b w:val="0"/>
                <w:color w:val="2B2A28"/>
                <w:sz w:val="16"/>
              </w:rPr>
              <w:t>Promote entity to canonical target; retain as adjacency; exclude; merge duplicate.</w:t>
            </w:r>
          </w:p>
        </w:tc>
      </w:tr>
      <w:tr>
        <w:tc>
          <w:tcPr>
            <w:tcW w:type="dxa" w:w="2880"/>
            <w:shd w:fill="F1EBDD"/>
            <w:vAlign w:val="center"/>
            <w:tcMar>
              <w:top w:w="100" w:type="dxa"/>
              <w:start w:w="120" w:type="dxa"/>
              <w:bottom w:w="100" w:type="dxa"/>
              <w:end w:w="120" w:type="dxa"/>
            </w:tcMar>
          </w:tcPr>
          <w:p>
            <w:pPr>
              <w:spacing w:after="0"/>
            </w:pPr>
            <w:r/>
            <w:r>
              <w:rPr>
                <w:rFonts w:ascii="Jost" w:hAnsi="Jost"/>
                <w:b w:val="0"/>
                <w:color w:val="2B2A28"/>
                <w:sz w:val="16"/>
              </w:rPr>
              <w:t>Evidence judgment</w:t>
            </w:r>
          </w:p>
        </w:tc>
        <w:tc>
          <w:tcPr>
            <w:tcW w:type="dxa" w:w="6480"/>
            <w:shd w:fill="F1EBDD"/>
            <w:vAlign w:val="center"/>
            <w:tcMar>
              <w:top w:w="100" w:type="dxa"/>
              <w:start w:w="120" w:type="dxa"/>
              <w:bottom w:w="100" w:type="dxa"/>
              <w:end w:w="120" w:type="dxa"/>
            </w:tcMar>
          </w:tcPr>
          <w:p>
            <w:pPr>
              <w:spacing w:after="0"/>
            </w:pPr>
            <w:r/>
            <w:r>
              <w:rPr>
                <w:rFonts w:ascii="Jost" w:hAnsi="Jost"/>
                <w:b w:val="0"/>
                <w:color w:val="2B2A28"/>
                <w:sz w:val="16"/>
              </w:rPr>
              <w:t>Accept classification; reduce confidence; request another source; treat as hypothesis only.</w:t>
            </w:r>
          </w:p>
        </w:tc>
      </w:tr>
      <w:tr>
        <w:tc>
          <w:tcPr>
            <w:tcW w:type="dxa" w:w="2880"/>
            <w:vAlign w:val="center"/>
            <w:tcMar>
              <w:top w:w="100" w:type="dxa"/>
              <w:start w:w="120" w:type="dxa"/>
              <w:bottom w:w="100" w:type="dxa"/>
              <w:end w:w="120" w:type="dxa"/>
            </w:tcMar>
          </w:tcPr>
          <w:p>
            <w:pPr>
              <w:spacing w:after="0"/>
            </w:pPr>
            <w:r/>
            <w:r>
              <w:rPr>
                <w:rFonts w:ascii="Jost" w:hAnsi="Jost"/>
                <w:b w:val="0"/>
                <w:color w:val="2B2A28"/>
                <w:sz w:val="16"/>
              </w:rPr>
              <w:t>Cadence decision</w:t>
            </w:r>
          </w:p>
        </w:tc>
        <w:tc>
          <w:tcPr>
            <w:tcW w:type="dxa" w:w="6480"/>
            <w:vAlign w:val="center"/>
            <w:tcMar>
              <w:top w:w="100" w:type="dxa"/>
              <w:start w:w="120" w:type="dxa"/>
              <w:bottom w:w="100" w:type="dxa"/>
              <w:end w:w="120" w:type="dxa"/>
            </w:tcMar>
          </w:tcPr>
          <w:p>
            <w:pPr>
              <w:spacing w:after="0"/>
            </w:pPr>
            <w:r/>
            <w:r>
              <w:rPr>
                <w:rFonts w:ascii="Jost" w:hAnsi="Jost"/>
                <w:b w:val="0"/>
                <w:color w:val="2B2A28"/>
                <w:sz w:val="16"/>
              </w:rPr>
              <w:t>Send next touch; defer to catalyst; stop; move to nurture.</w:t>
            </w:r>
          </w:p>
        </w:tc>
      </w:tr>
    </w:tbl>
    <w:p>
      <w:pPr>
        <w:spacing w:after="0"/>
      </w:pPr>
    </w:p>
    <w:p>
      <w:pPr>
        <w:pStyle w:val="Title"/>
      </w:pPr>
      <w:r>
        <w:t>20. Definition of done</w:t>
      </w:r>
    </w:p>
    <w:tbl>
      <w:tblPr>
        <w:tblW w:type="dxa" w:w="9360"/>
        <w:jc w:val="center"/>
        <w:tblLayout w:type="fixed"/>
        <w:tblLook w:firstColumn="1" w:firstRow="1" w:lastColumn="0" w:lastRow="0" w:noHBand="0" w:noVBand="1" w:val="04A0"/>
      </w:tblPr>
      <w:tblGrid>
        <w:gridCol w:w="9360"/>
      </w:tblGrid>
      <w:tr>
        <w:tc>
          <w:tcPr>
            <w:tcW w:type="dxa" w:w="9360"/>
            <w:shd w:fill="F8F4EC"/>
            <w:tcMar>
              <w:top w:w="160" w:type="dxa"/>
              <w:start w:w="180" w:type="dxa"/>
              <w:bottom w:w="160" w:type="dxa"/>
              <w:end w:w="180" w:type="dxa"/>
            </w:tcMar>
          </w:tcPr>
          <w:p>
            <w:pPr>
              <w:spacing w:after="60"/>
            </w:pPr>
            <w:r/>
            <w:r>
              <w:rPr>
                <w:rFonts w:ascii="Jost" w:hAnsi="Jost"/>
                <w:b/>
                <w:color w:val="6B8F71"/>
                <w:sz w:val="18"/>
              </w:rPr>
              <w:t>THE WEEKLY RUN IS COMPLETE ONLY WHEN</w:t>
            </w:r>
          </w:p>
          <w:p>
            <w:pPr>
              <w:spacing w:after="0"/>
            </w:pPr>
            <w:r>
              <w:rPr>
                <w:rFonts w:ascii="Jost" w:hAnsi="Jost"/>
                <w:color w:val="2B2A28"/>
                <w:sz w:val="20"/>
              </w:rPr>
              <w:t>New evidence has been normalized and deduplicated; prior high-priority records have been revalidated; active jobs were reopened; opportunity and career scores are explainable; qualified targets expanded; contacts are evidence-labeled; outreach drafts are individualized and queued; next actions have dates; all canonical files are updated; and the QA controller has issued a pass/fail manifest.</w:t>
            </w:r>
          </w:p>
        </w:tc>
      </w:tr>
    </w:tbl>
    <w:p>
      <w:pPr>
        <w:spacing w:after="0"/>
      </w:pPr>
    </w:p>
    <w:p>
      <w:r>
        <w:t>This system is designed to compound. The value is not one week of research; it is the governed accumulation of signals, relationships, hypotheses, evidence, outreach learning and outcomes over time.</w:t>
      </w:r>
    </w:p>
    <w:sectPr w:rsidR="00FC693F" w:rsidRPr="0006063C" w:rsidSect="00034616">
      <w:headerReference w:type="default" r:id="rId9"/>
      <w:footerReference w:type="default" r:id="rId10"/>
      <w:pgSz w:w="12240" w:h="15840"/>
      <w:pgMar w:top="1037" w:right="1440" w:bottom="1008"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Jost" w:hAnsi="Jost"/>
        <w:color w:val="4A7C8E"/>
        <w:sz w:val="15"/>
      </w:rPr>
      <w:t>© Martha Elizabeth Salter — The Salter Influence LLC 2026. All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Jost" w:hAnsi="Jost"/>
        <w:b/>
        <w:color w:val="4A7C8E"/>
        <w:sz w:val="16"/>
      </w:rPr>
      <w:t>SALT BASIN  /  OUTREACH MASTER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Jost" w:hAnsi="Jost"/>
      <w:color w:val="2B2A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Fraunces" w:hAnsi="Fraunces"/>
      <w:b/>
      <w:bCs/>
      <w:color w:val="345A68"/>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Fraunces" w:hAnsi="Fraunces"/>
      <w:b/>
      <w:bCs/>
      <w:color w:val="4A7C8E"/>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Jost" w:hAnsi="Jost"/>
      <w:b/>
      <w:bCs/>
      <w:color w:val="C484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Fraunces" w:hAnsi="Fraunces"/>
      <w:b/>
      <w:color w:val="345A6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Jost" w:hAnsi="Jost"/>
      <w:b w:val="0"/>
      <w:i/>
      <w:iCs/>
      <w:color w:val="C4843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Jost" w:hAnsi="Jost"/>
      <w:sz w:val="19"/>
    </w:rPr>
  </w:style>
  <w:style w:type="paragraph" w:styleId="ListBullet2">
    <w:name w:val="List Bullet 2"/>
    <w:basedOn w:val="Normal"/>
    <w:uiPriority w:val="99"/>
    <w:unhideWhenUsed/>
    <w:rsid w:val="00326F90"/>
    <w:pPr>
      <w:numPr>
        <w:numId w:val="2"/>
      </w:numPr>
      <w:spacing w:after="60"/>
      <w:contextualSpacing/>
    </w:pPr>
    <w:rPr>
      <w:rFonts w:ascii="Jost" w:hAnsi="Jost"/>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Jost" w:hAnsi="Jost"/>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