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88" w:lineRule="auto"/>
        <w:jc w:val="center"/>
      </w:pPr>
      <w:r>
        <w:rPr>
          <w:rFonts w:ascii="Arial" w:hAnsi="Arial"/>
          <w:b/>
          <w:i w:val="0"/>
          <w:color w:val="C4843A"/>
          <w:sz w:val="20"/>
        </w:rPr>
        <w:t>ANNOTATED PROPOSAL NARRATIVE</w:t>
      </w:r>
    </w:p>
    <w:p>
      <w:pPr>
        <w:spacing w:before="0" w:after="240" w:line="288" w:lineRule="auto"/>
        <w:jc w:val="center"/>
      </w:pPr>
      <w:r>
        <w:rPr>
          <w:rFonts w:ascii="Arial" w:hAnsi="Arial"/>
          <w:b/>
          <w:i w:val="0"/>
          <w:color w:val="14283F"/>
          <w:sz w:val="54"/>
        </w:rPr>
        <w:t>Let's take your under-utilized data to the next level, shall we?</w:t>
      </w:r>
    </w:p>
    <w:p>
      <w:pPr>
        <w:spacing w:before="0" w:after="100" w:line="288" w:lineRule="auto"/>
        <w:jc w:val="center"/>
      </w:pPr>
      <w:r>
        <w:rPr>
          <w:rFonts w:ascii="Arial" w:hAnsi="Arial"/>
          <w:b/>
          <w:i w:val="0"/>
          <w:color w:val="345A68"/>
          <w:sz w:val="30"/>
        </w:rPr>
        <w:t>Salt Basin × LoneTree Capital</w:t>
      </w:r>
    </w:p>
    <w:p>
      <w:pPr>
        <w:spacing w:before="0" w:after="560" w:line="288" w:lineRule="auto"/>
        <w:jc w:val="center"/>
      </w:pPr>
      <w:r>
        <w:rPr>
          <w:rFonts w:ascii="Arial" w:hAnsi="Arial"/>
          <w:b w:val="0"/>
          <w:i w:val="0"/>
          <w:color w:val="68645E"/>
          <w:sz w:val="22"/>
        </w:rPr>
        <w:t>Phase 1 Diagnostic and Value Proof Proposal · Presenter and Buyer-Conversation Guide</w:t>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USE THIS GUIDE: </w:t>
            </w:r>
            <w:r>
              <w:rPr>
                <w:rFonts w:ascii="Arial" w:hAnsi="Arial"/>
                <w:b w:val="0"/>
                <w:i w:val="0"/>
                <w:color w:val="2B2A28"/>
                <w:sz w:val="20"/>
              </w:rPr>
              <w:t>Lead with the business decision, use the visuals to support—not replace—the conversation, and keep illustrative benchmarks separate from findings proven in participating-company data.</w:t>
            </w:r>
          </w:p>
        </w:tc>
      </w:tr>
    </w:tbl>
    <w:p>
      <w:pPr>
        <w:spacing w:before="0" w:after="60" w:line="288" w:lineRule="auto"/>
      </w:pPr>
      <w:r>
        <w:rPr>
          <w:rFonts w:ascii="Arial" w:hAnsi="Arial"/>
          <w:b w:val="0"/>
          <w:i w:val="0"/>
          <w:color w:val="2B2A28"/>
          <w:sz w:val="21"/>
        </w:rPr>
      </w:r>
    </w:p>
    <w:p>
      <w:pPr>
        <w:pStyle w:val="Heading1"/>
        <w:spacing w:before="320" w:after="140"/>
      </w:pPr>
      <w:r>
        <w:rPr>
          <w:rFonts w:ascii="Arial" w:hAnsi="Arial"/>
          <w:b/>
          <w:i w:val="0"/>
          <w:color w:val="345A68"/>
          <w:sz w:val="32"/>
        </w:rPr>
        <w:t>Narrative arc</w:t>
      </w:r>
    </w:p>
    <w:p>
      <w:pPr>
        <w:pStyle w:val="ListBullet"/>
        <w:spacing w:after="80" w:line="288" w:lineRule="auto"/>
        <w:ind w:left="547" w:hanging="274"/>
      </w:pPr>
      <w:r>
        <w:rPr>
          <w:rFonts w:ascii="Arial" w:hAnsi="Arial"/>
          <w:b w:val="0"/>
          <w:i w:val="0"/>
          <w:color w:val="2B2A28"/>
          <w:sz w:val="20"/>
        </w:rPr>
        <w:t>Open with the under-utilized-data hook and invite the buyer into a diagnostic conversation.</w:t>
      </w:r>
    </w:p>
    <w:p>
      <w:pPr>
        <w:pStyle w:val="ListBullet"/>
        <w:spacing w:after="80" w:line="288" w:lineRule="auto"/>
        <w:ind w:left="547" w:hanging="274"/>
      </w:pPr>
      <w:r>
        <w:rPr>
          <w:rFonts w:ascii="Arial" w:hAnsi="Arial"/>
          <w:b w:val="0"/>
          <w:i w:val="0"/>
          <w:color w:val="2B2A28"/>
          <w:sz w:val="20"/>
        </w:rPr>
        <w:t>Establish that timing and opportunity surface operationally before they become technical requirements.</w:t>
      </w:r>
    </w:p>
    <w:p>
      <w:pPr>
        <w:pStyle w:val="ListBullet"/>
        <w:spacing w:after="80" w:line="288" w:lineRule="auto"/>
        <w:ind w:left="547" w:hanging="274"/>
      </w:pPr>
      <w:r>
        <w:rPr>
          <w:rFonts w:ascii="Arial" w:hAnsi="Arial"/>
          <w:b w:val="0"/>
          <w:i w:val="0"/>
          <w:color w:val="2B2A28"/>
          <w:sz w:val="20"/>
        </w:rPr>
        <w:t>Show how governed evidence converts operating activity into firm-level and PortCo-level value.</w:t>
      </w:r>
    </w:p>
    <w:p>
      <w:pPr>
        <w:pStyle w:val="ListBullet"/>
        <w:spacing w:after="80" w:line="288" w:lineRule="auto"/>
        <w:ind w:left="547" w:hanging="274"/>
      </w:pPr>
      <w:r>
        <w:rPr>
          <w:rFonts w:ascii="Arial" w:hAnsi="Arial"/>
          <w:b w:val="0"/>
          <w:i w:val="0"/>
          <w:color w:val="2B2A28"/>
          <w:sz w:val="20"/>
        </w:rPr>
        <w:t>Offer a bounded Phase 1, then distinguish diagnostic findings from the optional additional-fee value-proof work.</w:t>
      </w:r>
    </w:p>
    <w:p>
      <w:pPr>
        <w:pStyle w:val="ListBullet"/>
        <w:spacing w:after="80" w:line="288" w:lineRule="auto"/>
        <w:ind w:left="547" w:hanging="274"/>
      </w:pPr>
      <w:r>
        <w:rPr>
          <w:rFonts w:ascii="Arial" w:hAnsi="Arial"/>
          <w:b w:val="0"/>
          <w:i w:val="0"/>
          <w:color w:val="2B2A28"/>
          <w:sz w:val="20"/>
        </w:rPr>
        <w:t>End with a clear choice between the multi-company bootcamp and the sponsor-plus-one-PortCo 10-day diagnostic.</w:t>
      </w:r>
    </w:p>
    <w:p>
      <w:pPr>
        <w:pStyle w:val="Heading1"/>
        <w:spacing w:before="320" w:after="140"/>
      </w:pPr>
      <w:r>
        <w:rPr>
          <w:rFonts w:ascii="Arial" w:hAnsi="Arial"/>
          <w:b/>
          <w:i w:val="0"/>
          <w:color w:val="345A68"/>
          <w:sz w:val="32"/>
        </w:rPr>
        <w:t>Recommended pacing</w:t>
      </w:r>
    </w:p>
    <w:p>
      <w:pPr>
        <w:spacing w:before="0" w:after="120" w:line="288" w:lineRule="auto"/>
      </w:pPr>
      <w:r>
        <w:rPr>
          <w:rFonts w:ascii="Arial" w:hAnsi="Arial"/>
          <w:b w:val="0"/>
          <w:i w:val="0"/>
          <w:color w:val="2B2A28"/>
          <w:sz w:val="21"/>
        </w:rPr>
        <w:t>Executive conversation: 20–30 minutes. Deep diagnostic discussion: 35–45 minutes. Appendix: use only in response to a buyer question or follow-up diligence request.</w:t>
      </w:r>
    </w:p>
    <w:p>
      <w:r>
        <w:br w:type="page"/>
      </w:r>
    </w:p>
    <w:p>
      <w:pPr>
        <w:spacing w:before="0" w:after="100" w:line="288" w:lineRule="auto"/>
      </w:pPr>
      <w:r>
        <w:rPr>
          <w:rFonts w:ascii="Arial" w:hAnsi="Arial"/>
          <w:b/>
          <w:i w:val="0"/>
          <w:color w:val="C4843A"/>
          <w:sz w:val="18"/>
        </w:rPr>
        <w:t>CONVERSATION MAP</w:t>
      </w:r>
    </w:p>
    <w:p>
      <w:pPr>
        <w:spacing w:before="0" w:after="280" w:line="288" w:lineRule="auto"/>
      </w:pPr>
      <w:r>
        <w:rPr>
          <w:rFonts w:ascii="Arial" w:hAnsi="Arial"/>
          <w:b/>
          <w:i w:val="0"/>
          <w:color w:val="14283F"/>
          <w:sz w:val="48"/>
        </w:rPr>
        <w:t>How to guide the buyer through the proposal</w:t>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1. INVITE: </w:t>
            </w:r>
            <w:r>
              <w:rPr>
                <w:rFonts w:ascii="Arial" w:hAnsi="Arial"/>
                <w:b w:val="0"/>
                <w:i w:val="0"/>
                <w:color w:val="2B2A28"/>
                <w:sz w:val="20"/>
              </w:rPr>
              <w:t>Under-utilized data is not merely a systems problem; it is unused operational and investment evidence.</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2. DIAGNOSE: </w:t>
            </w:r>
            <w:r>
              <w:rPr>
                <w:rFonts w:ascii="Arial" w:hAnsi="Arial"/>
                <w:b w:val="0"/>
                <w:i w:val="0"/>
                <w:color w:val="2B2A28"/>
                <w:sz w:val="20"/>
              </w:rPr>
              <w:t>Find where definitions, events, controls, and reconciliations break across lead-to-cash.</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3. QUANTIFY: </w:t>
            </w:r>
            <w:r>
              <w:rPr>
                <w:rFonts w:ascii="Arial" w:hAnsi="Arial"/>
                <w:b w:val="0"/>
                <w:i w:val="0"/>
                <w:color w:val="2B2A28"/>
                <w:sz w:val="20"/>
              </w:rPr>
              <w:t>Separate modeled risk hypotheses from company-specific findings and confidence ranges.</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4. RECOVER: </w:t>
            </w:r>
            <w:r>
              <w:rPr>
                <w:rFonts w:ascii="Arial" w:hAnsi="Arial"/>
                <w:b w:val="0"/>
                <w:i w:val="0"/>
                <w:color w:val="2B2A28"/>
                <w:sz w:val="20"/>
              </w:rPr>
              <w:t>Prioritize Value Recovery Initiatives that can improve revenue, cash, margin, cycle time, or evidence quality.</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5. PROVE: </w:t>
            </w:r>
            <w:r>
              <w:rPr>
                <w:rFonts w:ascii="Arial" w:hAnsi="Arial"/>
                <w:b w:val="0"/>
                <w:i w:val="0"/>
                <w:color w:val="2B2A28"/>
                <w:sz w:val="20"/>
              </w:rPr>
              <w:t>Use an additional scope to validate realized outcomes against authoritative source events.</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6. SCALE: </w:t>
            </w:r>
            <w:r>
              <w:rPr>
                <w:rFonts w:ascii="Arial" w:hAnsi="Arial"/>
                <w:b w:val="0"/>
                <w:i w:val="0"/>
                <w:color w:val="2B2A28"/>
                <w:sz w:val="20"/>
              </w:rPr>
              <w:t>Extend only where the economics and decision value are demonstrated.</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E7F0F2"/>
            <w:tcMar>
              <w:top w:w="120" w:type="dxa"/>
              <w:start w:w="180" w:type="dxa"/>
              <w:bottom w:w="120" w:type="dxa"/>
              <w:end w:w="180" w:type="dxa"/>
            </w:tcMar>
          </w:tcPr>
          <w:p>
            <w:pPr>
              <w:spacing w:after="0" w:line="276" w:lineRule="auto"/>
            </w:pPr>
            <w:r>
              <w:rPr>
                <w:rFonts w:ascii="Arial" w:hAnsi="Arial"/>
                <w:b/>
                <w:i w:val="0"/>
                <w:color w:val="345A68"/>
                <w:sz w:val="18"/>
              </w:rPr>
              <w:t xml:space="preserve">CORE POSITIONING: </w:t>
            </w:r>
            <w:r>
              <w:rPr>
                <w:rFonts w:ascii="Arial" w:hAnsi="Arial"/>
                <w:b w:val="0"/>
                <w:i w:val="0"/>
                <w:color w:val="2B2A28"/>
                <w:sz w:val="20"/>
              </w:rPr>
              <w:t>This is diagnostic and operating-partner work first. Technology follows from the proven operational requirement; it is not the opening sale.</w:t>
            </w:r>
          </w:p>
        </w:tc>
      </w:tr>
    </w:tbl>
    <w:p>
      <w:pPr>
        <w:spacing w:before="0" w:after="60" w:line="288" w:lineRule="auto"/>
      </w:pPr>
      <w:r>
        <w:rPr>
          <w:rFonts w:ascii="Arial" w:hAnsi="Arial"/>
          <w:b w:val="0"/>
          <w:i w:val="0"/>
          <w:color w:val="2B2A28"/>
          <w:sz w:val="21"/>
        </w:rPr>
      </w:r>
    </w:p>
    <w:p>
      <w:r>
        <w:br w:type="page"/>
      </w:r>
    </w:p>
    <w:p>
      <w:pPr>
        <w:spacing w:before="0" w:after="100" w:line="288" w:lineRule="auto"/>
      </w:pPr>
      <w:r>
        <w:rPr>
          <w:rFonts w:ascii="Arial" w:hAnsi="Arial"/>
          <w:b/>
          <w:i w:val="0"/>
          <w:color w:val="C4843A"/>
          <w:sz w:val="18"/>
        </w:rPr>
        <w:t>EXECUTIVE VIEW 01</w:t>
      </w:r>
    </w:p>
    <w:p>
      <w:pPr>
        <w:spacing w:before="0" w:after="280" w:line="288" w:lineRule="auto"/>
      </w:pPr>
      <w:r>
        <w:rPr>
          <w:rFonts w:ascii="Arial" w:hAnsi="Arial"/>
          <w:b/>
          <w:i w:val="0"/>
          <w:color w:val="14283F"/>
          <w:sz w:val="48"/>
        </w:rPr>
        <w:t>Investment Case</w:t>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PURPOSE: </w:t>
            </w:r>
            <w:r>
              <w:rPr>
                <w:rFonts w:ascii="Arial" w:hAnsi="Arial"/>
                <w:b w:val="0"/>
                <w:i w:val="0"/>
                <w:color w:val="2B2A28"/>
                <w:sz w:val="20"/>
              </w:rPr>
              <w:t>Create recognition without over-diagnosing LoneTree before access to the data.</w:t>
            </w:r>
          </w:p>
        </w:tc>
      </w:tr>
    </w:tbl>
    <w:p>
      <w:pPr>
        <w:spacing w:before="0" w:after="60" w:line="288" w:lineRule="auto"/>
      </w:pPr>
      <w:r>
        <w:rPr>
          <w:rFonts w:ascii="Arial" w:hAnsi="Arial"/>
          <w:b w:val="0"/>
          <w:i w:val="0"/>
          <w:color w:val="2B2A28"/>
          <w:sz w:val="21"/>
        </w:rPr>
      </w:r>
    </w:p>
    <w:p>
      <w:pPr>
        <w:pStyle w:val="Heading2"/>
        <w:spacing w:before="200" w:after="140"/>
      </w:pPr>
      <w:r>
        <w:rPr>
          <w:rFonts w:ascii="Arial" w:hAnsi="Arial"/>
          <w:b/>
          <w:i w:val="0"/>
          <w:color w:val="345A68"/>
          <w:sz w:val="25"/>
        </w:rPr>
        <w:t>Recommended narrative</w:t>
      </w:r>
    </w:p>
    <w:p>
      <w:pPr>
        <w:spacing w:before="0" w:after="180" w:line="288" w:lineRule="auto"/>
      </w:pPr>
      <w:r>
        <w:rPr>
          <w:rFonts w:ascii="Arial" w:hAnsi="Arial"/>
          <w:b w:val="0"/>
          <w:i w:val="0"/>
          <w:color w:val="2B2A28"/>
          <w:sz w:val="22"/>
        </w:rPr>
        <w:t>Let's take your under-utilized data to the next level, shall we? The premise is simple: the information needed to prioritize opportunities, protect revenue, improve cash, and defend value often already exists—but its meaning and evidence are fragmented across teams and systems. Timing and Opportunity are found operationally before technical. Phase 1 tests where the operating evidence breaks before anyone prescribes a platform.</w:t>
      </w:r>
    </w:p>
    <w:p>
      <w:pPr>
        <w:pStyle w:val="Heading2"/>
        <w:spacing w:before="200" w:after="140"/>
      </w:pPr>
      <w:r>
        <w:rPr>
          <w:rFonts w:ascii="Arial" w:hAnsi="Arial"/>
          <w:b/>
          <w:i w:val="0"/>
          <w:color w:val="345A68"/>
          <w:sz w:val="25"/>
        </w:rPr>
        <w:t>What to emphasize on the page</w:t>
      </w:r>
    </w:p>
    <w:p>
      <w:pPr>
        <w:pStyle w:val="ListBullet"/>
        <w:spacing w:after="80" w:line="288" w:lineRule="auto"/>
        <w:ind w:left="547" w:hanging="274"/>
      </w:pPr>
      <w:r>
        <w:rPr>
          <w:rFonts w:ascii="Arial" w:hAnsi="Arial"/>
          <w:b w:val="0"/>
          <w:i w:val="0"/>
          <w:color w:val="2B2A28"/>
          <w:sz w:val="20"/>
        </w:rPr>
        <w:t>Point to the four operational symptoms, not the product architecture.</w:t>
      </w:r>
    </w:p>
    <w:p>
      <w:pPr>
        <w:pStyle w:val="ListBullet"/>
        <w:spacing w:after="80" w:line="288" w:lineRule="auto"/>
        <w:ind w:left="547" w:hanging="274"/>
      </w:pPr>
      <w:r>
        <w:rPr>
          <w:rFonts w:ascii="Arial" w:hAnsi="Arial"/>
          <w:b w:val="0"/>
          <w:i w:val="0"/>
          <w:color w:val="2B2A28"/>
          <w:sz w:val="20"/>
        </w:rPr>
        <w:t>Use the orbit only to explain convergence: multiple journeys and events must resolve to one defensible truth.</w:t>
      </w:r>
    </w:p>
    <w:p>
      <w:pPr>
        <w:pStyle w:val="ListBullet"/>
        <w:spacing w:after="80" w:line="288" w:lineRule="auto"/>
        <w:ind w:left="547" w:hanging="274"/>
      </w:pPr>
      <w:r>
        <w:rPr>
          <w:rFonts w:ascii="Arial" w:hAnsi="Arial"/>
          <w:b w:val="0"/>
          <w:i w:val="0"/>
          <w:color w:val="2B2A28"/>
          <w:sz w:val="20"/>
        </w:rPr>
        <w:t>Emphasize that the first decision is a bounded validation—not a technology commitment.</w:t>
      </w:r>
    </w:p>
    <w:tbl>
      <w:tblPr>
        <w:tblW w:type="auto" w:w="0"/>
        <w:tblLayout w:type="fixed"/>
        <w:tblLook w:firstColumn="1" w:firstRow="1" w:lastColumn="0" w:lastRow="0" w:noHBand="0" w:noVBand="1" w:val="04A0"/>
      </w:tblPr>
      <w:tblGrid>
        <w:gridCol w:w="9360"/>
      </w:tblGrid>
      <w:tr>
        <w:tc>
          <w:tcPr>
            <w:tcW w:type="dxa" w:w="9360"/>
            <w:vAlign w:val="center"/>
            <w:shd w:fill="E7F0F2"/>
            <w:tcMar>
              <w:top w:w="120" w:type="dxa"/>
              <w:start w:w="180" w:type="dxa"/>
              <w:bottom w:w="120" w:type="dxa"/>
              <w:end w:w="180" w:type="dxa"/>
            </w:tcMar>
          </w:tcPr>
          <w:p>
            <w:pPr>
              <w:spacing w:after="0" w:line="276" w:lineRule="auto"/>
            </w:pPr>
            <w:r>
              <w:rPr>
                <w:rFonts w:ascii="Arial" w:hAnsi="Arial"/>
                <w:b/>
                <w:i w:val="0"/>
                <w:color w:val="345A68"/>
                <w:sz w:val="18"/>
              </w:rPr>
              <w:t xml:space="preserve">QUESTION TO ASK: </w:t>
            </w:r>
            <w:r>
              <w:rPr>
                <w:rFonts w:ascii="Arial" w:hAnsi="Arial"/>
                <w:b w:val="0"/>
                <w:i w:val="0"/>
                <w:color w:val="2B2A28"/>
                <w:sz w:val="20"/>
              </w:rPr>
              <w:t>Where does LoneTree currently feel the greatest cost of disconnected evidence: prioritization, PortCo execution, reporting, financing, or exit preparation?</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6E8E5"/>
            <w:tcMar>
              <w:top w:w="120" w:type="dxa"/>
              <w:start w:w="180" w:type="dxa"/>
              <w:bottom w:w="120" w:type="dxa"/>
              <w:end w:w="180" w:type="dxa"/>
            </w:tcMar>
          </w:tcPr>
          <w:p>
            <w:pPr>
              <w:spacing w:after="0" w:line="276" w:lineRule="auto"/>
            </w:pPr>
            <w:r>
              <w:rPr>
                <w:rFonts w:ascii="Arial" w:hAnsi="Arial"/>
                <w:b/>
                <w:i w:val="0"/>
                <w:color w:val="345A68"/>
                <w:sz w:val="18"/>
              </w:rPr>
              <w:t xml:space="preserve">GUARDRAIL: </w:t>
            </w:r>
            <w:r>
              <w:rPr>
                <w:rFonts w:ascii="Arial" w:hAnsi="Arial"/>
                <w:b w:val="0"/>
                <w:i w:val="0"/>
                <w:color w:val="2B2A28"/>
                <w:sz w:val="20"/>
              </w:rPr>
              <w:t>Do not state that LoneTree has a specific leakage amount or broken control before the diagnostic proves it.</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6E9D7"/>
            <w:tcMar>
              <w:top w:w="120" w:type="dxa"/>
              <w:start w:w="180" w:type="dxa"/>
              <w:bottom w:w="120" w:type="dxa"/>
              <w:end w:w="180" w:type="dxa"/>
            </w:tcMar>
          </w:tcPr>
          <w:p>
            <w:pPr>
              <w:spacing w:after="0" w:line="276" w:lineRule="auto"/>
            </w:pPr>
            <w:r>
              <w:rPr>
                <w:rFonts w:ascii="Arial" w:hAnsi="Arial"/>
                <w:b/>
                <w:i w:val="0"/>
                <w:color w:val="345A68"/>
                <w:sz w:val="18"/>
              </w:rPr>
              <w:t xml:space="preserve">TRANSITION: </w:t>
            </w:r>
            <w:r>
              <w:rPr>
                <w:rFonts w:ascii="Arial" w:hAnsi="Arial"/>
                <w:b w:val="0"/>
                <w:i w:val="0"/>
                <w:color w:val="2B2A28"/>
                <w:sz w:val="20"/>
              </w:rPr>
              <w:t>Now let me show you what changes when those operating signals are governed as one evidence chain.</w:t>
            </w:r>
          </w:p>
        </w:tc>
      </w:tr>
    </w:tbl>
    <w:p>
      <w:pPr>
        <w:spacing w:before="0" w:after="60" w:line="288" w:lineRule="auto"/>
      </w:pPr>
      <w:r>
        <w:rPr>
          <w:rFonts w:ascii="Arial" w:hAnsi="Arial"/>
          <w:b w:val="0"/>
          <w:i w:val="0"/>
          <w:color w:val="2B2A28"/>
          <w:sz w:val="21"/>
        </w:rPr>
      </w:r>
    </w:p>
    <w:p>
      <w:r>
        <w:br w:type="page"/>
      </w:r>
    </w:p>
    <w:p>
      <w:pPr>
        <w:spacing w:before="0" w:after="100" w:line="288" w:lineRule="auto"/>
      </w:pPr>
      <w:r>
        <w:rPr>
          <w:rFonts w:ascii="Arial" w:hAnsi="Arial"/>
          <w:b/>
          <w:i w:val="0"/>
          <w:color w:val="C4843A"/>
          <w:sz w:val="18"/>
        </w:rPr>
        <w:t>EXECUTIVE VIEW 02</w:t>
      </w:r>
    </w:p>
    <w:p>
      <w:pPr>
        <w:spacing w:before="0" w:after="280" w:line="288" w:lineRule="auto"/>
      </w:pPr>
      <w:r>
        <w:rPr>
          <w:rFonts w:ascii="Arial" w:hAnsi="Arial"/>
          <w:b/>
          <w:i w:val="0"/>
          <w:color w:val="14283F"/>
          <w:sz w:val="48"/>
        </w:rPr>
        <w:t>Value Creation</w:t>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PURPOSE: </w:t>
            </w:r>
            <w:r>
              <w:rPr>
                <w:rFonts w:ascii="Arial" w:hAnsi="Arial"/>
                <w:b w:val="0"/>
                <w:i w:val="0"/>
                <w:color w:val="2B2A28"/>
                <w:sz w:val="20"/>
              </w:rPr>
              <w:t>Translate the methodology into decisions and measurable outcomes for both the sponsor and portfolio companies.</w:t>
            </w:r>
          </w:p>
        </w:tc>
      </w:tr>
    </w:tbl>
    <w:p>
      <w:pPr>
        <w:spacing w:before="0" w:after="60" w:line="288" w:lineRule="auto"/>
      </w:pPr>
      <w:r>
        <w:rPr>
          <w:rFonts w:ascii="Arial" w:hAnsi="Arial"/>
          <w:b w:val="0"/>
          <w:i w:val="0"/>
          <w:color w:val="2B2A28"/>
          <w:sz w:val="21"/>
        </w:rPr>
      </w:r>
    </w:p>
    <w:p>
      <w:pPr>
        <w:pStyle w:val="Heading2"/>
        <w:spacing w:before="200" w:after="140"/>
      </w:pPr>
      <w:r>
        <w:rPr>
          <w:rFonts w:ascii="Arial" w:hAnsi="Arial"/>
          <w:b/>
          <w:i w:val="0"/>
          <w:color w:val="345A68"/>
          <w:sz w:val="25"/>
        </w:rPr>
        <w:t>Recommended narrative</w:t>
      </w:r>
    </w:p>
    <w:p>
      <w:pPr>
        <w:spacing w:before="0" w:after="180" w:line="288" w:lineRule="auto"/>
      </w:pPr>
      <w:r>
        <w:rPr>
          <w:rFonts w:ascii="Arial" w:hAnsi="Arial"/>
          <w:b w:val="0"/>
          <w:i w:val="0"/>
          <w:color w:val="2B2A28"/>
          <w:sz w:val="22"/>
        </w:rPr>
        <w:t>The differentiated output is not another dashboard. It is the ability to move from a thesis claim to the source events that support it, classify what changed, reconcile the financial result, and state how much impact is currently defensible. The same evidence base supports sponsor decisions and PortCo lead-to-cash improvements.</w:t>
      </w:r>
    </w:p>
    <w:p>
      <w:pPr>
        <w:pStyle w:val="Heading2"/>
        <w:spacing w:before="200" w:after="140"/>
      </w:pPr>
      <w:r>
        <w:rPr>
          <w:rFonts w:ascii="Arial" w:hAnsi="Arial"/>
          <w:b/>
          <w:i w:val="0"/>
          <w:color w:val="345A68"/>
          <w:sz w:val="25"/>
        </w:rPr>
        <w:t>What to emphasize on the page</w:t>
      </w:r>
    </w:p>
    <w:p>
      <w:pPr>
        <w:pStyle w:val="ListBullet"/>
        <w:spacing w:after="80" w:line="288" w:lineRule="auto"/>
        <w:ind w:left="547" w:hanging="274"/>
      </w:pPr>
      <w:r>
        <w:rPr>
          <w:rFonts w:ascii="Arial" w:hAnsi="Arial"/>
          <w:b w:val="0"/>
          <w:i w:val="0"/>
          <w:color w:val="2B2A28"/>
          <w:sz w:val="20"/>
        </w:rPr>
        <w:t>Walk left to right through Believe → Define → Observe → Classify → Attribute → Prove.</w:t>
      </w:r>
    </w:p>
    <w:p>
      <w:pPr>
        <w:pStyle w:val="ListBullet"/>
        <w:spacing w:after="80" w:line="288" w:lineRule="auto"/>
        <w:ind w:left="547" w:hanging="274"/>
      </w:pPr>
      <w:r>
        <w:rPr>
          <w:rFonts w:ascii="Arial" w:hAnsi="Arial"/>
          <w:b w:val="0"/>
          <w:i w:val="0"/>
          <w:color w:val="2B2A28"/>
          <w:sz w:val="20"/>
        </w:rPr>
        <w:t>Pause on the two audiences: the firm receives a sponsor operating layer; PortCos receive a practical lead-to-cash partner.</w:t>
      </w:r>
    </w:p>
    <w:p>
      <w:pPr>
        <w:pStyle w:val="ListBullet"/>
        <w:spacing w:after="80" w:line="288" w:lineRule="auto"/>
        <w:ind w:left="547" w:hanging="274"/>
      </w:pPr>
      <w:r>
        <w:rPr>
          <w:rFonts w:ascii="Arial" w:hAnsi="Arial"/>
          <w:b w:val="0"/>
          <w:i w:val="0"/>
          <w:color w:val="2B2A28"/>
          <w:sz w:val="20"/>
        </w:rPr>
        <w:t>Frame valuation uplift as a potential consequence of stronger evidence and operating outcomes, never as a guaranteed result.</w:t>
      </w:r>
    </w:p>
    <w:tbl>
      <w:tblPr>
        <w:tblW w:type="auto" w:w="0"/>
        <w:tblLayout w:type="fixed"/>
        <w:tblLook w:firstColumn="1" w:firstRow="1" w:lastColumn="0" w:lastRow="0" w:noHBand="0" w:noVBand="1" w:val="04A0"/>
      </w:tblPr>
      <w:tblGrid>
        <w:gridCol w:w="9360"/>
      </w:tblGrid>
      <w:tr>
        <w:tc>
          <w:tcPr>
            <w:tcW w:type="dxa" w:w="9360"/>
            <w:vAlign w:val="center"/>
            <w:shd w:fill="E7F0F2"/>
            <w:tcMar>
              <w:top w:w="120" w:type="dxa"/>
              <w:start w:w="180" w:type="dxa"/>
              <w:bottom w:w="120" w:type="dxa"/>
              <w:end w:w="180" w:type="dxa"/>
            </w:tcMar>
          </w:tcPr>
          <w:p>
            <w:pPr>
              <w:spacing w:after="0" w:line="276" w:lineRule="auto"/>
            </w:pPr>
            <w:r>
              <w:rPr>
                <w:rFonts w:ascii="Arial" w:hAnsi="Arial"/>
                <w:b/>
                <w:i w:val="0"/>
                <w:color w:val="345A68"/>
                <w:sz w:val="18"/>
              </w:rPr>
              <w:t xml:space="preserve">QUESTION TO ASK: </w:t>
            </w:r>
            <w:r>
              <w:rPr>
                <w:rFonts w:ascii="Arial" w:hAnsi="Arial"/>
                <w:b w:val="0"/>
                <w:i w:val="0"/>
                <w:color w:val="2B2A28"/>
                <w:sz w:val="20"/>
              </w:rPr>
              <w:t>Which outcome would be most valuable to prove first: revenue protection, cash conversion, reporting efficiency, or a specific investment-thesis claim?</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6E9D7"/>
            <w:tcMar>
              <w:top w:w="120" w:type="dxa"/>
              <w:start w:w="180" w:type="dxa"/>
              <w:bottom w:w="120" w:type="dxa"/>
              <w:end w:w="180" w:type="dxa"/>
            </w:tcMar>
          </w:tcPr>
          <w:p>
            <w:pPr>
              <w:spacing w:after="0" w:line="276" w:lineRule="auto"/>
            </w:pPr>
            <w:r>
              <w:rPr>
                <w:rFonts w:ascii="Arial" w:hAnsi="Arial"/>
                <w:b/>
                <w:i w:val="0"/>
                <w:color w:val="345A68"/>
                <w:sz w:val="18"/>
              </w:rPr>
              <w:t xml:space="preserve">TRANSITION: </w:t>
            </w:r>
            <w:r>
              <w:rPr>
                <w:rFonts w:ascii="Arial" w:hAnsi="Arial"/>
                <w:b w:val="0"/>
                <w:i w:val="0"/>
                <w:color w:val="2B2A28"/>
                <w:sz w:val="20"/>
              </w:rPr>
              <w:t>That gives us the candidate claim set. Phase 1 is designed to test those claims with LoneTree and PortCo evidence.</w:t>
            </w:r>
          </w:p>
        </w:tc>
      </w:tr>
    </w:tbl>
    <w:p>
      <w:pPr>
        <w:spacing w:before="0" w:after="60" w:line="288" w:lineRule="auto"/>
      </w:pPr>
      <w:r>
        <w:rPr>
          <w:rFonts w:ascii="Arial" w:hAnsi="Arial"/>
          <w:b w:val="0"/>
          <w:i w:val="0"/>
          <w:color w:val="2B2A28"/>
          <w:sz w:val="21"/>
        </w:rPr>
      </w:r>
    </w:p>
    <w:p>
      <w:r>
        <w:br w:type="page"/>
      </w:r>
    </w:p>
    <w:p>
      <w:pPr>
        <w:spacing w:before="0" w:after="100" w:line="288" w:lineRule="auto"/>
      </w:pPr>
      <w:r>
        <w:rPr>
          <w:rFonts w:ascii="Arial" w:hAnsi="Arial"/>
          <w:b/>
          <w:i w:val="0"/>
          <w:color w:val="C4843A"/>
          <w:sz w:val="18"/>
        </w:rPr>
        <w:t>EXECUTIVE VIEW 03</w:t>
      </w:r>
    </w:p>
    <w:p>
      <w:pPr>
        <w:spacing w:before="0" w:after="280" w:line="288" w:lineRule="auto"/>
      </w:pPr>
      <w:r>
        <w:rPr>
          <w:rFonts w:ascii="Arial" w:hAnsi="Arial"/>
          <w:b/>
          <w:i w:val="0"/>
          <w:color w:val="14283F"/>
          <w:sz w:val="48"/>
        </w:rPr>
        <w:t>Phase 1 Partnership</w:t>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PURPOSE: </w:t>
            </w:r>
            <w:r>
              <w:rPr>
                <w:rFonts w:ascii="Arial" w:hAnsi="Arial"/>
                <w:b w:val="0"/>
                <w:i w:val="0"/>
                <w:color w:val="2B2A28"/>
                <w:sz w:val="20"/>
              </w:rPr>
              <w:t>Make the work feel bounded, credible, and led by someone who can translate between investment thesis, finance, operations, and systems.</w:t>
            </w:r>
          </w:p>
        </w:tc>
      </w:tr>
    </w:tbl>
    <w:p>
      <w:pPr>
        <w:spacing w:before="0" w:after="60" w:line="288" w:lineRule="auto"/>
      </w:pPr>
      <w:r>
        <w:rPr>
          <w:rFonts w:ascii="Arial" w:hAnsi="Arial"/>
          <w:b w:val="0"/>
          <w:i w:val="0"/>
          <w:color w:val="2B2A28"/>
          <w:sz w:val="21"/>
        </w:rPr>
      </w:r>
    </w:p>
    <w:p>
      <w:pPr>
        <w:pStyle w:val="Heading2"/>
        <w:spacing w:before="200" w:after="140"/>
      </w:pPr>
      <w:r>
        <w:rPr>
          <w:rFonts w:ascii="Arial" w:hAnsi="Arial"/>
          <w:b/>
          <w:i w:val="0"/>
          <w:color w:val="345A68"/>
          <w:sz w:val="25"/>
        </w:rPr>
        <w:t>Recommended narrative</w:t>
      </w:r>
    </w:p>
    <w:p>
      <w:pPr>
        <w:spacing w:before="0" w:after="180" w:line="288" w:lineRule="auto"/>
      </w:pPr>
      <w:r>
        <w:rPr>
          <w:rFonts w:ascii="Arial" w:hAnsi="Arial"/>
          <w:b w:val="0"/>
          <w:i w:val="0"/>
          <w:color w:val="2B2A28"/>
          <w:sz w:val="22"/>
        </w:rPr>
        <w:t>Phase 1 is successful if it produces a better decision—not if it installs software. We select a bounded set of cases, capture the claim definitions, trace the evidence, reconcile the result, measure the current cost of producing truth, and backtest what earlier definition or control could have changed. I can lead that conversation from the sponsor thesis down to contracts, billing, cash, and GL events.</w:t>
      </w:r>
    </w:p>
    <w:p>
      <w:pPr>
        <w:pStyle w:val="Heading2"/>
        <w:spacing w:before="200" w:after="140"/>
      </w:pPr>
      <w:r>
        <w:rPr>
          <w:rFonts w:ascii="Arial" w:hAnsi="Arial"/>
          <w:b/>
          <w:i w:val="0"/>
          <w:color w:val="345A68"/>
          <w:sz w:val="25"/>
        </w:rPr>
        <w:t>What to emphasize on the page</w:t>
      </w:r>
    </w:p>
    <w:p>
      <w:pPr>
        <w:pStyle w:val="ListBullet"/>
        <w:spacing w:after="80" w:line="288" w:lineRule="auto"/>
        <w:ind w:left="547" w:hanging="274"/>
      </w:pPr>
      <w:r>
        <w:rPr>
          <w:rFonts w:ascii="Arial" w:hAnsi="Arial"/>
          <w:b w:val="0"/>
          <w:i w:val="0"/>
          <w:color w:val="2B2A28"/>
          <w:sz w:val="20"/>
        </w:rPr>
        <w:t>Emphasize bounded outputs and evidence-based success criteria.</w:t>
      </w:r>
    </w:p>
    <w:p>
      <w:pPr>
        <w:pStyle w:val="ListBullet"/>
        <w:spacing w:after="80" w:line="288" w:lineRule="auto"/>
        <w:ind w:left="547" w:hanging="274"/>
      </w:pPr>
      <w:r>
        <w:rPr>
          <w:rFonts w:ascii="Arial" w:hAnsi="Arial"/>
          <w:b w:val="0"/>
          <w:i w:val="0"/>
          <w:color w:val="2B2A28"/>
          <w:sz w:val="20"/>
        </w:rPr>
        <w:t>Use the operator profile to establish fit only after the work is clear.</w:t>
      </w:r>
    </w:p>
    <w:p>
      <w:pPr>
        <w:pStyle w:val="ListBullet"/>
        <w:spacing w:after="80" w:line="288" w:lineRule="auto"/>
        <w:ind w:left="547" w:hanging="274"/>
      </w:pPr>
      <w:r>
        <w:rPr>
          <w:rFonts w:ascii="Arial" w:hAnsi="Arial"/>
          <w:b w:val="0"/>
          <w:i w:val="0"/>
          <w:color w:val="2B2A28"/>
          <w:sz w:val="20"/>
        </w:rPr>
        <w:t>State the commercial language exactly: engagement fixed fee dependent on scope and number of company participants.</w:t>
      </w:r>
    </w:p>
    <w:tbl>
      <w:tblPr>
        <w:tblW w:type="auto" w:w="0"/>
        <w:tblLayout w:type="fixed"/>
        <w:tblLook w:firstColumn="1" w:firstRow="1" w:lastColumn="0" w:lastRow="0" w:noHBand="0" w:noVBand="1" w:val="04A0"/>
      </w:tblPr>
      <w:tblGrid>
        <w:gridCol w:w="9360"/>
      </w:tblGrid>
      <w:tr>
        <w:tc>
          <w:tcPr>
            <w:tcW w:type="dxa" w:w="9360"/>
            <w:vAlign w:val="center"/>
            <w:shd w:fill="E7F0F2"/>
            <w:tcMar>
              <w:top w:w="120" w:type="dxa"/>
              <w:start w:w="180" w:type="dxa"/>
              <w:bottom w:w="120" w:type="dxa"/>
              <w:end w:w="180" w:type="dxa"/>
            </w:tcMar>
          </w:tcPr>
          <w:p>
            <w:pPr>
              <w:spacing w:after="0" w:line="276" w:lineRule="auto"/>
            </w:pPr>
            <w:r>
              <w:rPr>
                <w:rFonts w:ascii="Arial" w:hAnsi="Arial"/>
                <w:b/>
                <w:i w:val="0"/>
                <w:color w:val="345A68"/>
                <w:sz w:val="18"/>
              </w:rPr>
              <w:t xml:space="preserve">QUESTION TO ASK: </w:t>
            </w:r>
            <w:r>
              <w:rPr>
                <w:rFonts w:ascii="Arial" w:hAnsi="Arial"/>
                <w:b w:val="0"/>
                <w:i w:val="0"/>
                <w:color w:val="2B2A28"/>
                <w:sz w:val="20"/>
              </w:rPr>
              <w:t>Who should sponsor the work, and which historical case or PortCo would give us the strongest first proof?</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6E9D7"/>
            <w:tcMar>
              <w:top w:w="120" w:type="dxa"/>
              <w:start w:w="180" w:type="dxa"/>
              <w:bottom w:w="120" w:type="dxa"/>
              <w:end w:w="180" w:type="dxa"/>
            </w:tcMar>
          </w:tcPr>
          <w:p>
            <w:pPr>
              <w:spacing w:after="0" w:line="276" w:lineRule="auto"/>
            </w:pPr>
            <w:r>
              <w:rPr>
                <w:rFonts w:ascii="Arial" w:hAnsi="Arial"/>
                <w:b/>
                <w:i w:val="0"/>
                <w:color w:val="345A68"/>
                <w:sz w:val="18"/>
              </w:rPr>
              <w:t xml:space="preserve">TRANSITION: </w:t>
            </w:r>
            <w:r>
              <w:rPr>
                <w:rFonts w:ascii="Arial" w:hAnsi="Arial"/>
                <w:b w:val="0"/>
                <w:i w:val="0"/>
                <w:color w:val="2B2A28"/>
                <w:sz w:val="20"/>
              </w:rPr>
              <w:t>Once the case is selected, the next layer is the diagnostic itself: what is included, and what is separately proved after findings emerge.</w:t>
            </w:r>
          </w:p>
        </w:tc>
      </w:tr>
    </w:tbl>
    <w:p>
      <w:pPr>
        <w:spacing w:before="0" w:after="60" w:line="288" w:lineRule="auto"/>
      </w:pPr>
      <w:r>
        <w:rPr>
          <w:rFonts w:ascii="Arial" w:hAnsi="Arial"/>
          <w:b w:val="0"/>
          <w:i w:val="0"/>
          <w:color w:val="2B2A28"/>
          <w:sz w:val="21"/>
        </w:rPr>
      </w:r>
    </w:p>
    <w:p>
      <w:r>
        <w:br w:type="page"/>
      </w:r>
    </w:p>
    <w:p>
      <w:pPr>
        <w:spacing w:before="0" w:after="100" w:line="288" w:lineRule="auto"/>
      </w:pPr>
      <w:r>
        <w:rPr>
          <w:rFonts w:ascii="Arial" w:hAnsi="Arial"/>
          <w:b/>
          <w:i w:val="0"/>
          <w:color w:val="C4843A"/>
          <w:sz w:val="18"/>
        </w:rPr>
        <w:t>EXECUTIVE VIEW 04</w:t>
      </w:r>
    </w:p>
    <w:p>
      <w:pPr>
        <w:spacing w:before="0" w:after="280" w:line="288" w:lineRule="auto"/>
      </w:pPr>
      <w:r>
        <w:rPr>
          <w:rFonts w:ascii="Arial" w:hAnsi="Arial"/>
          <w:b/>
          <w:i w:val="0"/>
          <w:color w:val="14283F"/>
          <w:sz w:val="48"/>
        </w:rPr>
        <w:t>Diagnostic + Value Proof</w:t>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PURPOSE: </w:t>
            </w:r>
            <w:r>
              <w:rPr>
                <w:rFonts w:ascii="Arial" w:hAnsi="Arial"/>
                <w:b w:val="0"/>
                <w:i w:val="0"/>
                <w:color w:val="2B2A28"/>
                <w:sz w:val="20"/>
              </w:rPr>
              <w:t>Separate included diagnostic work from the additional-fee opportunity to prove realized recovery.</w:t>
            </w:r>
          </w:p>
        </w:tc>
      </w:tr>
    </w:tbl>
    <w:p>
      <w:pPr>
        <w:spacing w:before="0" w:after="60" w:line="288" w:lineRule="auto"/>
      </w:pPr>
      <w:r>
        <w:rPr>
          <w:rFonts w:ascii="Arial" w:hAnsi="Arial"/>
          <w:b w:val="0"/>
          <w:i w:val="0"/>
          <w:color w:val="2B2A28"/>
          <w:sz w:val="21"/>
        </w:rPr>
      </w:r>
    </w:p>
    <w:p>
      <w:pPr>
        <w:pStyle w:val="Heading2"/>
        <w:spacing w:before="200" w:after="140"/>
      </w:pPr>
      <w:r>
        <w:rPr>
          <w:rFonts w:ascii="Arial" w:hAnsi="Arial"/>
          <w:b/>
          <w:i w:val="0"/>
          <w:color w:val="345A68"/>
          <w:sz w:val="25"/>
        </w:rPr>
        <w:t>Recommended narrative</w:t>
      </w:r>
    </w:p>
    <w:p>
      <w:pPr>
        <w:spacing w:before="0" w:after="180" w:line="288" w:lineRule="auto"/>
      </w:pPr>
      <w:r>
        <w:rPr>
          <w:rFonts w:ascii="Arial" w:hAnsi="Arial"/>
          <w:b w:val="0"/>
          <w:i w:val="0"/>
          <w:color w:val="2B2A28"/>
          <w:sz w:val="22"/>
        </w:rPr>
        <w:t>The workbook gives us places to look, not findings we can claim. The diagnostic converts those scenarios into a company-specific claim register, traces process and data, validates samples, and produces a Value Recovery Initiatives roadmap. If the economics are compelling, a separately scoped value-proof engagement establishes the baseline, supports selected initiatives, and measures realized recovery against authoritative source events.</w:t>
      </w:r>
    </w:p>
    <w:p>
      <w:pPr>
        <w:pStyle w:val="Heading2"/>
        <w:spacing w:before="200" w:after="140"/>
      </w:pPr>
      <w:r>
        <w:rPr>
          <w:rFonts w:ascii="Arial" w:hAnsi="Arial"/>
          <w:b/>
          <w:i w:val="0"/>
          <w:color w:val="345A68"/>
          <w:sz w:val="25"/>
        </w:rPr>
        <w:t>What to emphasize on the page</w:t>
      </w:r>
    </w:p>
    <w:p>
      <w:pPr>
        <w:pStyle w:val="ListBullet"/>
        <w:spacing w:after="80" w:line="288" w:lineRule="auto"/>
        <w:ind w:left="547" w:hanging="274"/>
      </w:pPr>
      <w:r>
        <w:rPr>
          <w:rFonts w:ascii="Arial" w:hAnsi="Arial"/>
          <w:b w:val="0"/>
          <w:i w:val="0"/>
          <w:color w:val="2B2A28"/>
          <w:sz w:val="20"/>
        </w:rPr>
        <w:t>Keep the four stages distinct: hypothesis, diagnostic, validation, value proof.</w:t>
      </w:r>
    </w:p>
    <w:p>
      <w:pPr>
        <w:pStyle w:val="ListBullet"/>
        <w:spacing w:after="80" w:line="288" w:lineRule="auto"/>
        <w:ind w:left="547" w:hanging="274"/>
      </w:pPr>
      <w:r>
        <w:rPr>
          <w:rFonts w:ascii="Arial" w:hAnsi="Arial"/>
          <w:b w:val="0"/>
          <w:i w:val="0"/>
          <w:color w:val="2B2A28"/>
          <w:sz w:val="20"/>
        </w:rPr>
        <w:t>Make the commercial boundary explicit: roadmap is diagnostic output; realized-value proof is additional scope.</w:t>
      </w:r>
    </w:p>
    <w:p>
      <w:pPr>
        <w:pStyle w:val="ListBullet"/>
        <w:spacing w:after="80" w:line="288" w:lineRule="auto"/>
        <w:ind w:left="547" w:hanging="274"/>
      </w:pPr>
      <w:r>
        <w:rPr>
          <w:rFonts w:ascii="Arial" w:hAnsi="Arial"/>
          <w:b w:val="0"/>
          <w:i w:val="0"/>
          <w:color w:val="2B2A28"/>
          <w:sz w:val="20"/>
        </w:rPr>
        <w:t>Use confidence ranges when evidence is incomplete rather than forcing false precision.</w:t>
      </w:r>
    </w:p>
    <w:tbl>
      <w:tblPr>
        <w:tblW w:type="auto" w:w="0"/>
        <w:tblLayout w:type="fixed"/>
        <w:tblLook w:firstColumn="1" w:firstRow="1" w:lastColumn="0" w:lastRow="0" w:noHBand="0" w:noVBand="1" w:val="04A0"/>
      </w:tblPr>
      <w:tblGrid>
        <w:gridCol w:w="9360"/>
      </w:tblGrid>
      <w:tr>
        <w:tc>
          <w:tcPr>
            <w:tcW w:type="dxa" w:w="9360"/>
            <w:vAlign w:val="center"/>
            <w:shd w:fill="E7F0F2"/>
            <w:tcMar>
              <w:top w:w="120" w:type="dxa"/>
              <w:start w:w="180" w:type="dxa"/>
              <w:bottom w:w="120" w:type="dxa"/>
              <w:end w:w="180" w:type="dxa"/>
            </w:tcMar>
          </w:tcPr>
          <w:p>
            <w:pPr>
              <w:spacing w:after="0" w:line="276" w:lineRule="auto"/>
            </w:pPr>
            <w:r>
              <w:rPr>
                <w:rFonts w:ascii="Arial" w:hAnsi="Arial"/>
                <w:b/>
                <w:i w:val="0"/>
                <w:color w:val="345A68"/>
                <w:sz w:val="18"/>
              </w:rPr>
              <w:t xml:space="preserve">QUESTION TO ASK: </w:t>
            </w:r>
            <w:r>
              <w:rPr>
                <w:rFonts w:ascii="Arial" w:hAnsi="Arial"/>
                <w:b w:val="0"/>
                <w:i w:val="0"/>
                <w:color w:val="2B2A28"/>
                <w:sz w:val="20"/>
              </w:rPr>
              <w:t>Would LoneTree prefer Phase 1 to stop at a prioritized opportunity range, or include a pre-agreed option to scope realized-value proof for selected initiatives?</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6E8E5"/>
            <w:tcMar>
              <w:top w:w="120" w:type="dxa"/>
              <w:start w:w="180" w:type="dxa"/>
              <w:bottom w:w="120" w:type="dxa"/>
              <w:end w:w="180" w:type="dxa"/>
            </w:tcMar>
          </w:tcPr>
          <w:p>
            <w:pPr>
              <w:spacing w:after="0" w:line="276" w:lineRule="auto"/>
            </w:pPr>
            <w:r>
              <w:rPr>
                <w:rFonts w:ascii="Arial" w:hAnsi="Arial"/>
                <w:b/>
                <w:i w:val="0"/>
                <w:color w:val="345A68"/>
                <w:sz w:val="18"/>
              </w:rPr>
              <w:t xml:space="preserve">GUARDRAIL: </w:t>
            </w:r>
            <w:r>
              <w:rPr>
                <w:rFonts w:ascii="Arial" w:hAnsi="Arial"/>
                <w:b w:val="0"/>
                <w:i w:val="0"/>
                <w:color w:val="2B2A28"/>
                <w:sz w:val="20"/>
              </w:rPr>
              <w:t>Benchmarks frame the search. Only participating-company data supports a company-specific claim.</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6E9D7"/>
            <w:tcMar>
              <w:top w:w="120" w:type="dxa"/>
              <w:start w:w="180" w:type="dxa"/>
              <w:bottom w:w="120" w:type="dxa"/>
              <w:end w:w="180" w:type="dxa"/>
            </w:tcMar>
          </w:tcPr>
          <w:p>
            <w:pPr>
              <w:spacing w:after="0" w:line="276" w:lineRule="auto"/>
            </w:pPr>
            <w:r>
              <w:rPr>
                <w:rFonts w:ascii="Arial" w:hAnsi="Arial"/>
                <w:b/>
                <w:i w:val="0"/>
                <w:color w:val="345A68"/>
                <w:sz w:val="18"/>
              </w:rPr>
              <w:t xml:space="preserve">TRANSITION: </w:t>
            </w:r>
            <w:r>
              <w:rPr>
                <w:rFonts w:ascii="Arial" w:hAnsi="Arial"/>
                <w:b w:val="0"/>
                <w:i w:val="0"/>
                <w:color w:val="2B2A28"/>
                <w:sz w:val="20"/>
              </w:rPr>
              <w:t>To make that concrete, the next view shows exactly what evidence is required to prove the major leakage scenarios.</w:t>
            </w:r>
          </w:p>
        </w:tc>
      </w:tr>
    </w:tbl>
    <w:p>
      <w:pPr>
        <w:spacing w:before="0" w:after="60" w:line="288" w:lineRule="auto"/>
      </w:pPr>
      <w:r>
        <w:rPr>
          <w:rFonts w:ascii="Arial" w:hAnsi="Arial"/>
          <w:b w:val="0"/>
          <w:i w:val="0"/>
          <w:color w:val="2B2A28"/>
          <w:sz w:val="21"/>
        </w:rPr>
      </w:r>
    </w:p>
    <w:p>
      <w:r>
        <w:br w:type="page"/>
      </w:r>
    </w:p>
    <w:p>
      <w:pPr>
        <w:spacing w:before="0" w:after="100" w:line="288" w:lineRule="auto"/>
      </w:pPr>
      <w:r>
        <w:rPr>
          <w:rFonts w:ascii="Arial" w:hAnsi="Arial"/>
          <w:b/>
          <w:i w:val="0"/>
          <w:color w:val="C4843A"/>
          <w:sz w:val="18"/>
        </w:rPr>
        <w:t>EXECUTIVE VIEW 05</w:t>
      </w:r>
    </w:p>
    <w:p>
      <w:pPr>
        <w:spacing w:before="0" w:after="280" w:line="288" w:lineRule="auto"/>
      </w:pPr>
      <w:r>
        <w:rPr>
          <w:rFonts w:ascii="Arial" w:hAnsi="Arial"/>
          <w:b/>
          <w:i w:val="0"/>
          <w:color w:val="14283F"/>
          <w:sz w:val="48"/>
        </w:rPr>
        <w:t>Tactical Diagnostic Design</w:t>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PURPOSE: </w:t>
            </w:r>
            <w:r>
              <w:rPr>
                <w:rFonts w:ascii="Arial" w:hAnsi="Arial"/>
                <w:b w:val="0"/>
                <w:i w:val="0"/>
                <w:color w:val="2B2A28"/>
                <w:sz w:val="20"/>
              </w:rPr>
              <w:t>Demonstrate that the diagnostic is operationally specific and tied to authoritative systems, time periods, and proof standards.</w:t>
            </w:r>
          </w:p>
        </w:tc>
      </w:tr>
    </w:tbl>
    <w:p>
      <w:pPr>
        <w:spacing w:before="0" w:after="60" w:line="288" w:lineRule="auto"/>
      </w:pPr>
      <w:r>
        <w:rPr>
          <w:rFonts w:ascii="Arial" w:hAnsi="Arial"/>
          <w:b w:val="0"/>
          <w:i w:val="0"/>
          <w:color w:val="2B2A28"/>
          <w:sz w:val="21"/>
        </w:rPr>
      </w:r>
    </w:p>
    <w:p>
      <w:pPr>
        <w:pStyle w:val="Heading2"/>
        <w:spacing w:before="200" w:after="140"/>
      </w:pPr>
      <w:r>
        <w:rPr>
          <w:rFonts w:ascii="Arial" w:hAnsi="Arial"/>
          <w:b/>
          <w:i w:val="0"/>
          <w:color w:val="345A68"/>
          <w:sz w:val="25"/>
        </w:rPr>
        <w:t>Recommended narrative</w:t>
      </w:r>
    </w:p>
    <w:p>
      <w:pPr>
        <w:spacing w:before="0" w:after="180" w:line="288" w:lineRule="auto"/>
      </w:pPr>
      <w:r>
        <w:rPr>
          <w:rFonts w:ascii="Arial" w:hAnsi="Arial"/>
          <w:b w:val="0"/>
          <w:i w:val="0"/>
          <w:color w:val="2B2A28"/>
          <w:sz w:val="22"/>
        </w:rPr>
        <w:t>Each leakage hypothesis must resolve to an event trail. A pricing claim must compare signed terms to configured and billed rates by effective date. A usage claim must connect metered activity to rating, invoice lines, cash, and—where relevant—the GL. We prefer 24 to 36 months to capture renewals, amendments, seasonality, and cohorts, with 12 months plus the current period as the minimum viable scope.</w:t>
      </w:r>
    </w:p>
    <w:p>
      <w:pPr>
        <w:pStyle w:val="Heading2"/>
        <w:spacing w:before="200" w:after="140"/>
      </w:pPr>
      <w:r>
        <w:rPr>
          <w:rFonts w:ascii="Arial" w:hAnsi="Arial"/>
          <w:b/>
          <w:i w:val="0"/>
          <w:color w:val="345A68"/>
          <w:sz w:val="25"/>
        </w:rPr>
        <w:t>What to emphasize on the page</w:t>
      </w:r>
    </w:p>
    <w:p>
      <w:pPr>
        <w:pStyle w:val="ListBullet"/>
        <w:spacing w:after="80" w:line="288" w:lineRule="auto"/>
        <w:ind w:left="547" w:hanging="274"/>
      </w:pPr>
      <w:r>
        <w:rPr>
          <w:rFonts w:ascii="Arial" w:hAnsi="Arial"/>
          <w:b w:val="0"/>
          <w:i w:val="0"/>
          <w:color w:val="2B2A28"/>
          <w:sz w:val="20"/>
        </w:rPr>
        <w:t>Use the matrix row by row only for the buyer’s highest-priority claim.</w:t>
      </w:r>
    </w:p>
    <w:p>
      <w:pPr>
        <w:pStyle w:val="ListBullet"/>
        <w:spacing w:after="80" w:line="288" w:lineRule="auto"/>
        <w:ind w:left="547" w:hanging="274"/>
      </w:pPr>
      <w:r>
        <w:rPr>
          <w:rFonts w:ascii="Arial" w:hAnsi="Arial"/>
          <w:b w:val="0"/>
          <w:i w:val="0"/>
          <w:color w:val="2B2A28"/>
          <w:sz w:val="20"/>
        </w:rPr>
        <w:t>Explain that “likely system” is a starting hypothesis; authoritative ownership is confirmed during planning.</w:t>
      </w:r>
    </w:p>
    <w:p>
      <w:pPr>
        <w:pStyle w:val="ListBullet"/>
        <w:spacing w:after="80" w:line="288" w:lineRule="auto"/>
        <w:ind w:left="547" w:hanging="274"/>
      </w:pPr>
      <w:r>
        <w:rPr>
          <w:rFonts w:ascii="Arial" w:hAnsi="Arial"/>
          <w:b w:val="0"/>
          <w:i w:val="0"/>
          <w:color w:val="2B2A28"/>
          <w:sz w:val="20"/>
        </w:rPr>
        <w:t>Point out that missing data becomes an explicit confidence limitation and diagnostic finding.</w:t>
      </w:r>
    </w:p>
    <w:tbl>
      <w:tblPr>
        <w:tblW w:type="auto" w:w="0"/>
        <w:tblLayout w:type="fixed"/>
        <w:tblLook w:firstColumn="1" w:firstRow="1" w:lastColumn="0" w:lastRow="0" w:noHBand="0" w:noVBand="1" w:val="04A0"/>
      </w:tblPr>
      <w:tblGrid>
        <w:gridCol w:w="9360"/>
      </w:tblGrid>
      <w:tr>
        <w:tc>
          <w:tcPr>
            <w:tcW w:type="dxa" w:w="9360"/>
            <w:vAlign w:val="center"/>
            <w:shd w:fill="E7F0F2"/>
            <w:tcMar>
              <w:top w:w="120" w:type="dxa"/>
              <w:start w:w="180" w:type="dxa"/>
              <w:bottom w:w="120" w:type="dxa"/>
              <w:end w:w="180" w:type="dxa"/>
            </w:tcMar>
          </w:tcPr>
          <w:p>
            <w:pPr>
              <w:spacing w:after="0" w:line="276" w:lineRule="auto"/>
            </w:pPr>
            <w:r>
              <w:rPr>
                <w:rFonts w:ascii="Arial" w:hAnsi="Arial"/>
                <w:b/>
                <w:i w:val="0"/>
                <w:color w:val="345A68"/>
                <w:sz w:val="18"/>
              </w:rPr>
              <w:t xml:space="preserve">QUESTION TO ASK: </w:t>
            </w:r>
            <w:r>
              <w:rPr>
                <w:rFonts w:ascii="Arial" w:hAnsi="Arial"/>
                <w:b w:val="0"/>
                <w:i w:val="0"/>
                <w:color w:val="2B2A28"/>
                <w:sz w:val="20"/>
              </w:rPr>
              <w:t>Which systems currently hold contracts, billing configuration, invoices, usage, cash application, and journal detail—and who owns access?</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6E9D7"/>
            <w:tcMar>
              <w:top w:w="120" w:type="dxa"/>
              <w:start w:w="180" w:type="dxa"/>
              <w:bottom w:w="120" w:type="dxa"/>
              <w:end w:w="180" w:type="dxa"/>
            </w:tcMar>
          </w:tcPr>
          <w:p>
            <w:pPr>
              <w:spacing w:after="0" w:line="276" w:lineRule="auto"/>
            </w:pPr>
            <w:r>
              <w:rPr>
                <w:rFonts w:ascii="Arial" w:hAnsi="Arial"/>
                <w:b/>
                <w:i w:val="0"/>
                <w:color w:val="345A68"/>
                <w:sz w:val="18"/>
              </w:rPr>
              <w:t xml:space="preserve">TRANSITION: </w:t>
            </w:r>
            <w:r>
              <w:rPr>
                <w:rFonts w:ascii="Arial" w:hAnsi="Arial"/>
                <w:b w:val="0"/>
                <w:i w:val="0"/>
                <w:color w:val="2B2A28"/>
                <w:sz w:val="20"/>
              </w:rPr>
              <w:t>With the evidence requirement clear, LoneTree can choose the participation model that creates the most useful proof.</w:t>
            </w:r>
          </w:p>
        </w:tc>
      </w:tr>
    </w:tbl>
    <w:p>
      <w:pPr>
        <w:spacing w:before="0" w:after="60" w:line="288" w:lineRule="auto"/>
      </w:pPr>
      <w:r>
        <w:rPr>
          <w:rFonts w:ascii="Arial" w:hAnsi="Arial"/>
          <w:b w:val="0"/>
          <w:i w:val="0"/>
          <w:color w:val="2B2A28"/>
          <w:sz w:val="21"/>
        </w:rPr>
      </w:r>
    </w:p>
    <w:p>
      <w:r>
        <w:br w:type="page"/>
      </w:r>
    </w:p>
    <w:p>
      <w:pPr>
        <w:spacing w:before="0" w:after="100" w:line="288" w:lineRule="auto"/>
      </w:pPr>
      <w:r>
        <w:rPr>
          <w:rFonts w:ascii="Arial" w:hAnsi="Arial"/>
          <w:b/>
          <w:i w:val="0"/>
          <w:color w:val="C4843A"/>
          <w:sz w:val="18"/>
        </w:rPr>
        <w:t>EXECUTIVE VIEW 06</w:t>
      </w:r>
    </w:p>
    <w:p>
      <w:pPr>
        <w:spacing w:before="0" w:after="280" w:line="288" w:lineRule="auto"/>
      </w:pPr>
      <w:r>
        <w:rPr>
          <w:rFonts w:ascii="Arial" w:hAnsi="Arial"/>
          <w:b/>
          <w:i w:val="0"/>
          <w:color w:val="14283F"/>
          <w:sz w:val="48"/>
        </w:rPr>
        <w:t>Delivery Options</w:t>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PURPOSE: </w:t>
            </w:r>
            <w:r>
              <w:rPr>
                <w:rFonts w:ascii="Arial" w:hAnsi="Arial"/>
                <w:b w:val="0"/>
                <w:i w:val="0"/>
                <w:color w:val="2B2A28"/>
                <w:sz w:val="20"/>
              </w:rPr>
              <w:t>Help the buyer choose between comparative portfolio learning and deeper company-specific validation.</w:t>
            </w:r>
          </w:p>
        </w:tc>
      </w:tr>
    </w:tbl>
    <w:p>
      <w:pPr>
        <w:spacing w:before="0" w:after="60" w:line="288" w:lineRule="auto"/>
      </w:pPr>
      <w:r>
        <w:rPr>
          <w:rFonts w:ascii="Arial" w:hAnsi="Arial"/>
          <w:b w:val="0"/>
          <w:i w:val="0"/>
          <w:color w:val="2B2A28"/>
          <w:sz w:val="21"/>
        </w:rPr>
      </w:r>
    </w:p>
    <w:p>
      <w:pPr>
        <w:pStyle w:val="Heading2"/>
        <w:spacing w:before="200" w:after="140"/>
      </w:pPr>
      <w:r>
        <w:rPr>
          <w:rFonts w:ascii="Arial" w:hAnsi="Arial"/>
          <w:b/>
          <w:i w:val="0"/>
          <w:color w:val="345A68"/>
          <w:sz w:val="25"/>
        </w:rPr>
        <w:t>Recommended narrative</w:t>
      </w:r>
    </w:p>
    <w:p>
      <w:pPr>
        <w:spacing w:before="0" w:after="180" w:line="288" w:lineRule="auto"/>
      </w:pPr>
      <w:r>
        <w:rPr>
          <w:rFonts w:ascii="Arial" w:hAnsi="Arial"/>
          <w:b w:val="0"/>
          <w:i w:val="0"/>
          <w:color w:val="2B2A28"/>
          <w:sz w:val="22"/>
        </w:rPr>
        <w:t>There are two practical entry points. The multi-day bootcamp creates the greatest comparative learning when the sponsor, a bank or capital partner, and one to three PortCos participate under a group fixed fee. The 10-day diagnostic goes deeper with the sponsor and one PortCo: five days of end-to-end interviews and data synthesis, followed by five days of refinement, validation, quantified opportunity ranges, and the Value Recovery Initiatives roadmap.</w:t>
      </w:r>
    </w:p>
    <w:p>
      <w:pPr>
        <w:pStyle w:val="Heading2"/>
        <w:spacing w:before="200" w:after="140"/>
      </w:pPr>
      <w:r>
        <w:rPr>
          <w:rFonts w:ascii="Arial" w:hAnsi="Arial"/>
          <w:b/>
          <w:i w:val="0"/>
          <w:color w:val="345A68"/>
          <w:sz w:val="25"/>
        </w:rPr>
        <w:t>What to emphasize on the page</w:t>
      </w:r>
    </w:p>
    <w:p>
      <w:pPr>
        <w:pStyle w:val="ListBullet"/>
        <w:spacing w:after="80" w:line="288" w:lineRule="auto"/>
        <w:ind w:left="547" w:hanging="274"/>
      </w:pPr>
      <w:r>
        <w:rPr>
          <w:rFonts w:ascii="Arial" w:hAnsi="Arial"/>
          <w:b w:val="0"/>
          <w:i w:val="0"/>
          <w:color w:val="2B2A28"/>
          <w:sz w:val="20"/>
        </w:rPr>
        <w:t>Lead with the participation tradeoff, not duration alone.</w:t>
      </w:r>
    </w:p>
    <w:p>
      <w:pPr>
        <w:pStyle w:val="ListBullet"/>
        <w:spacing w:after="80" w:line="288" w:lineRule="auto"/>
        <w:ind w:left="547" w:hanging="274"/>
      </w:pPr>
      <w:r>
        <w:rPr>
          <w:rFonts w:ascii="Arial" w:hAnsi="Arial"/>
          <w:b w:val="0"/>
          <w:i w:val="0"/>
          <w:color w:val="2B2A28"/>
          <w:sz w:val="20"/>
        </w:rPr>
        <w:t>State prerequisites: data request, initial scan, planning session, confirmed attendees, and calendars.</w:t>
      </w:r>
    </w:p>
    <w:p>
      <w:pPr>
        <w:pStyle w:val="ListBullet"/>
        <w:spacing w:after="80" w:line="288" w:lineRule="auto"/>
        <w:ind w:left="547" w:hanging="274"/>
      </w:pPr>
      <w:r>
        <w:rPr>
          <w:rFonts w:ascii="Arial" w:hAnsi="Arial"/>
          <w:b w:val="0"/>
          <w:i w:val="0"/>
          <w:color w:val="2B2A28"/>
          <w:sz w:val="20"/>
        </w:rPr>
        <w:t>For the 10-day option, keep the base scope to sponsor + one PortCo; extend terms for additional companies.</w:t>
      </w:r>
    </w:p>
    <w:tbl>
      <w:tblPr>
        <w:tblW w:type="auto" w:w="0"/>
        <w:tblLayout w:type="fixed"/>
        <w:tblLook w:firstColumn="1" w:firstRow="1" w:lastColumn="0" w:lastRow="0" w:noHBand="0" w:noVBand="1" w:val="04A0"/>
      </w:tblPr>
      <w:tblGrid>
        <w:gridCol w:w="9360"/>
      </w:tblGrid>
      <w:tr>
        <w:tc>
          <w:tcPr>
            <w:tcW w:type="dxa" w:w="9360"/>
            <w:vAlign w:val="center"/>
            <w:shd w:fill="E7F0F2"/>
            <w:tcMar>
              <w:top w:w="120" w:type="dxa"/>
              <w:start w:w="180" w:type="dxa"/>
              <w:bottom w:w="120" w:type="dxa"/>
              <w:end w:w="180" w:type="dxa"/>
            </w:tcMar>
          </w:tcPr>
          <w:p>
            <w:pPr>
              <w:spacing w:after="0" w:line="276" w:lineRule="auto"/>
            </w:pPr>
            <w:r>
              <w:rPr>
                <w:rFonts w:ascii="Arial" w:hAnsi="Arial"/>
                <w:b/>
                <w:i w:val="0"/>
                <w:color w:val="345A68"/>
                <w:sz w:val="18"/>
              </w:rPr>
              <w:t xml:space="preserve">QUESTION TO ASK: </w:t>
            </w:r>
            <w:r>
              <w:rPr>
                <w:rFonts w:ascii="Arial" w:hAnsi="Arial"/>
                <w:b w:val="0"/>
                <w:i w:val="0"/>
                <w:color w:val="2B2A28"/>
                <w:sz w:val="20"/>
              </w:rPr>
              <w:t>Which creates more immediate value for LoneTree: cross-portfolio pattern recognition or a deeper proof case with one PortCo?</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6E8E5"/>
            <w:tcMar>
              <w:top w:w="120" w:type="dxa"/>
              <w:start w:w="180" w:type="dxa"/>
              <w:bottom w:w="120" w:type="dxa"/>
              <w:end w:w="180" w:type="dxa"/>
            </w:tcMar>
          </w:tcPr>
          <w:p>
            <w:pPr>
              <w:spacing w:after="0" w:line="276" w:lineRule="auto"/>
            </w:pPr>
            <w:r>
              <w:rPr>
                <w:rFonts w:ascii="Arial" w:hAnsi="Arial"/>
                <w:b/>
                <w:i w:val="0"/>
                <w:color w:val="345A68"/>
                <w:sz w:val="18"/>
              </w:rPr>
              <w:t xml:space="preserve">GUARDRAIL: </w:t>
            </w:r>
            <w:r>
              <w:rPr>
                <w:rFonts w:ascii="Arial" w:hAnsi="Arial"/>
                <w:b w:val="0"/>
                <w:i w:val="0"/>
                <w:color w:val="2B2A28"/>
                <w:sz w:val="20"/>
              </w:rPr>
              <w:t>Do not promise that all requested data will be available or clean. Data gaps are surfaced and reflected in confidence.</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6E9D7"/>
            <w:tcMar>
              <w:top w:w="120" w:type="dxa"/>
              <w:start w:w="180" w:type="dxa"/>
              <w:bottom w:w="120" w:type="dxa"/>
              <w:end w:w="180" w:type="dxa"/>
            </w:tcMar>
          </w:tcPr>
          <w:p>
            <w:pPr>
              <w:spacing w:after="0" w:line="276" w:lineRule="auto"/>
            </w:pPr>
            <w:r>
              <w:rPr>
                <w:rFonts w:ascii="Arial" w:hAnsi="Arial"/>
                <w:b/>
                <w:i w:val="0"/>
                <w:color w:val="345A68"/>
                <w:sz w:val="18"/>
              </w:rPr>
              <w:t xml:space="preserve">TRANSITION: </w:t>
            </w:r>
            <w:r>
              <w:rPr>
                <w:rFonts w:ascii="Arial" w:hAnsi="Arial"/>
                <w:b w:val="0"/>
                <w:i w:val="0"/>
                <w:color w:val="2B2A28"/>
                <w:sz w:val="20"/>
              </w:rPr>
              <w:t>Confirm the preferred model, identify the sponsor and participating companies, then schedule the data-readiness and planning session.</w:t>
            </w:r>
          </w:p>
        </w:tc>
      </w:tr>
    </w:tbl>
    <w:p>
      <w:pPr>
        <w:spacing w:before="0" w:after="60" w:line="288" w:lineRule="auto"/>
      </w:pPr>
      <w:r>
        <w:rPr>
          <w:rFonts w:ascii="Arial" w:hAnsi="Arial"/>
          <w:b w:val="0"/>
          <w:i w:val="0"/>
          <w:color w:val="2B2A28"/>
          <w:sz w:val="21"/>
        </w:rPr>
      </w:r>
    </w:p>
    <w:p>
      <w:r>
        <w:br w:type="page"/>
      </w:r>
    </w:p>
    <w:p>
      <w:pPr>
        <w:spacing w:before="0" w:after="100" w:line="288" w:lineRule="auto"/>
      </w:pPr>
      <w:r>
        <w:rPr>
          <w:rFonts w:ascii="Arial" w:hAnsi="Arial"/>
          <w:b/>
          <w:i w:val="0"/>
          <w:color w:val="C4843A"/>
          <w:sz w:val="18"/>
        </w:rPr>
        <w:t>APPENDIX GUIDANCE</w:t>
      </w:r>
    </w:p>
    <w:p>
      <w:pPr>
        <w:spacing w:before="0" w:after="280" w:line="288" w:lineRule="auto"/>
      </w:pPr>
      <w:r>
        <w:rPr>
          <w:rFonts w:ascii="Arial" w:hAnsi="Arial"/>
          <w:b/>
          <w:i w:val="0"/>
          <w:color w:val="14283F"/>
          <w:sz w:val="48"/>
        </w:rPr>
        <w:t>How to use the preserved proposal record</w:t>
      </w:r>
    </w:p>
    <w:p>
      <w:pPr>
        <w:spacing w:before="0" w:after="120" w:line="288" w:lineRule="auto"/>
      </w:pPr>
      <w:r>
        <w:rPr>
          <w:rFonts w:ascii="Arial" w:hAnsi="Arial"/>
          <w:b w:val="0"/>
          <w:i w:val="0"/>
          <w:color w:val="2B2A28"/>
          <w:sz w:val="21"/>
        </w:rPr>
        <w:t>The appendix preserves the prior proposal experience and supporting architecture. It is evidence of depth, not the primary executive narrative. Use it selectively in response to buyer questions.</w:t>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ARCHITECTURE QUESTIONS: </w:t>
            </w:r>
            <w:r>
              <w:rPr>
                <w:rFonts w:ascii="Arial" w:hAnsi="Arial"/>
                <w:b w:val="0"/>
                <w:i w:val="0"/>
                <w:color w:val="2B2A28"/>
                <w:sz w:val="20"/>
              </w:rPr>
              <w:t>Use the orbit, rods, atom model, evidence chain, and Data Basin materials.</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VALUE AND MATURITY QUESTIONS: </w:t>
            </w:r>
            <w:r>
              <w:rPr>
                <w:rFonts w:ascii="Arial" w:hAnsi="Arial"/>
                <w:b w:val="0"/>
                <w:i w:val="0"/>
                <w:color w:val="2B2A28"/>
                <w:sz w:val="20"/>
              </w:rPr>
              <w:t>Use the maturity model, hold-period volatility, data-as-an-asset, and valuation exhibits.</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DIAGNOSTIC PROOF QUESTIONS: </w:t>
            </w:r>
            <w:r>
              <w:rPr>
                <w:rFonts w:ascii="Arial" w:hAnsi="Arial"/>
                <w:b w:val="0"/>
                <w:i w:val="0"/>
                <w:color w:val="2B2A28"/>
                <w:sz w:val="20"/>
              </w:rPr>
              <w:t>Use the claim, source-system, reconciliation, and revenue-leakage examples.</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F1EBDD"/>
            <w:tcMar>
              <w:top w:w="120" w:type="dxa"/>
              <w:start w:w="180" w:type="dxa"/>
              <w:bottom w:w="120" w:type="dxa"/>
              <w:end w:w="180" w:type="dxa"/>
            </w:tcMar>
          </w:tcPr>
          <w:p>
            <w:pPr>
              <w:spacing w:after="0" w:line="276" w:lineRule="auto"/>
            </w:pPr>
            <w:r>
              <w:rPr>
                <w:rFonts w:ascii="Arial" w:hAnsi="Arial"/>
                <w:b/>
                <w:i w:val="0"/>
                <w:color w:val="345A68"/>
                <w:sz w:val="18"/>
              </w:rPr>
              <w:t xml:space="preserve">IMPLEMENTATION QUESTIONS: </w:t>
            </w:r>
            <w:r>
              <w:rPr>
                <w:rFonts w:ascii="Arial" w:hAnsi="Arial"/>
                <w:b w:val="0"/>
                <w:i w:val="0"/>
                <w:color w:val="2B2A28"/>
                <w:sz w:val="20"/>
              </w:rPr>
              <w:t>Use the original scope, product, roadmap, and operating-model details, while clarifying that the six current executive views govern the present Phase 1 framing.</w:t>
            </w:r>
          </w:p>
        </w:tc>
      </w:tr>
    </w:tbl>
    <w:p>
      <w:pPr>
        <w:spacing w:before="0" w:after="60" w:line="288" w:lineRule="auto"/>
      </w:pPr>
      <w:r>
        <w:rPr>
          <w:rFonts w:ascii="Arial" w:hAnsi="Arial"/>
          <w:b w:val="0"/>
          <w:i w:val="0"/>
          <w:color w:val="2B2A28"/>
          <w:sz w:val="21"/>
        </w:rPr>
      </w:r>
    </w:p>
    <w:tbl>
      <w:tblPr>
        <w:tblW w:type="auto" w:w="0"/>
        <w:tblLayout w:type="fixed"/>
        <w:tblLook w:firstColumn="1" w:firstRow="1" w:lastColumn="0" w:lastRow="0" w:noHBand="0" w:noVBand="1" w:val="04A0"/>
      </w:tblPr>
      <w:tblGrid>
        <w:gridCol w:w="9360"/>
      </w:tblGrid>
      <w:tr>
        <w:tc>
          <w:tcPr>
            <w:tcW w:type="dxa" w:w="9360"/>
            <w:vAlign w:val="center"/>
            <w:shd w:fill="E7F0F2"/>
            <w:tcMar>
              <w:top w:w="120" w:type="dxa"/>
              <w:start w:w="180" w:type="dxa"/>
              <w:bottom w:w="120" w:type="dxa"/>
              <w:end w:w="180" w:type="dxa"/>
            </w:tcMar>
          </w:tcPr>
          <w:p>
            <w:pPr>
              <w:spacing w:after="0" w:line="276" w:lineRule="auto"/>
            </w:pPr>
            <w:r>
              <w:rPr>
                <w:rFonts w:ascii="Arial" w:hAnsi="Arial"/>
                <w:b/>
                <w:i w:val="0"/>
                <w:color w:val="345A68"/>
                <w:sz w:val="18"/>
              </w:rPr>
              <w:t xml:space="preserve">FINAL CLOSE: </w:t>
            </w:r>
            <w:r>
              <w:rPr>
                <w:rFonts w:ascii="Arial" w:hAnsi="Arial"/>
                <w:b w:val="0"/>
                <w:i w:val="0"/>
                <w:color w:val="2B2A28"/>
                <w:sz w:val="20"/>
              </w:rPr>
              <w:t>Let's take your under-utilized data to the next level, shall we? The next step is not a system selection. It is choosing the claim, the participants, and the evidence needed to prove where value can be recovered.</w:t>
            </w:r>
          </w:p>
        </w:tc>
      </w:tr>
    </w:tbl>
    <w:p>
      <w:pPr>
        <w:spacing w:before="0" w:after="60" w:line="288" w:lineRule="auto"/>
      </w:pPr>
      <w:r>
        <w:rPr>
          <w:rFonts w:ascii="Arial" w:hAnsi="Arial"/>
          <w:b w:val="0"/>
          <w:i w:val="0"/>
          <w:color w:val="2B2A28"/>
          <w:sz w:val="21"/>
        </w:rPr>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8645E"/>
        <w:sz w:val="16"/>
      </w:rPr>
      <w:t>© 2026 Martha Elizabeth Salter - The Salter Influence LLC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8645E"/>
        <w:sz w:val="16"/>
      </w:rPr>
      <w:t>SALT BASIN × LONETREE · ANNOTATED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45A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45A6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28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Salt Basin x LoneTree Annotated Proposal Narrative</dc:title>
  <dc:subject>Presenter and buyer-conversation guide for the Phase 1 Diagnostic and Value Proof Proposal</dc:subject>
  <dc:creator>Martha Elizabeth Salter - The Salter Influence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