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56"/>
        <w:jc w:val="left"/>
        <w:tblLayout w:type="fixed"/>
        <w:tblLook w:firstColumn="1" w:firstRow="1" w:lastColumn="0" w:lastRow="0" w:noHBand="0" w:noVBand="1" w:val="04A0"/>
        <w:tblInd w:type="dxa" w:w="100"/>
      </w:tblPr>
      <w:tblGrid>
        <w:gridCol w:w="10556"/>
      </w:tblGrid>
      <w:tr>
        <w:trPr/>
        <w:tc>
          <w:tcPr>
            <w:tcW w:type="dxa" w:w="10556"/>
            <w:shd w:fill="345A68" w:val="clear"/>
            <w:tcBorders>
              <w:bottom w:val="single" w:sz="16" w:space="0" w:color="C4843A"/>
            </w:tcBorders>
            <w:tcMar>
              <w:top w:w="76" w:type="dxa"/>
              <w:bottom w:w="76" w:type="dxa"/>
              <w:start w:w="100" w:type="dxa"/>
              <w:end w:w="100" w:type="dxa"/>
            </w:tcMar>
          </w:tcPr>
          <w:p>
            <w:pPr>
              <w:spacing w:before="160" w:after="20"/>
              <w:ind w:left="187" w:right="144"/>
            </w:pPr>
            <w:r>
              <w:rPr>
                <w:rFonts w:ascii="DejaVu Sans" w:hAnsi="DejaVu Sans"/>
              </w:rPr>
            </w:r>
            <w:r>
              <w:rPr>
                <w:rFonts w:ascii="DejaVu Sans" w:hAnsi="DejaVu Sans"/>
                <w:b/>
                <w:i w:val="0"/>
                <w:color w:val="C4843A"/>
                <w:sz w:val="16"/>
              </w:rPr>
              <w:t>SALT BASIN</w:t>
            </w:r>
          </w:p>
          <w:p>
            <w:pPr>
              <w:spacing w:before="0" w:after="40"/>
              <w:ind w:left="187"/>
            </w:pPr>
            <w:r>
              <w:rPr>
                <w:rFonts w:ascii="DejaVu Sans" w:hAnsi="DejaVu Sans"/>
                <w:b/>
                <w:i w:val="0"/>
                <w:color w:val="FFFFFF"/>
                <w:sz w:val="49"/>
              </w:rPr>
              <w:t>Scenario Repository Portfolio</w:t>
            </w:r>
          </w:p>
          <w:p>
            <w:pPr>
              <w:spacing w:before="0" w:after="80"/>
              <w:ind w:left="187"/>
            </w:pPr>
            <w:r>
              <w:rPr>
                <w:rFonts w:ascii="DejaVu Sans" w:hAnsi="DejaVu Sans"/>
                <w:b w:val="0"/>
                <w:i w:val="0"/>
                <w:color w:val="F1EBDD"/>
                <w:sz w:val="19"/>
              </w:rPr>
              <w:t>Governed operational scenarios, metadata variants, implementation approach, and rollout roadmap</w:t>
            </w:r>
          </w:p>
          <w:p>
            <w:pPr>
              <w:spacing w:before="0" w:after="140"/>
              <w:ind w:left="187"/>
            </w:pPr>
            <w:r>
              <w:rPr>
                <w:rFonts w:ascii="DejaVu Sans" w:hAnsi="DejaVu Sans"/>
                <w:b/>
                <w:i w:val="0"/>
                <w:color w:val="C4843A"/>
                <w:sz w:val="14"/>
              </w:rPr>
              <w:t>ILLUSTRATIVE IMPLEMENTATION REFERENCE  •  EXPANDED V3.0 • AUTHORITATIVE CHAT CONTEXT  •  JULY 2026</w:t>
            </w:r>
          </w:p>
        </w:tc>
      </w:tr>
    </w:tbl>
    <w:p>
      <w:pPr>
        <w:keepNext/>
        <w:spacing w:before="20" w:after="40" w:line="259" w:lineRule="auto"/>
        <w:jc w:val="left"/>
      </w:pPr>
      <w:r>
        <w:rPr>
          <w:rFonts w:ascii="DejaVu Sans" w:hAnsi="DejaVu Sans"/>
          <w:b/>
          <w:i w:val="0"/>
          <w:color w:val="C4843A"/>
          <w:sz w:val="14"/>
        </w:rPr>
        <w:t>PORTFOLIO THESIS</w:t>
      </w:r>
    </w:p>
    <w:p>
      <w:pPr>
        <w:keepNext w:val="0"/>
        <w:spacing w:before="0" w:after="100" w:line="269" w:lineRule="auto"/>
        <w:jc w:val="left"/>
      </w:pPr>
      <w:r>
        <w:rPr>
          <w:rFonts w:ascii="DejaVu Sans" w:hAnsi="DejaVu Sans"/>
          <w:b/>
          <w:i w:val="0"/>
          <w:color w:val="345A68"/>
          <w:sz w:val="20"/>
        </w:rPr>
        <w:t xml:space="preserve">This is a governed combination library—not a list of demo cases. </w:t>
      </w:r>
      <w:r>
        <w:rPr>
          <w:rFonts w:ascii="DejaVu Sans" w:hAnsi="DejaVu Sans"/>
          <w:b w:val="0"/>
          <w:i w:val="0"/>
          <w:color w:val="2B2A28"/>
          <w:sz w:val="19"/>
        </w:rPr>
        <w:t>Each stable Scenario_ID binds commercial conditions to source events, bounded metadata atoms, rod/branch behavior, generated transactions, reconciliations, metrics, temporal lineage, security policy, and the UI explanation of what changed.</w:t>
      </w:r>
    </w:p>
    <w:tbl>
      <w:tblPr>
        <w:tblW w:type="dxa" w:w="10556"/>
        <w:jc w:val="left"/>
        <w:tblLayout w:type="fixed"/>
        <w:tblLook w:firstColumn="1" w:firstRow="1" w:lastColumn="0" w:lastRow="0" w:noHBand="0" w:noVBand="1" w:val="04A0"/>
        <w:tblInd w:type="dxa" w:w="120"/>
      </w:tblPr>
      <w:tblGrid>
        <w:gridCol w:w="3519"/>
        <w:gridCol w:w="3519"/>
        <w:gridCol w:w="3518"/>
      </w:tblGrid>
      <w:tr>
        <w:trPr/>
        <w:tc>
          <w:tcPr>
            <w:tcW w:type="dxa" w:w="3519"/>
            <w:tcMar>
              <w:top w:w="90" w:type="dxa"/>
              <w:bottom w:w="90" w:type="dxa"/>
              <w:start w:w="120" w:type="dxa"/>
              <w:end w:w="120" w:type="dxa"/>
            </w:tcMar>
            <w:shd w:fill="F8F4EC" w:val="clear"/>
            <w:tcBorders>
              <w:top w:val="single" w:sz="8" w:space="0" w:color="C4843A"/>
              <w:start w:val="single" w:sz="4" w:space="0" w:color="F1EBDD"/>
              <w:bottom w:val="single" w:sz="4" w:space="0" w:color="F1EBDD"/>
              <w:end w:val="single" w:sz="4" w:space="0" w:color="F1EBDD"/>
            </w:tcBorders>
          </w:tcPr>
          <w:p>
            <w:pPr>
              <w:spacing w:before="0" w:after="0"/>
              <w:jc w:val="left"/>
            </w:pPr>
            <w:r>
              <w:rPr>
                <w:rFonts w:ascii="DejaVu Sans" w:hAnsi="DejaVu Sans"/>
              </w:rPr>
            </w:r>
            <w:r>
              <w:rPr>
                <w:rFonts w:ascii="DejaVu Sans" w:hAnsi="DejaVu Sans"/>
                <w:b/>
                <w:i w:val="0"/>
                <w:color w:val="345A68"/>
                <w:sz w:val="35"/>
              </w:rPr>
              <w:t>2,400</w:t>
            </w:r>
          </w:p>
          <w:p>
            <w:pPr>
              <w:spacing w:before="0" w:after="20"/>
            </w:pPr>
            <w:r>
              <w:rPr>
                <w:rFonts w:ascii="DejaVu Sans" w:hAnsi="DejaVu Sans"/>
                <w:b/>
                <w:i w:val="0"/>
                <w:color w:val="C4843A"/>
                <w:sz w:val="13"/>
              </w:rPr>
              <w:t>EXPLICIT SCENARIOS</w:t>
            </w:r>
          </w:p>
          <w:p>
            <w:pPr>
              <w:spacing w:before="0" w:after="0" w:line="240" w:lineRule="auto"/>
            </w:pPr>
            <w:r>
              <w:rPr>
                <w:rFonts w:ascii="DejaVu Sans" w:hAnsi="DejaVu Sans"/>
                <w:b w:val="0"/>
                <w:i w:val="0"/>
                <w:color w:val="4A7C8E"/>
                <w:sz w:val="13"/>
              </w:rPr>
              <w:t>2,400 unique configuration signatures; no duplicate combinations</w:t>
            </w:r>
          </w:p>
        </w:tc>
        <w:tc>
          <w:tcPr>
            <w:tcW w:type="dxa" w:w="3519"/>
            <w:tcMar>
              <w:top w:w="90" w:type="dxa"/>
              <w:bottom w:w="90" w:type="dxa"/>
              <w:start w:w="120" w:type="dxa"/>
              <w:end w:w="120" w:type="dxa"/>
            </w:tcMar>
            <w:shd w:fill="F8F4EC" w:val="clear"/>
            <w:tcBorders>
              <w:top w:val="single" w:sz="8" w:space="0" w:color="C4843A"/>
              <w:start w:val="single" w:sz="4" w:space="0" w:color="F1EBDD"/>
              <w:bottom w:val="single" w:sz="4" w:space="0" w:color="F1EBDD"/>
              <w:end w:val="single" w:sz="4" w:space="0" w:color="F1EBDD"/>
            </w:tcBorders>
          </w:tcPr>
          <w:p>
            <w:pPr>
              <w:spacing w:before="0" w:after="0"/>
              <w:jc w:val="left"/>
            </w:pPr>
            <w:r>
              <w:rPr>
                <w:rFonts w:ascii="DejaVu Sans" w:hAnsi="DejaVu Sans"/>
              </w:rPr>
            </w:r>
            <w:r>
              <w:rPr>
                <w:rFonts w:ascii="DejaVu Sans" w:hAnsi="DejaVu Sans"/>
                <w:b/>
                <w:i w:val="0"/>
                <w:color w:val="345A68"/>
                <w:sz w:val="35"/>
              </w:rPr>
              <w:t>16 / 93</w:t>
            </w:r>
          </w:p>
          <w:p>
            <w:pPr>
              <w:spacing w:before="0" w:after="20"/>
            </w:pPr>
            <w:r>
              <w:rPr>
                <w:rFonts w:ascii="DejaVu Sans" w:hAnsi="DejaVu Sans"/>
                <w:b/>
                <w:i w:val="0"/>
                <w:color w:val="C4843A"/>
                <w:sz w:val="13"/>
              </w:rPr>
              <w:t>DIMENSIONS / VALUES</w:t>
            </w:r>
          </w:p>
          <w:p>
            <w:pPr>
              <w:spacing w:before="0" w:after="0" w:line="240" w:lineRule="auto"/>
            </w:pPr>
            <w:r>
              <w:rPr>
                <w:rFonts w:ascii="DejaVu Sans" w:hAnsi="DejaVu Sans"/>
                <w:b w:val="0"/>
                <w:i w:val="0"/>
                <w:color w:val="4A7C8E"/>
                <w:sz w:val="13"/>
              </w:rPr>
              <w:t>Canonical variant vocabulary with stable value codes</w:t>
            </w:r>
          </w:p>
        </w:tc>
        <w:tc>
          <w:tcPr>
            <w:tcW w:type="dxa" w:w="3518"/>
            <w:tcMar>
              <w:top w:w="90" w:type="dxa"/>
              <w:bottom w:w="90" w:type="dxa"/>
              <w:start w:w="120" w:type="dxa"/>
              <w:end w:w="120" w:type="dxa"/>
            </w:tcMar>
            <w:shd w:fill="F8F4EC" w:val="clear"/>
            <w:tcBorders>
              <w:top w:val="single" w:sz="8" w:space="0" w:color="C4843A"/>
              <w:start w:val="single" w:sz="4" w:space="0" w:color="F1EBDD"/>
              <w:bottom w:val="single" w:sz="4" w:space="0" w:color="F1EBDD"/>
              <w:end w:val="single" w:sz="4" w:space="0" w:color="F1EBDD"/>
            </w:tcBorders>
          </w:tcPr>
          <w:p>
            <w:pPr>
              <w:spacing w:before="0" w:after="0"/>
              <w:jc w:val="left"/>
            </w:pPr>
            <w:r>
              <w:rPr>
                <w:rFonts w:ascii="DejaVu Sans" w:hAnsi="DejaVu Sans"/>
              </w:rPr>
            </w:r>
            <w:r>
              <w:rPr>
                <w:rFonts w:ascii="DejaVu Sans" w:hAnsi="DejaVu Sans"/>
                <w:b/>
                <w:i w:val="0"/>
                <w:color w:val="345A68"/>
                <w:sz w:val="35"/>
              </w:rPr>
              <w:t>10</w:t>
            </w:r>
          </w:p>
          <w:p>
            <w:pPr>
              <w:spacing w:before="0" w:after="20"/>
            </w:pPr>
            <w:r>
              <w:rPr>
                <w:rFonts w:ascii="DejaVu Sans" w:hAnsi="DejaVu Sans"/>
                <w:b/>
                <w:i w:val="0"/>
                <w:color w:val="C4843A"/>
                <w:sz w:val="13"/>
              </w:rPr>
              <w:t>EVENT FAMILIES</w:t>
            </w:r>
          </w:p>
          <w:p>
            <w:pPr>
              <w:spacing w:before="0" w:after="0" w:line="240" w:lineRule="auto"/>
            </w:pPr>
            <w:r>
              <w:rPr>
                <w:rFonts w:ascii="DejaVu Sans" w:hAnsi="DejaVu Sans"/>
                <w:b w:val="0"/>
                <w:i w:val="0"/>
                <w:color w:val="4A7C8E"/>
                <w:sz w:val="13"/>
              </w:rPr>
              <w:t>New sale through reactivation, each with a lineage-root event</w:t>
            </w:r>
          </w:p>
        </w:tc>
      </w:tr>
      <w:tr>
        <w:trPr/>
        <w:tc>
          <w:tcPr>
            <w:tcW w:type="dxa" w:w="3519"/>
            <w:tcMar>
              <w:top w:w="90" w:type="dxa"/>
              <w:bottom w:w="90" w:type="dxa"/>
              <w:start w:w="120" w:type="dxa"/>
              <w:end w:w="120" w:type="dxa"/>
            </w:tcMar>
            <w:shd w:fill="F8F4EC" w:val="clear"/>
            <w:tcBorders>
              <w:top w:val="single" w:sz="8" w:space="0" w:color="4A7C8E"/>
              <w:start w:val="single" w:sz="4" w:space="0" w:color="F1EBDD"/>
              <w:bottom w:val="single" w:sz="4" w:space="0" w:color="F1EBDD"/>
              <w:end w:val="single" w:sz="4" w:space="0" w:color="F1EBDD"/>
            </w:tcBorders>
          </w:tcPr>
          <w:p>
            <w:pPr>
              <w:spacing w:before="0" w:after="0"/>
              <w:jc w:val="left"/>
            </w:pPr>
            <w:r>
              <w:rPr>
                <w:rFonts w:ascii="DejaVu Sans" w:hAnsi="DejaVu Sans"/>
              </w:rPr>
              <w:t>139</w:t>
            </w:r>
            <w:r>
              <w:rPr>
                <w:rFonts w:ascii="DejaVu Sans" w:hAnsi="DejaVu Sans"/>
                <w:b/>
                <w:i w:val="0"/>
                <w:color w:val="345A68"/>
                <w:sz w:val="35"/>
              </w:rPr>
            </w:r>
          </w:p>
          <w:p>
            <w:pPr>
              <w:spacing w:before="0" w:after="20"/>
            </w:pPr>
            <w:r>
              <w:rPr>
                <w:rFonts w:ascii="DejaVu Sans" w:hAnsi="DejaVu Sans"/>
                <w:b/>
                <w:i w:val="0"/>
                <w:color w:val="4A7C8E"/>
                <w:sz w:val="13"/>
              </w:rPr>
              <w:t>001A ATOMS / 45 MOLECULES</w:t>
            </w:r>
          </w:p>
          <w:p>
            <w:pPr>
              <w:spacing w:before="0" w:after="0" w:line="240" w:lineRule="auto"/>
            </w:pPr>
            <w:r>
              <w:rPr>
                <w:rFonts w:ascii="DejaVu Sans" w:hAnsi="DejaVu Sans"/>
                <w:b w:val="0"/>
                <w:i w:val="0"/>
                <w:color w:val="4A7C8E"/>
                <w:sz w:val="13"/>
              </w:rPr>
              <w:t>Enterprise Foundation semantic registry; distinct from the 16 scenario dimensions</w:t>
            </w:r>
          </w:p>
        </w:tc>
        <w:tc>
          <w:tcPr>
            <w:tcW w:type="dxa" w:w="3519"/>
            <w:tcMar>
              <w:top w:w="90" w:type="dxa"/>
              <w:bottom w:w="90" w:type="dxa"/>
              <w:start w:w="120" w:type="dxa"/>
              <w:end w:w="120" w:type="dxa"/>
            </w:tcMar>
            <w:shd w:fill="F8F4EC" w:val="clear"/>
            <w:tcBorders>
              <w:top w:val="single" w:sz="8" w:space="0" w:color="4A7C8E"/>
              <w:start w:val="single" w:sz="4" w:space="0" w:color="F1EBDD"/>
              <w:bottom w:val="single" w:sz="4" w:space="0" w:color="F1EBDD"/>
              <w:end w:val="single" w:sz="4" w:space="0" w:color="F1EBDD"/>
            </w:tcBorders>
          </w:tcPr>
          <w:p>
            <w:pPr>
              <w:spacing w:before="0" w:after="0"/>
              <w:jc w:val="left"/>
            </w:pPr>
            <w:r>
              <w:rPr>
                <w:rFonts w:ascii="DejaVu Sans" w:hAnsi="DejaVu Sans"/>
              </w:rPr>
            </w:r>
            <w:r>
              <w:rPr>
                <w:rFonts w:ascii="DejaVu Sans" w:hAnsi="DejaVu Sans"/>
                <w:b/>
                <w:i w:val="0"/>
                <w:color w:val="345A68"/>
                <w:sz w:val="35"/>
              </w:rPr>
              <w:t>150</w:t>
            </w:r>
          </w:p>
          <w:p>
            <w:pPr>
              <w:spacing w:before="0" w:after="20"/>
            </w:pPr>
            <w:r>
              <w:rPr>
                <w:rFonts w:ascii="DejaVu Sans" w:hAnsi="DejaVu Sans"/>
                <w:b/>
                <w:i w:val="0"/>
                <w:color w:val="4A7C8E"/>
                <w:sz w:val="13"/>
              </w:rPr>
              <w:t>GOVERNED METRICS</w:t>
            </w:r>
          </w:p>
          <w:p>
            <w:pPr>
              <w:spacing w:before="0" w:after="0" w:line="240" w:lineRule="auto"/>
            </w:pPr>
            <w:r>
              <w:rPr>
                <w:rFonts w:ascii="DejaVu Sans" w:hAnsi="DejaVu Sans"/>
                <w:b w:val="0"/>
                <w:i w:val="0"/>
                <w:color w:val="4A7C8E"/>
                <w:sz w:val="13"/>
              </w:rPr>
              <w:t>10 implemented/core definitions plus a 140-metric roadmap</w:t>
            </w:r>
          </w:p>
        </w:tc>
        <w:tc>
          <w:tcPr>
            <w:tcW w:type="dxa" w:w="3518"/>
            <w:tcMar>
              <w:top w:w="90" w:type="dxa"/>
              <w:bottom w:w="90" w:type="dxa"/>
              <w:start w:w="120" w:type="dxa"/>
              <w:end w:w="120" w:type="dxa"/>
            </w:tcMar>
            <w:shd w:fill="F8F4EC" w:val="clear"/>
            <w:tcBorders>
              <w:top w:val="single" w:sz="8" w:space="0" w:color="4A7C8E"/>
              <w:start w:val="single" w:sz="4" w:space="0" w:color="F1EBDD"/>
              <w:bottom w:val="single" w:sz="4" w:space="0" w:color="F1EBDD"/>
              <w:end w:val="single" w:sz="4" w:space="0" w:color="F1EBDD"/>
            </w:tcBorders>
          </w:tcPr>
          <w:p>
            <w:pPr>
              <w:spacing w:before="0" w:after="0"/>
              <w:jc w:val="left"/>
            </w:pPr>
            <w:r>
              <w:rPr>
                <w:rFonts w:ascii="DejaVu Sans" w:hAnsi="DejaVu Sans"/>
              </w:rPr>
            </w:r>
            <w:r>
              <w:rPr>
                <w:rFonts w:ascii="DejaVu Sans" w:hAnsi="DejaVu Sans"/>
                <w:b/>
                <w:i w:val="0"/>
                <w:color w:val="345A68"/>
                <w:sz w:val="35"/>
              </w:rPr>
              <w:t>4</w:t>
            </w:r>
          </w:p>
          <w:p>
            <w:pPr>
              <w:spacing w:before="0" w:after="20"/>
            </w:pPr>
            <w:r>
              <w:rPr>
                <w:rFonts w:ascii="DejaVu Sans" w:hAnsi="DejaVu Sans"/>
                <w:b/>
                <w:i w:val="0"/>
                <w:color w:val="4A7C8E"/>
                <w:sz w:val="13"/>
              </w:rPr>
              <w:t>RECONCILIATIONS</w:t>
            </w:r>
          </w:p>
          <w:p>
            <w:pPr>
              <w:spacing w:before="0" w:after="0" w:line="240" w:lineRule="auto"/>
            </w:pPr>
            <w:r>
              <w:rPr>
                <w:rFonts w:ascii="DejaVu Sans" w:hAnsi="DejaVu Sans"/>
                <w:b w:val="0"/>
                <w:i w:val="0"/>
                <w:color w:val="4A7C8E"/>
                <w:sz w:val="13"/>
              </w:rPr>
              <w:t>Revenue→GL • Invoice→AR • Payment→Cash • Debt rollforward</w:t>
            </w:r>
          </w:p>
        </w:tc>
      </w:tr>
    </w:tbl>
    <w:p>
      <w:pPr>
        <w:keepNext w:val="0"/>
        <w:spacing w:before="0" w:after="0" w:line="259" w:lineRule="auto"/>
        <w:jc w:val="left"/>
      </w:pPr>
      <w:r>
        <w:rPr>
          <w:rFonts w:ascii="DejaVu Sans" w:hAnsi="DejaVu Sans"/>
        </w:rPr>
        <w:drawing>
          <wp:inline xmlns:a="http://schemas.openxmlformats.org/drawingml/2006/main" xmlns:pic="http://schemas.openxmlformats.org/drawingml/2006/picture">
            <wp:extent cx="6537960" cy="1653194"/>
            <wp:docPr id="1" name="Picture 1" title="Salt Basin scenario repository logical model" descr="Illustrative five-stage crystal model from governed scenario configuration and source event through rods, transactions, controls, metrics, and explainable user interfaces."/>
            <wp:cNvGraphicFramePr>
              <a:graphicFrameLocks noChangeAspect="1"/>
            </wp:cNvGraphicFramePr>
            <a:graphic>
              <a:graphicData uri="http://schemas.openxmlformats.org/drawingml/2006/picture">
                <pic:pic>
                  <pic:nvPicPr>
                    <pic:cNvPr id="0" name="salt_basin_repository_model.png"/>
                    <pic:cNvPicPr/>
                  </pic:nvPicPr>
                  <pic:blipFill>
                    <a:blip r:embed="rId10"/>
                    <a:stretch>
                      <a:fillRect/>
                    </a:stretch>
                  </pic:blipFill>
                  <pic:spPr>
                    <a:xfrm>
                      <a:off x="0" y="0"/>
                      <a:ext cx="6537960" cy="1653194"/>
                    </a:xfrm>
                    <a:prstGeom prst="rect"/>
                  </pic:spPr>
                </pic:pic>
              </a:graphicData>
            </a:graphic>
          </wp:inline>
        </w:drawing>
      </w:r>
    </w:p>
    <w:tbl>
      <w:tblPr>
        <w:tblW w:type="dxa" w:w="10556"/>
        <w:jc w:val="left"/>
        <w:tblLayout w:type="fixed"/>
        <w:tblLook w:firstColumn="1" w:firstRow="1" w:lastColumn="0" w:lastRow="0" w:noHBand="0" w:noVBand="1" w:val="04A0"/>
        <w:tblInd w:type="dxa" w:w="120"/>
      </w:tblPr>
      <w:tblGrid>
        <w:gridCol w:w="10556"/>
      </w:tblGrid>
      <w:tr>
        <w:trPr/>
        <w:tc>
          <w:tcPr>
            <w:tcW w:type="dxa" w:w="10556"/>
            <w:shd w:fill="0F1B2D" w:val="clear"/>
            <w:tcBorders>
              <w:start w:val="single" w:sz="16" w:space="0" w:color="C4843A"/>
            </w:tcBorders>
            <w:tcMar>
              <w:top w:w="75" w:type="dxa"/>
              <w:bottom w:w="75" w:type="dxa"/>
              <w:start w:w="120" w:type="dxa"/>
              <w:end w:w="120" w:type="dxa"/>
            </w:tcMar>
          </w:tcPr>
          <w:p>
            <w:pPr>
              <w:spacing w:before="0" w:after="0"/>
            </w:pPr>
            <w:r>
              <w:rPr>
                <w:rFonts w:ascii="DejaVu Sans" w:hAnsi="DejaVu Sans"/>
              </w:rPr>
            </w:r>
            <w:r>
              <w:rPr>
                <w:rFonts w:ascii="DejaVu Sans" w:hAnsi="DejaVu Sans"/>
                <w:b/>
                <w:i w:val="0"/>
                <w:color w:val="C4843A"/>
                <w:sz w:val="14"/>
              </w:rPr>
              <w:t xml:space="preserve">REPOSITORY PROMISE  </w:t>
            </w:r>
            <w:r>
              <w:rPr>
                <w:rFonts w:ascii="DejaVu Sans" w:hAnsi="DejaVu Sans"/>
                <w:b/>
                <w:i w:val="0"/>
                <w:color w:val="FFFFFF"/>
                <w:sz w:val="16"/>
              </w:rPr>
              <w:t>Event-first • transaction-grounded • reconciled • versioned • agent-secured • temporally reproducible • explainable upstream and downstream.</w:t>
            </w:r>
          </w:p>
        </w:tc>
      </w:tr>
    </w:tbl>
    <w:p>
      <w:pPr>
        <w:keepNext w:val="0"/>
        <w:spacing w:before="40" w:after="0" w:line="240" w:lineRule="auto"/>
        <w:jc w:val="left"/>
      </w:pPr>
      <w:r>
        <w:rPr>
          <w:rFonts w:ascii="DejaVu Sans" w:hAnsi="DejaVu Sans"/>
          <w:b/>
          <w:i w:val="0"/>
          <w:color w:val="C4843A"/>
          <w:sz w:val="13"/>
        </w:rPr>
        <w:t>SOURCE NOTE  Salt_Basin_2400_Scenario_Repository.xlsx, Salt_Basin_Workbook_001A_Enterprise_Foundation_v4.xlsx, and the SBHOS metadata definition workbook; repository counts reflect the source files reviewed for this portfolio.</w:t>
      </w:r>
      <w:r>
        <w:rPr>
          <w:rFonts w:ascii="DejaVu Sans" w:hAnsi="DejaVu Sans"/>
          <w:b w:val="0"/>
          <w:i w:val="0"/>
          <w:color w:val="6D7785"/>
          <w:sz w:val="13"/>
        </w:rPr>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02</w:t>
      </w:r>
    </w:p>
    <w:p>
      <w:pPr>
        <w:keepNext/>
        <w:spacing w:before="20" w:after="40" w:line="240" w:lineRule="auto"/>
        <w:jc w:val="left"/>
      </w:pPr>
      <w:r>
        <w:rPr>
          <w:rFonts w:ascii="DejaVu Serif" w:hAnsi="DejaVu Serif"/>
          <w:b/>
          <w:i w:val="0"/>
          <w:color w:val="345A68"/>
          <w:sz w:val="30"/>
        </w:rPr>
        <w:t>Operational Scenario &amp; Metadata Variant Reference</w:t>
      </w:r>
    </w:p>
    <w:p>
      <w:pPr>
        <w:keepNext w:val="0"/>
        <w:spacing w:before="0" w:after="100" w:line="259" w:lineRule="auto"/>
        <w:jc w:val="left"/>
      </w:pPr>
      <w:r>
        <w:rPr>
          <w:rFonts w:ascii="DejaVu Sans" w:hAnsi="DejaVu Sans"/>
          <w:b w:val="0"/>
          <w:i w:val="0"/>
          <w:color w:val="4A7C8E"/>
          <w:sz w:val="17"/>
        </w:rPr>
        <w:t>The repository balances commercial-event coverage while preserving the exact dimensions that make each scenario materially different in execution, accounting, evidence, security, and downstream reporting.</w:t>
      </w:r>
    </w:p>
    <w:tbl>
      <w:tblPr>
        <w:tblW w:type="dxa" w:w="10556"/>
        <w:jc w:val="left"/>
        <w:tblLayout w:type="fixed"/>
        <w:tblLook w:firstColumn="1" w:firstRow="1" w:lastColumn="0" w:lastRow="0" w:noHBand="0" w:noVBand="1" w:val="04A0"/>
        <w:tblInd w:type="dxa" w:w="80"/>
      </w:tblPr>
      <w:tblGrid>
        <w:gridCol w:w="5436"/>
        <w:gridCol w:w="5120"/>
      </w:tblGrid>
      <w:tr>
        <w:trPr/>
        <w:tc>
          <w:tcPr>
            <w:tcW w:type="dxa" w:w="5436"/>
            <w:tcMar>
              <w:top w:w="20" w:type="dxa"/>
              <w:bottom w:w="20" w:type="dxa"/>
              <w:start w:w="80" w:type="dxa"/>
              <w:end w:w="80" w:type="dxa"/>
            </w:tcMar>
            <w:tcBorders>
              <w:top w:val="nil" w:sz="0" w:space="0" w:color="F1EBDD"/>
              <w:start w:val="nil" w:sz="0" w:space="0" w:color="F1EBDD"/>
              <w:bottom w:val="nil" w:sz="0" w:space="0" w:color="F1EBDD"/>
              <w:end w:val="nil" w:sz="0" w:space="0" w:color="F1EBDD"/>
            </w:tcBorders>
          </w:tcPr>
          <w:p>
            <w:pPr>
              <w:spacing w:before="0" w:after="0"/>
            </w:pPr>
            <w:r>
              <w:rPr>
                <w:rFonts w:ascii="DejaVu Sans" w:hAnsi="DejaVu Sans"/>
              </w:rPr>
            </w:r>
            <w:r>
              <w:rPr>
                <w:rFonts w:ascii="DejaVu Sans" w:hAnsi="DejaVu Sans"/>
              </w:rPr>
              <w:drawing>
                <wp:inline xmlns:a="http://schemas.openxmlformats.org/drawingml/2006/main" xmlns:pic="http://schemas.openxmlformats.org/drawingml/2006/picture">
                  <wp:extent cx="3273552" cy="2262646"/>
                  <wp:docPr id="2" name="Picture 2" title="Scenario coverage by commercial event" descr="Horizontal bar chart of 2,400 scenarios: New Sale 241, Ramp Step 222, Renewal 227, Expansion 239, Contraction 218, Churn 262, Modification 259, Credit 232, Refund 244, and Reactivation 256."/>
                  <wp:cNvGraphicFramePr>
                    <a:graphicFrameLocks noChangeAspect="1"/>
                  </wp:cNvGraphicFramePr>
                  <a:graphic>
                    <a:graphicData uri="http://schemas.openxmlformats.org/drawingml/2006/picture">
                      <pic:pic>
                        <pic:nvPicPr>
                          <pic:cNvPr id="0" name="salt_basin_event_coverage.png"/>
                          <pic:cNvPicPr/>
                        </pic:nvPicPr>
                        <pic:blipFill>
                          <a:blip r:embed="rId11"/>
                          <a:stretch>
                            <a:fillRect/>
                          </a:stretch>
                        </pic:blipFill>
                        <pic:spPr>
                          <a:xfrm>
                            <a:off x="0" y="0"/>
                            <a:ext cx="3273552" cy="2262646"/>
                          </a:xfrm>
                          <a:prstGeom prst="rect"/>
                        </pic:spPr>
                      </pic:pic>
                    </a:graphicData>
                  </a:graphic>
                </wp:inline>
              </w:drawing>
            </w:r>
          </w:p>
        </w:tc>
        <w:tc>
          <w:tcPr>
            <w:tcW w:type="dxa" w:w="5120"/>
            <w:tcMar>
              <w:top w:w="20" w:type="dxa"/>
              <w:bottom w:w="20" w:type="dxa"/>
              <w:start w:w="80" w:type="dxa"/>
              <w:end w:w="80" w:type="dxa"/>
            </w:tcMar>
            <w:tcBorders>
              <w:top w:val="nil" w:sz="0" w:space="0" w:color="F1EBDD"/>
              <w:start w:val="nil" w:sz="0" w:space="0" w:color="F1EBDD"/>
              <w:bottom w:val="nil" w:sz="0" w:space="0" w:color="F1EBDD"/>
              <w:end w:val="nil" w:sz="0" w:space="0" w:color="F1EBDD"/>
            </w:tcBorders>
          </w:tcPr>
          <w:p/>
          <w:p>
            <w:pPr>
              <w:keepNext/>
              <w:spacing w:before="20" w:after="40" w:line="259" w:lineRule="auto"/>
              <w:jc w:val="left"/>
            </w:pPr>
            <w:r>
              <w:rPr>
                <w:rFonts w:ascii="DejaVu Sans" w:hAnsi="DejaVu Sans"/>
                <w:b/>
                <w:i w:val="0"/>
                <w:color w:val="C4843A"/>
                <w:sz w:val="14"/>
              </w:rPr>
              <w:t>CANONICAL VARIANT DOMAINS</w:t>
            </w:r>
          </w:p>
          <w:tbl>
            <w:tblPr>
              <w:tblW w:type="dxa" w:w="4860"/>
              <w:tblLayout w:type="fixed"/>
              <w:tblLook w:firstColumn="1" w:firstRow="1" w:lastColumn="0" w:lastRow="0" w:noHBand="0" w:noVBand="1" w:val="04A0"/>
              <w:jc w:val="left"/>
              <w:tblInd w:type="dxa" w:w="80"/>
            </w:tblPr>
            <w:tblGrid>
              <w:gridCol w:w="1652"/>
              <w:gridCol w:w="3208"/>
            </w:tblGrid>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Customer</w:t>
                  </w:r>
                </w:p>
              </w:tc>
              <w:tc>
                <w:tcPr>
                  <w:tcW w:type="dxa" w:w="3208"/>
                  <w:tcMar>
                    <w:top w:w="62" w:type="dxa"/>
                    <w:bottom w:w="62"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Segment 4 • State 3</w:t>
                  </w:r>
                </w:p>
              </w:tc>
            </w:tr>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Commercial</w:t>
                  </w:r>
                </w:p>
              </w:tc>
              <w:tc>
                <w:tcPr>
                  <w:tcW w:type="dxa" w:w="3208"/>
                  <w:tcMar>
                    <w:top w:w="62" w:type="dxa"/>
                    <w:bottom w:w="62"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Product 5 • Pricing 7 • Term 5 • Event 10</w:t>
                  </w:r>
                </w:p>
              </w:tc>
            </w:tr>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Billing &amp; pay</w:t>
                  </w:r>
                </w:p>
              </w:tc>
              <w:tc>
                <w:tcPr>
                  <w:tcW w:type="dxa" w:w="3208"/>
                  <w:tcMar>
                    <w:top w:w="62" w:type="dxa"/>
                    <w:bottom w:w="62"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Cadence 5 • Timing 4 • Method 5</w:t>
                  </w:r>
                </w:p>
              </w:tc>
            </w:tr>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Usage &amp; revenue</w:t>
                  </w:r>
                </w:p>
              </w:tc>
              <w:tc>
                <w:tcPr>
                  <w:tcW w:type="dxa" w:w="3208"/>
                  <w:tcMar>
                    <w:top w:w="62" w:type="dxa"/>
                    <w:bottom w:w="62"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Usage state 6 • Revenue pattern 5</w:t>
                  </w:r>
                </w:p>
              </w:tc>
            </w:tr>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Financial state</w:t>
                  </w:r>
                </w:p>
              </w:tc>
              <w:tc>
                <w:tcPr>
                  <w:tcW w:type="dxa" w:w="3208"/>
                  <w:tcMar>
                    <w:top w:w="62" w:type="dxa"/>
                    <w:bottom w:w="62"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Invoice 6 • Payment 6 • Debt 5</w:t>
                  </w:r>
                </w:p>
              </w:tc>
            </w:tr>
            <w:tr>
              <w:trPr>
                <w:trHeight w:hRule="atLeast"/>
              </w:trPr>
              <w:tc>
                <w:tcPr>
                  <w:tcW w:type="dxa" w:w="1652"/>
                  <w:tcMar>
                    <w:top w:w="62" w:type="dxa"/>
                    <w:bottom w:w="62" w:type="dxa"/>
                    <w:start w:w="80" w:type="dxa"/>
                    <w:end w:w="80" w:type="dxa"/>
                  </w:tcMar>
                  <w:vAlign w:val="center"/>
                  <w:shd w:fill="345A68" w:val="clear"/>
                  <w:tcBorders>
                    <w:bottom w:val="single" w:sz="4" w:space="0" w:color="F1EBDD"/>
                  </w:tcBorders>
                </w:tcPr>
                <w:p>
                  <w:pPr>
                    <w:spacing w:before="0" w:after="0" w:line="247" w:lineRule="auto"/>
                  </w:pPr>
                  <w:r>
                    <w:rPr>
                      <w:rFonts w:ascii="DejaVu Sans" w:hAnsi="DejaVu Sans"/>
                      <w:b/>
                      <w:i w:val="0"/>
                      <w:color w:val="FFFFFF"/>
                      <w:sz w:val="14"/>
                    </w:rPr>
                    <w:t>Evidence &amp; access</w:t>
                  </w:r>
                </w:p>
              </w:tc>
              <w:tc>
                <w:tcPr>
                  <w:tcW w:type="dxa" w:w="3208"/>
                  <w:tcMar>
                    <w:top w:w="62" w:type="dxa"/>
                    <w:bottom w:w="62"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Source system 10 • Security slice 7</w:t>
                  </w:r>
                </w:p>
              </w:tc>
            </w:tr>
          </w:tbl>
          <w:p/>
          <w:p>
            <w:pPr>
              <w:keepNext w:val="0"/>
              <w:spacing w:before="60" w:after="0" w:line="247" w:lineRule="auto"/>
              <w:jc w:val="left"/>
            </w:pPr>
            <w:r>
              <w:rPr>
                <w:rFonts w:ascii="DejaVu Sans" w:hAnsi="DejaVu Sans"/>
                <w:b w:val="0"/>
                <w:i/>
                <w:color w:val="6D7785"/>
                <w:sz w:val="13"/>
              </w:rPr>
              <w:t>All 16 dimensions are populated across all 2,400 scenario rows; values remain queryable as canonical atoms rather than an opaque metadata blob.</w:t>
            </w:r>
          </w:p>
        </w:tc>
      </w:tr>
    </w:tbl>
    <w:p>
      <w:pPr>
        <w:keepNext/>
        <w:spacing w:before="20" w:after="20" w:line="259" w:lineRule="auto"/>
        <w:jc w:val="left"/>
      </w:pPr>
      <w:r>
        <w:rPr>
          <w:rFonts w:ascii="DejaVu Sans" w:hAnsi="DejaVu Sans"/>
          <w:b/>
          <w:i w:val="0"/>
          <w:color w:val="C4843A"/>
          <w:sz w:val="14"/>
        </w:rPr>
        <w:t>ILLUSTRATIVE GOVERNED SCENARIO PATH</w:t>
      </w:r>
    </w:p>
    <w:p>
      <w:pPr>
        <w:keepNext w:val="0"/>
        <w:spacing w:before="0" w:after="60" w:line="252" w:lineRule="auto"/>
        <w:jc w:val="left"/>
      </w:pPr>
      <w:r>
        <w:rPr>
          <w:rFonts w:ascii="DejaVu Sans" w:hAnsi="DejaVu Sans"/>
          <w:b/>
          <w:i w:val="0"/>
          <w:color w:val="345A68"/>
          <w:sz w:val="20"/>
        </w:rPr>
        <w:t xml:space="preserve">SB-SCN-0005  </w:t>
      </w:r>
      <w:r>
        <w:rPr>
          <w:rFonts w:ascii="DejaVu Sans" w:hAnsi="DejaVu Sans"/>
          <w:b/>
          <w:i w:val="0"/>
          <w:color w:val="2B2A28"/>
          <w:sz w:val="20"/>
        </w:rPr>
        <w:t>Enterprise Subscription / Block Pricing / Modification</w:t>
      </w:r>
      <w:r>
        <w:rPr>
          <w:rFonts w:ascii="DejaVu Sans" w:hAnsi="DejaVu Sans"/>
          <w:b w:val="0"/>
          <w:i/>
          <w:color w:val="C4843A"/>
          <w:sz w:val="14"/>
        </w:rPr>
        <w:t xml:space="preserve">   •   Actual configured repository row; presentation below is illustrative.</w:t>
      </w:r>
    </w:p>
    <w:tbl>
      <w:tblPr>
        <w:tblW w:type="dxa" w:w="10556"/>
        <w:tblLayout w:type="fixed"/>
        <w:tblLook w:firstColumn="1" w:firstRow="1" w:lastColumn="0" w:lastRow="0" w:noHBand="0" w:noVBand="1" w:val="04A0"/>
        <w:jc w:val="left"/>
        <w:tblInd w:type="dxa" w:w="90"/>
      </w:tblPr>
      <w:tblGrid>
        <w:gridCol w:w="1689"/>
        <w:gridCol w:w="3589"/>
        <w:gridCol w:w="1583"/>
        <w:gridCol w:w="3695"/>
      </w:tblGrid>
      <w:tr>
        <w:trPr>
          <w:trHeight w:hRule="atLeast"/>
        </w:trPr>
        <w:tc>
          <w:tcPr>
            <w:tcW w:type="dxa" w:w="1689"/>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CONTEXT</w:t>
            </w:r>
          </w:p>
        </w:tc>
        <w:tc>
          <w:tcPr>
            <w:tcW w:type="dxa" w:w="3589"/>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Enterprise • Existing Customer</w:t>
            </w:r>
          </w:p>
        </w:tc>
        <w:tc>
          <w:tcPr>
            <w:tcW w:type="dxa" w:w="1583"/>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ECONOMICS</w:t>
            </w:r>
          </w:p>
        </w:tc>
        <w:tc>
          <w:tcPr>
            <w:tcW w:type="dxa" w:w="3695"/>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Subscription • Block • Evergreen • In Arrears</w:t>
            </w:r>
          </w:p>
        </w:tc>
      </w:tr>
      <w:tr>
        <w:trPr>
          <w:trHeight w:hRule="atLeast"/>
        </w:trPr>
        <w:tc>
          <w:tcPr>
            <w:tcW w:type="dxa" w:w="1689"/>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EVENT ROOT</w:t>
            </w:r>
          </w:p>
        </w:tc>
        <w:tc>
          <w:tcPr>
            <w:tcW w:type="dxa" w:w="3589"/>
            <w:tcMar>
              <w:top w:w="62" w:type="dxa"/>
              <w:bottom w:w="62"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CONTRACT_MODIFIED</w:t>
            </w:r>
          </w:p>
        </w:tc>
        <w:tc>
          <w:tcPr>
            <w:tcW w:type="dxa" w:w="1583"/>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L3 PATH</w:t>
            </w:r>
          </w:p>
        </w:tc>
        <w:tc>
          <w:tcPr>
            <w:tcW w:type="dxa" w:w="3695"/>
            <w:tcMar>
              <w:top w:w="62" w:type="dxa"/>
              <w:bottom w:w="62"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Existing Customer → Modification → Paid → Settled → Point-in-Time</w:t>
            </w:r>
          </w:p>
        </w:tc>
      </w:tr>
      <w:tr>
        <w:trPr>
          <w:trHeight w:hRule="atLeast"/>
        </w:trPr>
        <w:tc>
          <w:tcPr>
            <w:tcW w:type="dxa" w:w="1689"/>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PARALLEL RODS</w:t>
            </w:r>
          </w:p>
        </w:tc>
        <w:tc>
          <w:tcPr>
            <w:tcW w:type="dxa" w:w="3589"/>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Revenue Lifecycle • Customer Channel • Member Journey</w:t>
            </w:r>
          </w:p>
        </w:tc>
        <w:tc>
          <w:tcPr>
            <w:tcW w:type="dxa" w:w="1583"/>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BRANCH</w:t>
            </w:r>
          </w:p>
        </w:tc>
        <w:tc>
          <w:tcPr>
            <w:tcW w:type="dxa" w:w="3695"/>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Existing-Customer Branch Rod with preserved merge lineage</w:t>
            </w:r>
          </w:p>
        </w:tc>
      </w:tr>
      <w:tr>
        <w:trPr>
          <w:trHeight w:hRule="atLeast"/>
        </w:trPr>
        <w:tc>
          <w:tcPr>
            <w:tcW w:type="dxa" w:w="1689"/>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GENERATED TRUTH</w:t>
            </w:r>
          </w:p>
        </w:tc>
        <w:tc>
          <w:tcPr>
            <w:tcW w:type="dxa" w:w="3589"/>
            <w:tcMar>
              <w:top w:w="62" w:type="dxa"/>
              <w:bottom w:w="62"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Contract/line/subscription → usage → invoice/AR → revenue schedule/subledger → GL → payment/cash → debt</w:t>
            </w:r>
          </w:p>
        </w:tc>
        <w:tc>
          <w:tcPr>
            <w:tcW w:type="dxa" w:w="1583"/>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CONTROLS</w:t>
            </w:r>
          </w:p>
        </w:tc>
        <w:tc>
          <w:tcPr>
            <w:tcW w:type="dxa" w:w="3695"/>
            <w:tcMar>
              <w:top w:w="62" w:type="dxa"/>
              <w:bottom w:w="62"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Revenue→GL • Invoice→AR • Payment→Cash • Debt rollforward</w:t>
            </w:r>
          </w:p>
        </w:tc>
      </w:tr>
      <w:tr>
        <w:trPr>
          <w:trHeight w:hRule="atLeast"/>
        </w:trPr>
        <w:tc>
          <w:tcPr>
            <w:tcW w:type="dxa" w:w="1689"/>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GOVERNANCE</w:t>
            </w:r>
          </w:p>
        </w:tc>
        <w:tc>
          <w:tcPr>
            <w:tcW w:type="dxa" w:w="3589"/>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Effective dates + stage history + cache freshness + next review</w:t>
            </w:r>
          </w:p>
        </w:tc>
        <w:tc>
          <w:tcPr>
            <w:tcW w:type="dxa" w:w="1583"/>
            <w:tcMar>
              <w:top w:w="62" w:type="dxa"/>
              <w:bottom w:w="62" w:type="dxa"/>
              <w:start w:w="90" w:type="dxa"/>
              <w:end w:w="90"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AGENT POLICY</w:t>
            </w:r>
          </w:p>
        </w:tc>
        <w:tc>
          <w:tcPr>
            <w:tcW w:type="dxa" w:w="3695"/>
            <w:tcMar>
              <w:top w:w="62" w:type="dxa"/>
              <w:bottom w:w="62"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Bank source scope • Org Admin exposure • propose/stage/commit</w:t>
            </w:r>
          </w:p>
        </w:tc>
      </w:tr>
    </w:tbl>
    <w:p>
      <w:pPr>
        <w:keepNext/>
        <w:spacing w:before="80" w:after="40" w:line="240" w:lineRule="auto"/>
        <w:jc w:val="left"/>
      </w:pPr>
      <w:r>
        <w:rPr>
          <w:rFonts w:ascii="DejaVu Sans" w:hAnsi="DejaVu Sans"/>
          <w:b/>
          <w:i w:val="0"/>
          <w:color w:val="345A68"/>
          <w:sz w:val="21"/>
        </w:rPr>
        <w:t>What a scenario row governs</w:t>
      </w:r>
    </w:p>
    <w:tbl>
      <w:tblPr>
        <w:tblW w:type="dxa" w:w="10556"/>
        <w:tblLayout w:type="fixed"/>
        <w:tblLook w:firstColumn="1" w:firstRow="1" w:lastColumn="0" w:lastRow="0" w:noHBand="0" w:noVBand="1" w:val="04A0"/>
        <w:jc w:val="left"/>
        <w:tblInd w:type="dxa" w:w="90"/>
      </w:tblPr>
      <w:tblGrid>
        <w:gridCol w:w="1689"/>
        <w:gridCol w:w="3589"/>
        <w:gridCol w:w="1689"/>
        <w:gridCol w:w="3589"/>
      </w:tblGrid>
      <w:tr>
        <w:trPr>
          <w:trHeight w:hRule="atLeast"/>
        </w:trPr>
        <w:tc>
          <w:tcPr>
            <w:tcW w:type="dxa" w:w="1689"/>
            <w:tcMar>
              <w:top w:w="60" w:type="dxa"/>
              <w:bottom w:w="60" w:type="dxa"/>
              <w:start w:w="90" w:type="dxa"/>
              <w:end w:w="90" w:type="dxa"/>
            </w:tcMar>
            <w:vAlign w:val="center"/>
            <w:shd w:fill="4A7C8E" w:val="clear"/>
            <w:tcBorders>
              <w:bottom w:val="single" w:sz="4" w:space="0" w:color="F1EBDD"/>
            </w:tcBorders>
          </w:tcPr>
          <w:p>
            <w:pPr>
              <w:spacing w:before="0" w:after="0" w:line="247" w:lineRule="auto"/>
            </w:pPr>
            <w:r>
              <w:rPr>
                <w:rFonts w:ascii="DejaVu Sans" w:hAnsi="DejaVu Sans"/>
                <w:b/>
                <w:i w:val="0"/>
                <w:color w:val="FFFFFF"/>
                <w:sz w:val="13"/>
              </w:rPr>
              <w:t>L1 / L2 / L3</w:t>
            </w:r>
          </w:p>
        </w:tc>
        <w:tc>
          <w:tcPr>
            <w:tcW w:type="dxa" w:w="3589"/>
            <w:tcMar>
              <w:top w:w="60" w:type="dxa"/>
              <w:bottom w:w="60"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Journey, variant dimensions, and end-to-end path</w:t>
            </w:r>
          </w:p>
        </w:tc>
        <w:tc>
          <w:tcPr>
            <w:tcW w:type="dxa" w:w="1689"/>
            <w:tcMar>
              <w:top w:w="60" w:type="dxa"/>
              <w:bottom w:w="60" w:type="dxa"/>
              <w:start w:w="90" w:type="dxa"/>
              <w:end w:w="90" w:type="dxa"/>
            </w:tcMar>
            <w:vAlign w:val="center"/>
            <w:shd w:fill="4A7C8E" w:val="clear"/>
            <w:tcBorders>
              <w:bottom w:val="single" w:sz="4" w:space="0" w:color="F1EBDD"/>
            </w:tcBorders>
          </w:tcPr>
          <w:p>
            <w:pPr>
              <w:spacing w:before="0" w:after="0" w:line="247" w:lineRule="auto"/>
            </w:pPr>
            <w:r>
              <w:rPr>
                <w:rFonts w:ascii="DejaVu Sans" w:hAnsi="DejaVu Sans"/>
                <w:b/>
                <w:i w:val="0"/>
                <w:color w:val="FFFFFF"/>
                <w:sz w:val="13"/>
              </w:rPr>
              <w:t>Atoms → molecules</w:t>
            </w:r>
          </w:p>
        </w:tc>
        <w:tc>
          <w:tcPr>
            <w:tcW w:type="dxa" w:w="3589"/>
            <w:tcMar>
              <w:top w:w="60" w:type="dxa"/>
              <w:bottom w:w="60" w:type="dxa"/>
              <w:start w:w="90" w:type="dxa"/>
              <w:end w:w="9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Bounded definitions with evidence, validation, time, confidence, and path color</w:t>
            </w:r>
          </w:p>
        </w:tc>
      </w:tr>
      <w:tr>
        <w:trPr>
          <w:trHeight w:hRule="atLeast"/>
        </w:trPr>
        <w:tc>
          <w:tcPr>
            <w:tcW w:type="dxa" w:w="1689"/>
            <w:tcMar>
              <w:top w:w="60" w:type="dxa"/>
              <w:bottom w:w="60" w:type="dxa"/>
              <w:start w:w="90" w:type="dxa"/>
              <w:end w:w="90" w:type="dxa"/>
            </w:tcMar>
            <w:vAlign w:val="center"/>
            <w:shd w:fill="4A7C8E" w:val="clear"/>
            <w:tcBorders>
              <w:bottom w:val="single" w:sz="4" w:space="0" w:color="F1EBDD"/>
            </w:tcBorders>
          </w:tcPr>
          <w:p>
            <w:pPr>
              <w:spacing w:before="0" w:after="0" w:line="247" w:lineRule="auto"/>
            </w:pPr>
            <w:r>
              <w:rPr>
                <w:rFonts w:ascii="DejaVu Sans" w:hAnsi="DejaVu Sans"/>
                <w:b/>
                <w:i w:val="0"/>
                <w:color w:val="FFFFFF"/>
                <w:sz w:val="13"/>
              </w:rPr>
              <w:t>Transactions → controls</w:t>
            </w:r>
          </w:p>
        </w:tc>
        <w:tc>
          <w:tcPr>
            <w:tcW w:type="dxa" w:w="3589"/>
            <w:tcMar>
              <w:top w:w="60" w:type="dxa"/>
              <w:bottom w:w="60"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Declared entities only; retain source_event_id and generation-rule version</w:t>
            </w:r>
          </w:p>
        </w:tc>
        <w:tc>
          <w:tcPr>
            <w:tcW w:type="dxa" w:w="1689"/>
            <w:tcMar>
              <w:top w:w="60" w:type="dxa"/>
              <w:bottom w:w="60" w:type="dxa"/>
              <w:start w:w="90" w:type="dxa"/>
              <w:end w:w="90" w:type="dxa"/>
            </w:tcMar>
            <w:vAlign w:val="center"/>
            <w:shd w:fill="4A7C8E" w:val="clear"/>
            <w:tcBorders>
              <w:bottom w:val="single" w:sz="4" w:space="0" w:color="F1EBDD"/>
            </w:tcBorders>
          </w:tcPr>
          <w:p>
            <w:pPr>
              <w:spacing w:before="0" w:after="0" w:line="247" w:lineRule="auto"/>
            </w:pPr>
            <w:r>
              <w:rPr>
                <w:rFonts w:ascii="DejaVu Sans" w:hAnsi="DejaVu Sans"/>
                <w:b/>
                <w:i w:val="0"/>
                <w:color w:val="FFFFFF"/>
                <w:sz w:val="13"/>
              </w:rPr>
              <w:t>Metrics → UI</w:t>
            </w:r>
          </w:p>
        </w:tc>
        <w:tc>
          <w:tcPr>
            <w:tcW w:type="dxa" w:w="3589"/>
            <w:tcMar>
              <w:top w:w="60" w:type="dxa"/>
              <w:bottom w:w="60" w:type="dxa"/>
              <w:start w:w="90" w:type="dxa"/>
              <w:end w:w="9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Dependency invalidation, recalculation, prior lineage, Customer Trace, Contract Lineage, Why Changed?</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Commercial-event counts and dimension cardinalities come directly from the Scenario Repository and Coverage Dashboard sheets; the SB-SCN-0005 path is drawn from its configured row.</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03</w:t>
      </w:r>
    </w:p>
    <w:p>
      <w:pPr>
        <w:keepNext/>
        <w:spacing w:before="20" w:after="40" w:line="240" w:lineRule="auto"/>
        <w:jc w:val="left"/>
      </w:pPr>
      <w:r>
        <w:rPr>
          <w:rFonts w:ascii="DejaVu Serif" w:hAnsi="DejaVu Serif"/>
          <w:b/>
          <w:i w:val="0"/>
          <w:color w:val="345A68"/>
          <w:sz w:val="30"/>
        </w:rPr>
        <w:t>Implementation Approach &amp; Rollout Roadmap</w:t>
      </w:r>
    </w:p>
    <w:p>
      <w:pPr>
        <w:keepNext w:val="0"/>
        <w:spacing w:before="0" w:after="100" w:line="259" w:lineRule="auto"/>
        <w:jc w:val="left"/>
      </w:pPr>
      <w:r>
        <w:rPr>
          <w:rFonts w:ascii="DejaVu Sans" w:hAnsi="DejaVu Sans"/>
          <w:b w:val="0"/>
          <w:i w:val="0"/>
          <w:color w:val="4A7C8E"/>
          <w:sz w:val="17"/>
        </w:rPr>
        <w:t>Implement the repository as governed configuration plus deterministic proof—not as 2,400 bespoke workflows. Vertical slices should begin with a source event and end only when financial truth, metrics, lineage, security, and user explanation agree.</w:t>
      </w:r>
    </w:p>
    <w:p>
      <w:pPr>
        <w:keepNext/>
        <w:spacing w:before="20" w:after="40" w:line="259" w:lineRule="auto"/>
        <w:jc w:val="left"/>
      </w:pPr>
      <w:r>
        <w:rPr>
          <w:rFonts w:ascii="DejaVu Sans" w:hAnsi="DejaVu Sans"/>
          <w:b/>
          <w:i w:val="0"/>
          <w:color w:val="C4843A"/>
          <w:sz w:val="14"/>
        </w:rPr>
        <w:t>REPEATABLE IMPLEMENTATION LOOP</w:t>
      </w:r>
    </w:p>
    <w:tbl>
      <w:tblPr>
        <w:tblW w:type="dxa" w:w="10556"/>
        <w:jc w:val="left"/>
        <w:tblLayout w:type="fixed"/>
        <w:tblLook w:firstColumn="1" w:firstRow="1" w:lastColumn="0" w:lastRow="0" w:noHBand="0" w:noVBand="1" w:val="04A0"/>
        <w:tblInd w:type="dxa" w:w="105"/>
      </w:tblPr>
      <w:tblGrid>
        <w:gridCol w:w="3519"/>
        <w:gridCol w:w="3519"/>
        <w:gridCol w:w="3518"/>
      </w:tblGrid>
      <w:tr>
        <w:trPr/>
        <w:tc>
          <w:tcPr>
            <w:tcW w:type="dxa" w:w="3519"/>
            <w:tcMar>
              <w:top w:w="80" w:type="dxa"/>
              <w:bottom w:w="80" w:type="dxa"/>
              <w:start w:w="105" w:type="dxa"/>
              <w:end w:w="105" w:type="dxa"/>
            </w:tcMar>
            <w:shd w:fill="F8F4EC" w:val="clear"/>
            <w:tcBorders>
              <w:top w:val="single" w:sz="9"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01</w:t>
            </w:r>
            <w:r>
              <w:rPr>
                <w:rFonts w:ascii="DejaVu Sans" w:hAnsi="DejaVu Sans"/>
                <w:b/>
                <w:i w:val="0"/>
                <w:color w:val="345A68"/>
                <w:sz w:val="14"/>
              </w:rPr>
              <w:t xml:space="preserve">  LOAD CANONICAL</w:t>
            </w:r>
          </w:p>
          <w:p>
            <w:pPr>
              <w:spacing w:before="20" w:after="0" w:line="240" w:lineRule="auto"/>
            </w:pPr>
            <w:r>
              <w:rPr>
                <w:rFonts w:ascii="DejaVu Sans" w:hAnsi="DejaVu Sans"/>
                <w:b w:val="0"/>
                <w:i w:val="0"/>
                <w:color w:val="4A7C8E"/>
                <w:sz w:val="13"/>
              </w:rPr>
              <w:t>Dimension dictionary • atom/molecule map • event map • controls • metric registry</w:t>
            </w:r>
          </w:p>
        </w:tc>
        <w:tc>
          <w:tcPr>
            <w:tcW w:type="dxa" w:w="3519"/>
            <w:tcMar>
              <w:top w:w="80" w:type="dxa"/>
              <w:bottom w:w="80" w:type="dxa"/>
              <w:start w:w="105" w:type="dxa"/>
              <w:end w:w="105" w:type="dxa"/>
            </w:tcMar>
            <w:shd w:fill="F8F4EC" w:val="clear"/>
            <w:tcBorders>
              <w:top w:val="single" w:sz="9"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02</w:t>
            </w:r>
            <w:r>
              <w:rPr>
                <w:rFonts w:ascii="DejaVu Sans" w:hAnsi="DejaVu Sans"/>
                <w:b/>
                <w:i w:val="0"/>
                <w:color w:val="345A68"/>
                <w:sz w:val="14"/>
              </w:rPr>
              <w:t xml:space="preserve">  SELECT + SEED</w:t>
            </w:r>
          </w:p>
          <w:p>
            <w:pPr>
              <w:spacing w:before="20" w:after="0" w:line="240" w:lineRule="auto"/>
            </w:pPr>
            <w:r>
              <w:rPr>
                <w:rFonts w:ascii="DejaVu Sans" w:hAnsi="DejaVu Sans"/>
                <w:b w:val="0"/>
                <w:i w:val="0"/>
                <w:color w:val="4A7C8E"/>
                <w:sz w:val="13"/>
              </w:rPr>
              <w:t>Choose Scenario_IDs by feature slice; combine stable ID with Fixture_Seed_Key</w:t>
            </w:r>
          </w:p>
        </w:tc>
        <w:tc>
          <w:tcPr>
            <w:tcW w:type="dxa" w:w="3518"/>
            <w:tcMar>
              <w:top w:w="80" w:type="dxa"/>
              <w:bottom w:w="80" w:type="dxa"/>
              <w:start w:w="105" w:type="dxa"/>
              <w:end w:w="105" w:type="dxa"/>
            </w:tcMar>
            <w:shd w:fill="F8F4EC" w:val="clear"/>
            <w:tcBorders>
              <w:top w:val="single" w:sz="9"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03</w:t>
            </w:r>
            <w:r>
              <w:rPr>
                <w:rFonts w:ascii="DejaVu Sans" w:hAnsi="DejaVu Sans"/>
                <w:b/>
                <w:i w:val="0"/>
                <w:color w:val="345A68"/>
                <w:sz w:val="14"/>
              </w:rPr>
              <w:t xml:space="preserve">  EMIT EVENT FIRST</w:t>
            </w:r>
          </w:p>
          <w:p>
            <w:pPr>
              <w:spacing w:before="20" w:after="0" w:line="240" w:lineRule="auto"/>
            </w:pPr>
            <w:r>
              <w:rPr>
                <w:rFonts w:ascii="DejaVu Sans" w:hAnsi="DejaVu Sans"/>
                <w:b w:val="0"/>
                <w:i w:val="0"/>
                <w:color w:val="4A7C8E"/>
                <w:sz w:val="13"/>
              </w:rPr>
              <w:t>Create source event, materialize atoms, assign molecules, rods, branches, and agent scope</w:t>
            </w:r>
          </w:p>
        </w:tc>
      </w:tr>
      <w:tr>
        <w:trPr/>
        <w:tc>
          <w:tcPr>
            <w:tcW w:type="dxa" w:w="3519"/>
            <w:tcMar>
              <w:top w:w="80" w:type="dxa"/>
              <w:bottom w:w="80" w:type="dxa"/>
              <w:start w:w="105" w:type="dxa"/>
              <w:end w:w="105" w:type="dxa"/>
            </w:tcMar>
            <w:shd w:fill="F8F4EC" w:val="clear"/>
            <w:tcBorders>
              <w:top w:val="single" w:sz="9"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04</w:t>
            </w:r>
            <w:r>
              <w:rPr>
                <w:rFonts w:ascii="DejaVu Sans" w:hAnsi="DejaVu Sans"/>
                <w:b/>
                <w:i w:val="0"/>
                <w:color w:val="345A68"/>
                <w:sz w:val="14"/>
              </w:rPr>
              <w:t xml:space="preserve">  GENERATE TRUTH</w:t>
            </w:r>
          </w:p>
          <w:p>
            <w:pPr>
              <w:spacing w:before="20" w:after="0" w:line="240" w:lineRule="auto"/>
            </w:pPr>
            <w:r>
              <w:rPr>
                <w:rFonts w:ascii="DejaVu Sans" w:hAnsi="DejaVu Sans"/>
                <w:b w:val="0"/>
                <w:i w:val="0"/>
                <w:color w:val="4A7C8E"/>
                <w:sz w:val="13"/>
              </w:rPr>
              <w:t>Create only declared entities/transactions; retain source event and rule version</w:t>
            </w:r>
          </w:p>
        </w:tc>
        <w:tc>
          <w:tcPr>
            <w:tcW w:type="dxa" w:w="3519"/>
            <w:tcMar>
              <w:top w:w="80" w:type="dxa"/>
              <w:bottom w:w="80" w:type="dxa"/>
              <w:start w:w="105" w:type="dxa"/>
              <w:end w:w="105" w:type="dxa"/>
            </w:tcMar>
            <w:shd w:fill="F8F4EC" w:val="clear"/>
            <w:tcBorders>
              <w:top w:val="single" w:sz="9"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05</w:t>
            </w:r>
            <w:r>
              <w:rPr>
                <w:rFonts w:ascii="DejaVu Sans" w:hAnsi="DejaVu Sans"/>
                <w:b/>
                <w:i w:val="0"/>
                <w:color w:val="345A68"/>
                <w:sz w:val="14"/>
              </w:rPr>
              <w:t xml:space="preserve">  CONTROL + EXPLAIN</w:t>
            </w:r>
          </w:p>
          <w:p>
            <w:pPr>
              <w:spacing w:before="20" w:after="0" w:line="240" w:lineRule="auto"/>
            </w:pPr>
            <w:r>
              <w:rPr>
                <w:rFonts w:ascii="DejaVu Sans" w:hAnsi="DejaVu Sans"/>
                <w:b w:val="0"/>
                <w:i w:val="0"/>
                <w:color w:val="4A7C8E"/>
                <w:sz w:val="13"/>
              </w:rPr>
              <w:t>Reconcile, calculate, invalidate downstream nodes, recalculate, and render trace UI</w:t>
            </w:r>
          </w:p>
        </w:tc>
        <w:tc>
          <w:tcPr>
            <w:tcW w:type="dxa" w:w="3518"/>
            <w:tcMar>
              <w:top w:w="80" w:type="dxa"/>
              <w:bottom w:w="80" w:type="dxa"/>
              <w:start w:w="105" w:type="dxa"/>
              <w:end w:w="105" w:type="dxa"/>
            </w:tcMar>
            <w:shd w:fill="F8F4EC" w:val="clear"/>
            <w:tcBorders>
              <w:top w:val="single" w:sz="9"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C4843A"/>
                <w:sz w:val="24"/>
              </w:rPr>
              <w:t>06</w:t>
            </w:r>
            <w:r>
              <w:rPr>
                <w:rFonts w:ascii="DejaVu Sans" w:hAnsi="DejaVu Sans"/>
                <w:b/>
                <w:i w:val="0"/>
                <w:color w:val="345A68"/>
                <w:sz w:val="14"/>
              </w:rPr>
              <w:t xml:space="preserve">  REGRESSION GATE</w:t>
            </w:r>
          </w:p>
          <w:p>
            <w:pPr>
              <w:spacing w:before="20" w:after="0" w:line="240" w:lineRule="auto"/>
            </w:pPr>
            <w:r>
              <w:rPr>
                <w:rFonts w:ascii="DejaVu Sans" w:hAnsi="DejaVu Sans"/>
                <w:b w:val="0"/>
                <w:i w:val="0"/>
                <w:color w:val="4A7C8E"/>
                <w:sz w:val="13"/>
              </w:rPr>
              <w:t>Pass state, controls, metrics, exceptions, time, lineage, propagation, and security</w:t>
            </w:r>
          </w:p>
        </w:tc>
      </w:tr>
    </w:tbl>
    <w:p>
      <w:pPr>
        <w:keepNext/>
        <w:spacing w:before="20" w:after="40" w:line="259" w:lineRule="auto"/>
        <w:jc w:val="left"/>
      </w:pPr>
      <w:r>
        <w:rPr>
          <w:rFonts w:ascii="DejaVu Sans" w:hAnsi="DejaVu Sans"/>
          <w:b/>
          <w:i w:val="0"/>
          <w:color w:val="C4843A"/>
          <w:sz w:val="14"/>
        </w:rPr>
        <w:t>PHASE-BASED ROLLOUT</w:t>
      </w:r>
    </w:p>
    <w:tbl>
      <w:tblPr>
        <w:tblW w:type="dxa" w:w="10556"/>
        <w:tblLayout w:type="fixed"/>
        <w:tblLook w:firstColumn="1" w:firstRow="1" w:lastColumn="0" w:lastRow="0" w:noHBand="0" w:noVBand="1" w:val="04A0"/>
        <w:jc w:val="left"/>
        <w:tblInd w:type="dxa" w:w="82"/>
      </w:tblPr>
      <w:tblGrid>
        <w:gridCol w:w="1583"/>
        <w:gridCol w:w="1900"/>
        <w:gridCol w:w="4011"/>
        <w:gridCol w:w="3062"/>
      </w:tblGrid>
      <w:tr>
        <w:trPr>
          <w:trHeight w:hRule="atLeast"/>
          <w:tblHeader w:val="true"/>
        </w:trPr>
        <w:tc>
          <w:tcPr>
            <w:tcW w:type="dxa" w:w="1583"/>
            <w:tcMar>
              <w:top w:w="60" w:type="dxa"/>
              <w:bottom w:w="60" w:type="dxa"/>
              <w:start w:w="82" w:type="dxa"/>
              <w:end w:w="82"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PHASE</w:t>
            </w:r>
          </w:p>
        </w:tc>
        <w:tc>
          <w:tcPr>
            <w:tcW w:type="dxa" w:w="1900"/>
            <w:tcMar>
              <w:top w:w="60" w:type="dxa"/>
              <w:bottom w:w="60" w:type="dxa"/>
              <w:start w:w="82" w:type="dxa"/>
              <w:end w:w="82"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SCOPE</w:t>
            </w:r>
          </w:p>
        </w:tc>
        <w:tc>
          <w:tcPr>
            <w:tcW w:type="dxa" w:w="4011"/>
            <w:tcMar>
              <w:top w:w="60" w:type="dxa"/>
              <w:bottom w:w="60" w:type="dxa"/>
              <w:start w:w="82" w:type="dxa"/>
              <w:end w:w="82"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BUILD / PROOF</w:t>
            </w:r>
          </w:p>
        </w:tc>
        <w:tc>
          <w:tcPr>
            <w:tcW w:type="dxa" w:w="3062"/>
            <w:tcMar>
              <w:top w:w="60" w:type="dxa"/>
              <w:bottom w:w="60" w:type="dxa"/>
              <w:start w:w="82" w:type="dxa"/>
              <w:end w:w="82"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EXIT GATE</w:t>
            </w:r>
          </w:p>
        </w:tc>
      </w:tr>
      <w:tr>
        <w:trPr>
          <w:trHeight w:hRule="atLeast"/>
        </w:trPr>
        <w:tc>
          <w:tcPr>
            <w:tcW w:type="dxa" w:w="1583"/>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i w:val="0"/>
                <w:color w:val="345A68"/>
                <w:sz w:val="14"/>
              </w:rPr>
              <w:t>0 • Foundation</w:t>
            </w:r>
          </w:p>
        </w:tc>
        <w:tc>
          <w:tcPr>
            <w:tcW w:type="dxa" w:w="1900"/>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Canonical model</w:t>
            </w:r>
          </w:p>
        </w:tc>
        <w:tc>
          <w:tcPr>
            <w:tcW w:type="dxa" w:w="4011"/>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16 dimensions • 93 values • 16 atom paths • 12 molecules • event/control/metric maps</w:t>
            </w:r>
          </w:p>
        </w:tc>
        <w:tc>
          <w:tcPr>
            <w:tcW w:type="dxa" w:w="3062"/>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Stable codes load; crosswalk validates; no opaque metadata</w:t>
            </w:r>
          </w:p>
        </w:tc>
      </w:tr>
      <w:tr>
        <w:trPr>
          <w:trHeight w:hRule="atLeast"/>
        </w:trPr>
        <w:tc>
          <w:tcPr>
            <w:tcW w:type="dxa" w:w="1583"/>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i w:val="0"/>
                <w:color w:val="345A68"/>
                <w:sz w:val="14"/>
              </w:rPr>
              <w:t>1 • Core</w:t>
            </w:r>
          </w:p>
        </w:tc>
        <w:tc>
          <w:tcPr>
            <w:tcW w:type="dxa" w:w="1900"/>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240 Core scenarios</w:t>
            </w:r>
          </w:p>
        </w:tc>
        <w:tc>
          <w:tcPr>
            <w:tcW w:type="dxa" w:w="4011"/>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All 10 event families; deterministic fixtures; first 10 metrics; four reconciliations</w:t>
            </w:r>
          </w:p>
        </w:tc>
        <w:tc>
          <w:tcPr>
            <w:tcW w:type="dxa" w:w="3062"/>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Expected states and zero/explained control variance reproduce</w:t>
            </w:r>
          </w:p>
        </w:tc>
      </w:tr>
      <w:tr>
        <w:trPr>
          <w:trHeight w:hRule="atLeast"/>
        </w:trPr>
        <w:tc>
          <w:tcPr>
            <w:tcW w:type="dxa" w:w="1583"/>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i w:val="0"/>
                <w:color w:val="345A68"/>
                <w:sz w:val="14"/>
              </w:rPr>
              <w:t>2 • Extended</w:t>
            </w:r>
          </w:p>
        </w:tc>
        <w:tc>
          <w:tcPr>
            <w:tcW w:type="dxa" w:w="1900"/>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960 Extended scenarios</w:t>
            </w:r>
          </w:p>
        </w:tc>
        <w:tc>
          <w:tcPr>
            <w:tcW w:type="dxa" w:w="4011"/>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Broaden systems, security slices, branches, timing/status exceptions, and UI traces</w:t>
            </w:r>
          </w:p>
        </w:tc>
        <w:tc>
          <w:tcPr>
            <w:tcW w:type="dxa" w:w="3062"/>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Branch/merge, temporal history, exceptions, and explanation pass</w:t>
            </w:r>
          </w:p>
        </w:tc>
      </w:tr>
      <w:tr>
        <w:trPr>
          <w:trHeight w:hRule="atLeast"/>
        </w:trPr>
        <w:tc>
          <w:tcPr>
            <w:tcW w:type="dxa" w:w="1583"/>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i w:val="0"/>
                <w:color w:val="345A68"/>
                <w:sz w:val="14"/>
              </w:rPr>
              <w:t>3 • Edge</w:t>
            </w:r>
          </w:p>
        </w:tc>
        <w:tc>
          <w:tcPr>
            <w:tcW w:type="dxa" w:w="1900"/>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1,200 Edge scenarios</w:t>
            </w:r>
          </w:p>
        </w:tc>
        <w:tc>
          <w:tcPr>
            <w:tcW w:type="dxa" w:w="4011"/>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Stress corrections, restatements, propagation, distributed permissions, and performance</w:t>
            </w:r>
          </w:p>
        </w:tc>
        <w:tc>
          <w:tcPr>
            <w:tcW w:type="dxa" w:w="3062"/>
            <w:tcMar>
              <w:top w:w="60" w:type="dxa"/>
              <w:bottom w:w="60" w:type="dxa"/>
              <w:start w:w="82" w:type="dxa"/>
              <w:end w:w="82"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Recalculation is bounded, secure, reproducible, and regression-safe</w:t>
            </w:r>
          </w:p>
        </w:tc>
      </w:tr>
      <w:tr>
        <w:trPr>
          <w:trHeight w:hRule="atLeast"/>
        </w:trPr>
        <w:tc>
          <w:tcPr>
            <w:tcW w:type="dxa" w:w="1583"/>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i w:val="0"/>
                <w:color w:val="345A68"/>
                <w:sz w:val="14"/>
              </w:rPr>
              <w:t>4 • Operate + expand</w:t>
            </w:r>
          </w:p>
        </w:tc>
        <w:tc>
          <w:tcPr>
            <w:tcW w:type="dxa" w:w="1900"/>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Versioned releases</w:t>
            </w:r>
          </w:p>
        </w:tc>
        <w:tc>
          <w:tcPr>
            <w:tcW w:type="dxa" w:w="4011"/>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Scale from 10 to 150 metrics; publish coverage/gap register; add codes and IDs without mutation</w:t>
            </w:r>
          </w:p>
        </w:tc>
        <w:tc>
          <w:tcPr>
            <w:tcW w:type="dxa" w:w="3062"/>
            <w:tcMar>
              <w:top w:w="60" w:type="dxa"/>
              <w:bottom w:w="60" w:type="dxa"/>
              <w:start w:w="82" w:type="dxa"/>
              <w:end w:w="82"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Release evidence is reviewable; prior scenarios remain reproducible</w:t>
            </w:r>
          </w:p>
        </w:tc>
      </w:tr>
    </w:tbl>
    <w:p>
      <w:pPr>
        <w:keepNext/>
        <w:spacing w:before="20" w:after="40" w:line="259" w:lineRule="auto"/>
        <w:jc w:val="left"/>
      </w:pPr>
      <w:r>
        <w:rPr>
          <w:rFonts w:ascii="DejaVu Sans" w:hAnsi="DejaVu Sans"/>
          <w:b/>
          <w:i w:val="0"/>
          <w:color w:val="C4843A"/>
          <w:sz w:val="14"/>
        </w:rPr>
        <w:t>EXPANSION CONTRACT</w:t>
      </w:r>
    </w:p>
    <w:tbl>
      <w:tblPr>
        <w:tblW w:type="dxa" w:w="10556"/>
        <w:tblLayout w:type="fixed"/>
        <w:tblLook w:firstColumn="1" w:firstRow="1" w:lastColumn="0" w:lastRow="0" w:noHBand="0" w:noVBand="1" w:val="04A0"/>
        <w:jc w:val="left"/>
        <w:tblInd w:type="dxa" w:w="84"/>
      </w:tblPr>
      <w:tblGrid>
        <w:gridCol w:w="1689"/>
        <w:gridCol w:w="3589"/>
        <w:gridCol w:w="1689"/>
        <w:gridCol w:w="3589"/>
      </w:tblGrid>
      <w:tr>
        <w:trPr>
          <w:trHeight w:hRule="atLeast"/>
        </w:trPr>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ID IMMUTABILITY</w:t>
            </w:r>
          </w:p>
        </w:tc>
        <w:tc>
          <w:tcPr>
            <w:tcW w:type="dxa" w:w="3589"/>
            <w:tcMar>
              <w:top w:w="55" w:type="dxa"/>
              <w:bottom w:w="55" w:type="dxa"/>
              <w:start w:w="84" w:type="dxa"/>
              <w:end w:w="84"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Never change the historical meaning of a Scenario_ID; add a new ID for a new meaning.</w:t>
            </w:r>
          </w:p>
        </w:tc>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DEFINITION FIRST</w:t>
            </w:r>
          </w:p>
        </w:tc>
        <w:tc>
          <w:tcPr>
            <w:tcW w:type="dxa" w:w="3589"/>
            <w:tcMar>
              <w:top w:w="55" w:type="dxa"/>
              <w:bottom w:w="55" w:type="dxa"/>
              <w:start w:w="84" w:type="dxa"/>
              <w:end w:w="84"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Add canonical value code, atom path, molecule, evidence rule, and validation before scenario proliferation.</w:t>
            </w:r>
          </w:p>
        </w:tc>
      </w:tr>
      <w:tr>
        <w:trPr>
          <w:trHeight w:hRule="atLeast"/>
        </w:trPr>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EXPECTED PROOF</w:t>
            </w:r>
          </w:p>
        </w:tc>
        <w:tc>
          <w:tcPr>
            <w:tcW w:type="dxa" w:w="3589"/>
            <w:tcMar>
              <w:top w:w="55" w:type="dxa"/>
              <w:bottom w:w="55" w:type="dxa"/>
              <w:start w:w="84" w:type="dxa"/>
              <w:end w:w="84"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Declare event, entities, transactions, controls, metric dependencies, propagation targets, and exception class.</w:t>
            </w:r>
          </w:p>
        </w:tc>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FULL GOVERNANCE</w:t>
            </w:r>
          </w:p>
        </w:tc>
        <w:tc>
          <w:tcPr>
            <w:tcW w:type="dxa" w:w="3589"/>
            <w:tcMar>
              <w:top w:w="55" w:type="dxa"/>
              <w:bottom w:w="55" w:type="dxa"/>
              <w:start w:w="84" w:type="dxa"/>
              <w:end w:w="84"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Carry created/effective/updated/stage/cache/review time plus agent and user entitlement behavior.</w:t>
            </w:r>
          </w:p>
        </w:tc>
      </w:tr>
      <w:tr>
        <w:trPr>
          <w:trHeight w:hRule="atLeast"/>
        </w:trPr>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EXPANDABLE PORTFOLIO</w:t>
            </w:r>
          </w:p>
        </w:tc>
        <w:tc>
          <w:tcPr>
            <w:tcW w:type="dxa" w:w="3589"/>
            <w:tcMar>
              <w:top w:w="55" w:type="dxa"/>
              <w:bottom w:w="55" w:type="dxa"/>
              <w:start w:w="84" w:type="dxa"/>
              <w:end w:w="84"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Append family briefs, variant definitions, fixture packs, implementation evidence, and UI screenshots by release.</w:t>
            </w:r>
          </w:p>
        </w:tc>
        <w:tc>
          <w:tcPr>
            <w:tcW w:type="dxa" w:w="1689"/>
            <w:tcMar>
              <w:top w:w="55" w:type="dxa"/>
              <w:bottom w:w="55" w:type="dxa"/>
              <w:start w:w="84" w:type="dxa"/>
              <w:end w:w="84" w:type="dxa"/>
            </w:tcMar>
            <w:vAlign w:val="center"/>
            <w:shd w:fill="0F1B2D" w:val="clear"/>
            <w:tcBorders>
              <w:bottom w:val="single" w:sz="4" w:space="0" w:color="F1EBDD"/>
            </w:tcBorders>
          </w:tcPr>
          <w:p>
            <w:pPr>
              <w:spacing w:before="0" w:after="0" w:line="247" w:lineRule="auto"/>
            </w:pPr>
            <w:r>
              <w:rPr>
                <w:rFonts w:ascii="DejaVu Sans" w:hAnsi="DejaVu Sans"/>
                <w:b/>
                <w:i w:val="0"/>
                <w:color w:val="C4843A"/>
                <w:sz w:val="13"/>
              </w:rPr>
              <w:t>RELEASE RECORD</w:t>
            </w:r>
          </w:p>
        </w:tc>
        <w:tc>
          <w:tcPr>
            <w:tcW w:type="dxa" w:w="3589"/>
            <w:tcMar>
              <w:top w:w="55" w:type="dxa"/>
              <w:bottom w:w="55" w:type="dxa"/>
              <w:start w:w="84" w:type="dxa"/>
              <w:end w:w="84"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Maintain coverage counts, unresolved gaps, formula versions, pass/fail evidence, owners, and next review.</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5" w:type="dxa"/>
              <w:bottom w:w="65" w:type="dxa"/>
              <w:start w:w="105" w:type="dxa"/>
              <w:end w:w="105" w:type="dxa"/>
            </w:tcMar>
          </w:tcPr>
          <w:p>
            <w:pPr>
              <w:spacing w:before="0" w:after="0"/>
            </w:pPr>
            <w:r>
              <w:rPr>
                <w:rFonts w:ascii="DejaVu Sans" w:hAnsi="DejaVu Sans"/>
              </w:rPr>
            </w:r>
            <w:r>
              <w:rPr>
                <w:rFonts w:ascii="DejaVu Sans" w:hAnsi="DejaVu Sans"/>
                <w:b/>
                <w:i w:val="0"/>
                <w:color w:val="C4843A"/>
                <w:sz w:val="13"/>
              </w:rPr>
              <w:t xml:space="preserve">ROADMAP NOTE  </w:t>
            </w:r>
            <w:r>
              <w:rPr>
                <w:rFonts w:ascii="DejaVu Sans" w:hAnsi="DejaVu Sans"/>
                <w:b w:val="0"/>
                <w:i w:val="0"/>
                <w:color w:val="2B2A28"/>
                <w:sz w:val="14"/>
              </w:rPr>
              <w:t>Phases are deliberately outcome-gated rather than date-based. Owners, dates, budget, margin, and completion percentages should be managed in the Thesis / Tributary Ledger so this portfolio remains the durable reference layer.</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Implementation rules consolidate the repository’s Implementation Guide with the transaction-grounded portfolio and DataBasin bridge methodology. © 2026 Salt Basin Holdings. All rights reserved.</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04</w:t>
      </w:r>
    </w:p>
    <w:p>
      <w:pPr>
        <w:keepNext/>
        <w:spacing w:before="20" w:after="40" w:line="240" w:lineRule="auto"/>
        <w:jc w:val="left"/>
      </w:pPr>
      <w:r>
        <w:rPr>
          <w:rFonts w:ascii="DejaVu Serif" w:hAnsi="DejaVu Serif"/>
          <w:b/>
          <w:i w:val="0"/>
          <w:color w:val="345A68"/>
          <w:sz w:val="30"/>
        </w:rPr>
        <w:t>Portfolio Map &amp; Source Authority</w:t>
      </w:r>
    </w:p>
    <w:p>
      <w:pPr>
        <w:keepNext w:val="0"/>
        <w:spacing w:before="0" w:after="100" w:line="259" w:lineRule="auto"/>
        <w:jc w:val="left"/>
      </w:pPr>
      <w:r>
        <w:rPr>
          <w:rFonts w:ascii="DejaVu Sans" w:hAnsi="DejaVu Sans"/>
          <w:b w:val="0"/>
          <w:i w:val="0"/>
          <w:color w:val="4A7C8E"/>
          <w:sz w:val="17"/>
        </w:rPr>
        <w:t>This expanded edition turns the repository and its surrounding Salt Basin materials into one navigable operating reference. Authority is explicit: current canonical data governs; supporting frameworks explain how to implement it; precursor and visual artifacts supply context without silently redefining the model.</w:t>
      </w:r>
    </w:p>
    <w:p>
      <w:pPr>
        <w:keepNext/>
        <w:spacing w:before="20" w:after="40" w:line="259" w:lineRule="auto"/>
        <w:jc w:val="left"/>
      </w:pPr>
      <w:r>
        <w:rPr>
          <w:rFonts w:ascii="DejaVu Sans" w:hAnsi="DejaVu Sans"/>
          <w:b/>
          <w:i w:val="0"/>
          <w:color w:val="C4843A"/>
          <w:sz w:val="14"/>
        </w:rPr>
        <w:t>HOW TO USE THIS PORTFOLIO</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ORIENT</w:t>
            </w:r>
          </w:p>
          <w:p>
            <w:pPr>
              <w:spacing w:before="40" w:after="0" w:line="245" w:lineRule="auto"/>
            </w:pPr>
            <w:r>
              <w:rPr>
                <w:rFonts w:ascii="DejaVu Sans" w:hAnsi="DejaVu Sans"/>
                <w:b w:val="0"/>
                <w:i w:val="0"/>
                <w:color w:val="4A7C8E"/>
                <w:sz w:val="13"/>
              </w:rPr>
              <w:t>Begin with the operating model, repository profile, and L1/L2/L3 journey rules.</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DESIGN</w:t>
            </w:r>
          </w:p>
          <w:p>
            <w:pPr>
              <w:spacing w:before="40" w:after="0" w:line="245" w:lineRule="auto"/>
            </w:pPr>
            <w:r>
              <w:rPr>
                <w:rFonts w:ascii="DejaVu Sans" w:hAnsi="DejaVu Sans"/>
                <w:b w:val="0"/>
                <w:i w:val="0"/>
                <w:color w:val="4A7C8E"/>
                <w:sz w:val="13"/>
              </w:rPr>
              <w:t>Use the metadata, rod, branch, temporal, security, and transaction sections as the implementation contract.</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PROVE</w:t>
            </w:r>
          </w:p>
          <w:p>
            <w:pPr>
              <w:spacing w:before="40" w:after="0" w:line="245" w:lineRule="auto"/>
            </w:pPr>
            <w:r>
              <w:rPr>
                <w:rFonts w:ascii="DejaVu Sans" w:hAnsi="DejaVu Sans"/>
                <w:b w:val="0"/>
                <w:i w:val="0"/>
                <w:color w:val="4A7C8E"/>
                <w:sz w:val="13"/>
              </w:rPr>
              <w:t>Use reconciliations, metric dependencies, lineage, and evidence maturity as release gates.</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ROLL OUT</w:t>
            </w:r>
          </w:p>
          <w:p>
            <w:pPr>
              <w:spacing w:before="40" w:after="0" w:line="245" w:lineRule="auto"/>
            </w:pPr>
            <w:r>
              <w:rPr>
                <w:rFonts w:ascii="DejaVu Sans" w:hAnsi="DejaVu Sans"/>
                <w:b w:val="0"/>
                <w:i w:val="0"/>
                <w:color w:val="4A7C8E"/>
                <w:sz w:val="13"/>
              </w:rPr>
              <w:t>Sequence Foundation → Core → Extended → Edge → Operate using outcome-based gates.</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EXPAND</w:t>
            </w:r>
          </w:p>
          <w:p>
            <w:pPr>
              <w:spacing w:before="40" w:after="0" w:line="245" w:lineRule="auto"/>
            </w:pPr>
            <w:r>
              <w:rPr>
                <w:rFonts w:ascii="DejaVu Sans" w:hAnsi="DejaVu Sans"/>
                <w:b w:val="0"/>
                <w:i w:val="0"/>
                <w:color w:val="4A7C8E"/>
                <w:sz w:val="13"/>
              </w:rPr>
              <w:t>Copy the scenario-family brief and release-record templates; never mutate a historical Scenario_ID.</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TRACE</w:t>
            </w:r>
          </w:p>
          <w:p>
            <w:pPr>
              <w:spacing w:before="40" w:after="0" w:line="245" w:lineRule="auto"/>
            </w:pPr>
            <w:r>
              <w:rPr>
                <w:rFonts w:ascii="DejaVu Sans" w:hAnsi="DejaVu Sans"/>
                <w:b w:val="0"/>
                <w:i w:val="0"/>
                <w:color w:val="4A7C8E"/>
                <w:sz w:val="13"/>
              </w:rPr>
              <w:t>Use the full source estate appendix to locate governing, supporting, precursor, and visual artifacts.</w:t>
            </w:r>
          </w:p>
        </w:tc>
      </w:tr>
    </w:tbl>
    <w:p>
      <w:pPr>
        <w:keepNext/>
        <w:spacing w:before="20" w:after="40" w:line="259" w:lineRule="auto"/>
        <w:jc w:val="left"/>
      </w:pPr>
      <w:r>
        <w:rPr>
          <w:rFonts w:ascii="DejaVu Sans" w:hAnsi="DejaVu Sans"/>
          <w:b/>
          <w:i w:val="0"/>
          <w:color w:val="C4843A"/>
          <w:sz w:val="14"/>
        </w:rPr>
        <w:t>AUTHORITY HIERARCHY</w:t>
      </w:r>
    </w:p>
    <w:tbl>
      <w:tblPr>
        <w:tblW w:type="dxa" w:w="10556"/>
        <w:tblLayout w:type="fixed"/>
        <w:tblLook w:firstColumn="1" w:firstRow="1" w:lastColumn="0" w:lastRow="0" w:noHBand="0" w:noVBand="1" w:val="04A0"/>
        <w:jc w:val="left"/>
        <w:tblInd w:type="dxa" w:w="80"/>
      </w:tblPr>
      <w:tblGrid>
        <w:gridCol w:w="2322"/>
        <w:gridCol w:w="4117"/>
        <w:gridCol w:w="4117"/>
      </w:tblGrid>
      <w:tr>
        <w:trPr>
          <w:trHeight w:hRule="atLeast"/>
          <w:tblHeader w:val="true"/>
        </w:trPr>
        <w:tc>
          <w:tcPr>
            <w:tcW w:type="dxa" w:w="232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AUTHORITY</w:t>
            </w:r>
          </w:p>
        </w:tc>
        <w:tc>
          <w:tcPr>
            <w:tcW w:type="dxa" w:w="41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SOURCE ESTATE</w:t>
            </w:r>
          </w:p>
        </w:tc>
        <w:tc>
          <w:tcPr>
            <w:tcW w:type="dxa" w:w="41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USE</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T1 • Current / governing</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Repository, metadata definition, enterprise foundation, transaction model, DataBasin, EIDOS / Constitution / Ledger, design system</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current codes, counts, rules, controls, governance, and presentation.</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T2 • Supporting</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Mappings, annotated notes, evidence examples, research memos, current scenario-specific workbooks</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Adds implementation detail and worked evidence without overriding T1.</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T3 • Precursor / variant</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Earlier 2,400 and 10,000-scenario proliferations, duplicated versions, experimental workbooks</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Cross-checks coverage and evolution; not a silent source of truth.</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T3 • Reference</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Proposals, prototypes, experience documents, diagrams, and adjacent research</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Explains intent, user experience, and market framing; values remain illustrative.</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SOURCE ESTATE SCREEN  </w:t>
            </w:r>
            <w:r>
              <w:rPr>
                <w:rFonts w:ascii="DejaVu Sans" w:hAnsi="DejaVu Sans"/>
                <w:b w:val="0"/>
                <w:i w:val="0"/>
                <w:color w:val="2B2A28"/>
                <w:sz w:val="14"/>
              </w:rPr>
              <w:t>122 candidate Salt Basin artifacts were screened with broad, unrestricted query terms. Inclusion in the source register does not imply equal authority; contradictions resolve upward through the hierarchy above.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The complete artifact register appears in Appendix C. Every diagram and worked value in this portfolio is labeled illustrative or conceptual.</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05</w:t>
      </w:r>
    </w:p>
    <w:p>
      <w:pPr>
        <w:keepNext/>
        <w:spacing w:before="20" w:after="40" w:line="240" w:lineRule="auto"/>
        <w:jc w:val="left"/>
      </w:pPr>
      <w:r>
        <w:rPr>
          <w:rFonts w:ascii="DejaVu Serif" w:hAnsi="DejaVu Serif"/>
          <w:b/>
          <w:i w:val="0"/>
          <w:color w:val="345A68"/>
          <w:sz w:val="30"/>
        </w:rPr>
        <w:t>Canonical Operating Architecture</w:t>
      </w:r>
    </w:p>
    <w:p>
      <w:pPr>
        <w:keepNext w:val="0"/>
        <w:spacing w:before="0" w:after="100" w:line="259" w:lineRule="auto"/>
        <w:jc w:val="left"/>
      </w:pPr>
      <w:r>
        <w:rPr>
          <w:rFonts w:ascii="DejaVu Sans" w:hAnsi="DejaVu Sans"/>
          <w:b w:val="0"/>
          <w:i w:val="0"/>
          <w:color w:val="4A7C8E"/>
          <w:sz w:val="17"/>
        </w:rPr>
        <w:t>The repository is a governed configuration system. A scenario is complete only when commercial conditions, semantic meaning, lineage, generated truth, controls, metrics, temporal states, entitlements, and user explanation remain mutually consistent.</w:t>
      </w:r>
    </w:p>
    <w:p>
      <w:pPr>
        <w:jc w:val="center"/>
      </w:pPr>
      <w:r>
        <w:rPr>
          <w:rFonts w:ascii="DejaVu Sans" w:hAnsi="DejaVu Sans"/>
        </w:rPr>
        <w:drawing>
          <wp:inline xmlns:a="http://schemas.openxmlformats.org/drawingml/2006/main" xmlns:pic="http://schemas.openxmlformats.org/drawingml/2006/picture">
            <wp:extent cx="6537960" cy="1828413"/>
            <wp:docPr id="3" name="Picture 3" descr="Illustrative canonical scenario flow from source event through controls and metrics." title="Illustrative canonical scenario flow from source event through controls and metrics."/>
            <wp:cNvGraphicFramePr>
              <a:graphicFrameLocks noChangeAspect="1"/>
            </wp:cNvGraphicFramePr>
            <a:graphic>
              <a:graphicData uri="http://schemas.openxmlformats.org/drawingml/2006/picture">
                <pic:pic>
                  <pic:nvPicPr>
                    <pic:cNvPr id="0" name="expanded_canonical_scenario_chain.png"/>
                    <pic:cNvPicPr/>
                  </pic:nvPicPr>
                  <pic:blipFill>
                    <a:blip r:embed="rId12"/>
                    <a:stretch>
                      <a:fillRect/>
                    </a:stretch>
                  </pic:blipFill>
                  <pic:spPr>
                    <a:xfrm>
                      <a:off x="0" y="0"/>
                      <a:ext cx="6537960" cy="1828413"/>
                    </a:xfrm>
                    <a:prstGeom prst="rect"/>
                  </pic:spPr>
                </pic:pic>
              </a:graphicData>
            </a:graphic>
          </wp:inline>
        </w:drawing>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L1 JOURNEY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Channel or operating journey being experienced</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L2 VARIANT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Canonical dimension combination that changes execution</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L3 PATH</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End-to-end state path, including branch and merge behavior</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LINEAGE ROOT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Immutable source event and generation-rule version</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SEMANTIC UNIT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Atom definition rolled into molecules, clusters, rods, and orbit</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PROOF UNIT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Transaction records, reconciliations, metric results, UI trace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POLICY UNIT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Agent source/transform/memory/exposure/action envelope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TIME UNIT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Created, effective, updated, stage, cache, review, and as-of states</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4A7C8E"/>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4A7C8E"/>
                <w:sz w:val="14"/>
              </w:rPr>
              <w:t xml:space="preserve">CANONICAL SCENARIO UNIT  </w:t>
            </w:r>
            <w:r>
              <w:rPr>
                <w:rFonts w:ascii="DejaVu Sans" w:hAnsi="DejaVu Sans"/>
                <w:b w:val="0"/>
                <w:i w:val="0"/>
                <w:color w:val="2B2A28"/>
                <w:sz w:val="14"/>
              </w:rPr>
              <w:t>Source event + atom values + molecule groupings + journey/channel implications + generated transactions + controls + metric dependencies + propagation behavior.</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Operating architecture consolidates the 2,400-scenario repository, Enterprise Foundation v4, EIDOS, SBHOS metadata definitions, and transaction-grounded portfolio.</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06</w:t>
      </w:r>
    </w:p>
    <w:p>
      <w:pPr>
        <w:keepNext/>
        <w:spacing w:before="20" w:after="40" w:line="240" w:lineRule="auto"/>
        <w:jc w:val="left"/>
      </w:pPr>
      <w:r>
        <w:rPr>
          <w:rFonts w:ascii="DejaVu Serif" w:hAnsi="DejaVu Serif"/>
          <w:b/>
          <w:i w:val="0"/>
          <w:color w:val="345A68"/>
          <w:sz w:val="30"/>
        </w:rPr>
        <w:t>Scenario Record Anatomy</w:t>
      </w:r>
    </w:p>
    <w:p>
      <w:pPr>
        <w:keepNext w:val="0"/>
        <w:spacing w:before="0" w:after="100" w:line="259" w:lineRule="auto"/>
        <w:jc w:val="left"/>
      </w:pPr>
      <w:r>
        <w:rPr>
          <w:rFonts w:ascii="DejaVu Sans" w:hAnsi="DejaVu Sans"/>
          <w:b w:val="0"/>
          <w:i w:val="0"/>
          <w:color w:val="4A7C8E"/>
          <w:sz w:val="17"/>
        </w:rPr>
        <w:t>Each record is designed to be executable and testable. The minimum contract below can become the schema for configuration, fixture generation, regression evidence, and portfolio documentation.</w:t>
      </w:r>
    </w:p>
    <w:tbl>
      <w:tblPr>
        <w:tblW w:type="dxa" w:w="10556"/>
        <w:tblLayout w:type="fixed"/>
        <w:tblLook w:firstColumn="1" w:firstRow="1" w:lastColumn="0" w:lastRow="0" w:noHBand="0" w:noVBand="1" w:val="04A0"/>
        <w:jc w:val="left"/>
        <w:tblInd w:type="dxa" w:w="80"/>
      </w:tblPr>
      <w:tblGrid>
        <w:gridCol w:w="1900"/>
        <w:gridCol w:w="5489"/>
        <w:gridCol w:w="3167"/>
      </w:tblGrid>
      <w:tr>
        <w:trPr>
          <w:trHeight w:hRule="atLeast"/>
          <w:tblHeader w:val="true"/>
        </w:trPr>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RECORD LAYER</w:t>
            </w:r>
          </w:p>
        </w:tc>
        <w:tc>
          <w:tcPr>
            <w:tcW w:type="dxa" w:w="548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REQUIRED CONTENT</w:t>
            </w:r>
          </w:p>
        </w:tc>
        <w:tc>
          <w:tcPr>
            <w:tcW w:type="dxa" w:w="316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ACCEPTANCE RULE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Identity</w:t>
            </w:r>
          </w:p>
        </w:tc>
        <w:tc>
          <w:tcPr>
            <w:tcW w:type="dxa" w:w="54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Scenario_ID; title; coverage tier; lifecycle status; owner; release version</w:t>
            </w:r>
          </w:p>
        </w:tc>
        <w:tc>
          <w:tcPr>
            <w:tcW w:type="dxa" w:w="31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Stable ID never changes meaning.</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Variant configuration</w:t>
            </w:r>
          </w:p>
        </w:tc>
        <w:tc>
          <w:tcPr>
            <w:tcW w:type="dxa" w:w="54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16 canonical dimension codes; fixture seed; source system; security slice</w:t>
            </w:r>
          </w:p>
        </w:tc>
        <w:tc>
          <w:tcPr>
            <w:tcW w:type="dxa" w:w="31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No opaque metadata blob.</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Journey semantics</w:t>
            </w:r>
          </w:p>
        </w:tc>
        <w:tc>
          <w:tcPr>
            <w:tcW w:type="dxa" w:w="54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L1 channel; L2 scenario; L3 path; stage maturity; branch and merge points</w:t>
            </w:r>
          </w:p>
        </w:tc>
        <w:tc>
          <w:tcPr>
            <w:tcW w:type="dxa" w:w="31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Existing-customer history is preserved.</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Lineage root</w:t>
            </w:r>
          </w:p>
        </w:tc>
        <w:tc>
          <w:tcPr>
            <w:tcW w:type="dxa" w:w="54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source_event_id; event type; occurred/effective/ingested time; generation-rule version</w:t>
            </w:r>
          </w:p>
        </w:tc>
        <w:tc>
          <w:tcPr>
            <w:tcW w:type="dxa" w:w="31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Event is created first.</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Crystal model</w:t>
            </w:r>
          </w:p>
        </w:tc>
        <w:tc>
          <w:tcPr>
            <w:tcW w:type="dxa" w:w="54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Atoms; molecule membership; cluster/rod/orbit placement; evidence and validation</w:t>
            </w:r>
          </w:p>
        </w:tc>
        <w:tc>
          <w:tcPr>
            <w:tcW w:type="dxa" w:w="31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Definitions remain bounded and queryable.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Generated truth</w:t>
            </w:r>
          </w:p>
        </w:tc>
        <w:tc>
          <w:tcPr>
            <w:tcW w:type="dxa" w:w="54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Declared entities, commercial objects, invoices, AR, revenue, GL, cash, debt</w:t>
            </w:r>
          </w:p>
        </w:tc>
        <w:tc>
          <w:tcPr>
            <w:tcW w:type="dxa" w:w="31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Only scenario-declared records may be generated.</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Control proof</w:t>
            </w:r>
          </w:p>
        </w:tc>
        <w:tc>
          <w:tcPr>
            <w:tcW w:type="dxa" w:w="54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Control IDs; expected variance; exception classification; resolution evidence</w:t>
            </w:r>
          </w:p>
        </w:tc>
        <w:tc>
          <w:tcPr>
            <w:tcW w:type="dxa" w:w="31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Zero or fully explained variance.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Metrics and UI</w:t>
            </w:r>
          </w:p>
        </w:tc>
        <w:tc>
          <w:tcPr>
            <w:tcW w:type="dxa" w:w="54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Metric dependencies; invalidation and recalculation targets; prior/current lineage; explanation views</w:t>
            </w:r>
          </w:p>
        </w:tc>
        <w:tc>
          <w:tcPr>
            <w:tcW w:type="dxa" w:w="31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Why Changed? is reproducible.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Policy and time</w:t>
            </w:r>
          </w:p>
        </w:tc>
        <w:tc>
          <w:tcPr>
            <w:tcW w:type="dxa" w:w="54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Agent envelope; user entitlement; created/effective/stage/cache/review/as-of time</w:t>
            </w:r>
          </w:p>
        </w:tc>
        <w:tc>
          <w:tcPr>
            <w:tcW w:type="dxa" w:w="31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Security and temporal truth are first-class.</w:t>
            </w:r>
          </w:p>
        </w:tc>
      </w:tr>
    </w:tbl>
    <w:p>
      <w:pPr>
        <w:keepNext/>
        <w:spacing w:before="20" w:after="40" w:line="259" w:lineRule="auto"/>
        <w:jc w:val="left"/>
      </w:pPr>
      <w:r>
        <w:rPr>
          <w:rFonts w:ascii="DejaVu Sans" w:hAnsi="DejaVu Sans"/>
          <w:b/>
          <w:i w:val="0"/>
          <w:color w:val="C4843A"/>
          <w:sz w:val="14"/>
        </w:rPr>
        <w:t>FIXTURE IDENTITY</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SCENARIO KEY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Scenario_ID + Fixture_Seed_Key</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SOURCE KEY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source_event_id + generation_rule_version</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RESULT KEY</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entity_id / transaction_id / metric_run_id</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REPRODUCTION</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scenario version + as-of time + entitlement context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EXPANSION RULE  </w:t>
            </w:r>
            <w:r>
              <w:rPr>
                <w:rFonts w:ascii="DejaVu Sans" w:hAnsi="DejaVu Sans"/>
                <w:b w:val="0"/>
                <w:i w:val="0"/>
                <w:color w:val="2B2A28"/>
                <w:sz w:val="14"/>
              </w:rPr>
              <w:t>If meaning changes, add a new Scenario_ID. If implementation evolves without changing meaning, version the rule, expected result, and proof record.</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Record fields are a cohesive reference schema derived from the repository implementation guide and surrounding Salt Basin governance materials.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07</w:t>
      </w:r>
    </w:p>
    <w:p>
      <w:pPr>
        <w:keepNext/>
        <w:spacing w:before="20" w:after="40" w:line="240" w:lineRule="auto"/>
        <w:jc w:val="left"/>
      </w:pPr>
      <w:r>
        <w:rPr>
          <w:rFonts w:ascii="DejaVu Serif" w:hAnsi="DejaVu Serif"/>
          <w:b/>
          <w:i w:val="0"/>
          <w:color w:val="345A68"/>
          <w:sz w:val="30"/>
        </w:rPr>
        <w:t>Operational Scenario Coverage</w:t>
      </w:r>
    </w:p>
    <w:p>
      <w:pPr>
        <w:keepNext w:val="0"/>
        <w:spacing w:before="0" w:after="100" w:line="259" w:lineRule="auto"/>
        <w:jc w:val="left"/>
      </w:pPr>
      <w:r>
        <w:rPr>
          <w:rFonts w:ascii="DejaVu Sans" w:hAnsi="DejaVu Sans"/>
          <w:b w:val="0"/>
          <w:i w:val="0"/>
          <w:color w:val="4A7C8E"/>
          <w:sz w:val="17"/>
        </w:rPr>
        <w:t>The current canonical repository contains 2,400 unique configuration signatures. Coverage is intentionally distributed across ten commercial-event families and three implementation tiers.</w:t>
      </w:r>
    </w:p>
    <w:p>
      <w:pPr>
        <w:jc w:val="center"/>
      </w:pPr>
      <w:r>
        <w:rPr>
          <w:rFonts w:ascii="DejaVu Sans" w:hAnsi="DejaVu Sans"/>
        </w:rPr>
        <w:drawing>
          <wp:inline xmlns:a="http://schemas.openxmlformats.org/drawingml/2006/main" xmlns:pic="http://schemas.openxmlformats.org/drawingml/2006/picture">
            <wp:extent cx="6629400" cy="2368707"/>
            <wp:docPr id="4" name="Picture 4" descr="Bar charts of scenario counts by commercial event family and canonical value counts by dimension." title="Bar charts of scenario counts by commercial event family and canonical value counts by dimension."/>
            <wp:cNvGraphicFramePr>
              <a:graphicFrameLocks noChangeAspect="1"/>
            </wp:cNvGraphicFramePr>
            <a:graphic>
              <a:graphicData uri="http://schemas.openxmlformats.org/drawingml/2006/picture">
                <pic:pic>
                  <pic:nvPicPr>
                    <pic:cNvPr id="0" name="expanded_repository_profile.png"/>
                    <pic:cNvPicPr/>
                  </pic:nvPicPr>
                  <pic:blipFill>
                    <a:blip r:embed="rId13"/>
                    <a:stretch>
                      <a:fillRect/>
                    </a:stretch>
                  </pic:blipFill>
                  <pic:spPr>
                    <a:xfrm>
                      <a:off x="0" y="0"/>
                      <a:ext cx="6629400" cy="2368707"/>
                    </a:xfrm>
                    <a:prstGeom prst="rect"/>
                  </pic:spPr>
                </pic:pic>
              </a:graphicData>
            </a:graphic>
          </wp:inline>
        </w:drawing>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CORE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240 scenarios • first production proof set</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EXTENDED</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960 scenarios • broader branches, states, systems, and policy</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EDGE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1,200 scenarios • corrections, restatements, stress, and exceptions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UNIQUENESS</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2,400 rows • 2,400 signatures • zero duplicates</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INTERPRETATION  </w:t>
            </w:r>
            <w:r>
              <w:rPr>
                <w:rFonts w:ascii="DejaVu Sans" w:hAnsi="DejaVu Sans"/>
                <w:b w:val="0"/>
                <w:i w:val="0"/>
                <w:color w:val="2B2A28"/>
                <w:sz w:val="14"/>
              </w:rPr>
              <w:t>Event-family counts are balanced enough to exercise the lifecycle without forcing equal counts. The canonical dimensions—not event names alone—define material behavioral variance.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Counts come directly from the Scenario Repository and Coverage Dashboard sheets in Salt_Basin_2400_Scenario_Repository.xlsx.</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08</w:t>
      </w:r>
    </w:p>
    <w:p>
      <w:pPr>
        <w:keepNext/>
        <w:spacing w:before="20" w:after="40" w:line="240" w:lineRule="auto"/>
        <w:jc w:val="left"/>
      </w:pPr>
      <w:r>
        <w:rPr>
          <w:rFonts w:ascii="DejaVu Serif" w:hAnsi="DejaVu Serif"/>
          <w:b/>
          <w:i w:val="0"/>
          <w:color w:val="345A68"/>
          <w:sz w:val="30"/>
        </w:rPr>
        <w:t>Operational Scenario Family Briefs</w:t>
      </w:r>
    </w:p>
    <w:p>
      <w:pPr>
        <w:keepNext w:val="0"/>
        <w:spacing w:before="0" w:after="100" w:line="259" w:lineRule="auto"/>
        <w:jc w:val="left"/>
      </w:pPr>
      <w:r>
        <w:rPr>
          <w:rFonts w:ascii="DejaVu Sans" w:hAnsi="DejaVu Sans"/>
          <w:b w:val="0"/>
          <w:i w:val="0"/>
          <w:color w:val="4A7C8E"/>
          <w:sz w:val="17"/>
        </w:rPr>
        <w:t>A family brief anchors implementation, testing, and future portfolio expansion. Each family begins with a distinct commercial source event but shares the same proof discipline.</w:t>
      </w:r>
    </w:p>
    <w:tbl>
      <w:tblPr>
        <w:tblW w:type="dxa" w:w="10556"/>
        <w:tblLayout w:type="fixed"/>
        <w:tblLook w:firstColumn="1" w:firstRow="1" w:lastColumn="0" w:lastRow="0" w:noHBand="0" w:noVBand="1" w:val="04A0"/>
        <w:jc w:val="left"/>
        <w:tblInd w:type="dxa" w:w="80"/>
      </w:tblPr>
      <w:tblGrid>
        <w:gridCol w:w="1900"/>
        <w:gridCol w:w="4117"/>
        <w:gridCol w:w="4539"/>
      </w:tblGrid>
      <w:tr>
        <w:trPr>
          <w:trHeight w:hRule="atLeast"/>
          <w:tblHeader w:val="true"/>
        </w:trPr>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FAMILY</w:t>
            </w:r>
          </w:p>
        </w:tc>
        <w:tc>
          <w:tcPr>
            <w:tcW w:type="dxa" w:w="41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PRIMARY BEHAVIOR</w:t>
            </w:r>
          </w:p>
        </w:tc>
        <w:tc>
          <w:tcPr>
            <w:tcW w:type="dxa" w:w="45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FOCUS OF PROOF</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New Sale • 241</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Create customer/contract/subscription roots; initialize billing and revenue patterns</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Identity, contract, price, bill timing, first value and cash states</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Ramp Step • 222</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Apply scheduled quantity, price, capacity, or commitment step</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Effective dating, schedule revision, backlog and revenue propagation</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Renewal • 227</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Extend, reprice, reterm, or replace expiring rights</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Existing-customer branch, history merge, cohort and retention integrity</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Expansion • 239</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Add products, seats, usage, entities, or geography</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Cross-sell/upsell attribution, contract lineage, ARR and backlog</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Contraction • 218</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Reduce scope, price, term, or usage commitment</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Partial churn, credits, revenue catch-up, forecast and customer economics</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Churn • 262</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End service, rights, or commercial relationship</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Final bill, deferred revenue, cash/AR, retention and evidence of cause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Modification • 259</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Change enforceable terms without losing historical truth</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Versioned contract lines, accounting treatment, Why Changed?</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Credit • 232</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Reduce obligation through approved commercial adjustment</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Invoice/AR application, revenue impact, approvals and control evidence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Refund • 244</w:t>
            </w:r>
          </w:p>
        </w:tc>
        <w:tc>
          <w:tcPr>
            <w:tcW w:type="dxa" w:w="41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Return cash or settle overpayment/exception</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Cash movement, AR status, fees, customer/member implications</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Reactivation • 256</w:t>
            </w:r>
          </w:p>
        </w:tc>
        <w:tc>
          <w:tcPr>
            <w:tcW w:type="dxa" w:w="41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Resume a prior relationship, service, or entitlement</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Historical lineage merge, new effective state, cohort treatment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BRIEF EXTENSION FIELDS  </w:t>
            </w:r>
            <w:r>
              <w:rPr>
                <w:rFonts w:ascii="DejaVu Sans" w:hAnsi="DejaVu Sans"/>
                <w:b w:val="0"/>
                <w:i w:val="0"/>
                <w:color w:val="2B2A28"/>
                <w:sz w:val="14"/>
              </w:rPr>
              <w:t>Add owner, representative Scenario_IDs, fixture pack, expected transactions, control results, metric impacts, screenshots, unresolved gaps, and next review date to each family as delivery progresses.</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Family counts reflect the canonical 2,400-row repository. Behaviors summarize the configuration and transaction-grounded implementation contract.</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09</w:t>
      </w:r>
    </w:p>
    <w:p>
      <w:pPr>
        <w:keepNext/>
        <w:spacing w:before="20" w:after="40" w:line="240" w:lineRule="auto"/>
        <w:jc w:val="left"/>
      </w:pPr>
      <w:r>
        <w:rPr>
          <w:rFonts w:ascii="DejaVu Serif" w:hAnsi="DejaVu Serif"/>
          <w:b/>
          <w:i w:val="0"/>
          <w:color w:val="345A68"/>
          <w:sz w:val="30"/>
        </w:rPr>
        <w:t>Metadata Variant Model</w:t>
      </w:r>
    </w:p>
    <w:p>
      <w:pPr>
        <w:keepNext w:val="0"/>
        <w:spacing w:before="0" w:after="100" w:line="259" w:lineRule="auto"/>
        <w:jc w:val="left"/>
      </w:pPr>
      <w:r>
        <w:rPr>
          <w:rFonts w:ascii="DejaVu Sans" w:hAnsi="DejaVu Sans"/>
          <w:b w:val="0"/>
          <w:i w:val="0"/>
          <w:color w:val="4A7C8E"/>
          <w:sz w:val="17"/>
        </w:rPr>
        <w:t>The 16 canonical dimensions provide the stable vocabulary for scenario selection, test coverage, analytics, and future expansion. Together they contain 93 governed values.</w:t>
      </w:r>
    </w:p>
    <w:tbl>
      <w:tblPr>
        <w:tblW w:type="dxa" w:w="10556"/>
        <w:tblLayout w:type="fixed"/>
        <w:tblLook w:firstColumn="1" w:firstRow="1" w:lastColumn="0" w:lastRow="0" w:noHBand="0" w:noVBand="1" w:val="04A0"/>
        <w:jc w:val="left"/>
        <w:tblInd w:type="dxa" w:w="80"/>
      </w:tblPr>
      <w:tblGrid>
        <w:gridCol w:w="2956"/>
        <w:gridCol w:w="1267"/>
        <w:gridCol w:w="6333"/>
      </w:tblGrid>
      <w:tr>
        <w:trPr>
          <w:trHeight w:hRule="atLeast"/>
          <w:tblHeader w:val="true"/>
        </w:trPr>
        <w:tc>
          <w:tcPr>
            <w:tcW w:type="dxa" w:w="29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DIMENSION</w:t>
            </w:r>
          </w:p>
        </w:tc>
        <w:tc>
          <w:tcPr>
            <w:tcW w:type="dxa" w:w="126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VALUES</w:t>
            </w:r>
          </w:p>
        </w:tc>
        <w:tc>
          <w:tcPr>
            <w:tcW w:type="dxa" w:w="633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WHAT IT CHANGES</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Customer_Segment</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4</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Commercial scale / operating context</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Customer_State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3</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Lifecycle relationship state</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Product_Model</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Product/service delivery structure</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Pricing_Model</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7</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Economic calculation and commercial mechanism</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Contract_Term</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Duration and enforceability pattern</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Billing_Cadence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Frequency of invoicing</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Billing_Timing</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4</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In advance / in arrears and related timing</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Payment_Method</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Settlement channel</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Commercial_Event</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10</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Lifecycle event family and lineage root</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Usage_State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Consumption / commitment condition</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Revenue_Pattern</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Recognition behavior</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Invoice_State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 lifecycle</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Payment_State</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Cash settlement lifecycle</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Debt_State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Financing and balance condition</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Source_System</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10</w:t>
            </w:r>
          </w:p>
        </w:tc>
        <w:tc>
          <w:tcPr>
            <w:tcW w:type="dxa" w:w="63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Authoritative source class</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Security_Slice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7</w:t>
            </w:r>
          </w:p>
        </w:tc>
        <w:tc>
          <w:tcPr>
            <w:tcW w:type="dxa" w:w="63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Entitlement and exposure context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VARIANT DISCIPLINE  </w:t>
            </w:r>
            <w:r>
              <w:rPr>
                <w:rFonts w:ascii="DejaVu Sans" w:hAnsi="DejaVu Sans"/>
                <w:b w:val="0"/>
                <w:i w:val="0"/>
                <w:color w:val="2B2A28"/>
                <w:sz w:val="14"/>
              </w:rPr>
              <w:t>Add a canonical value only after definition, code, atom path, molecule placement, evidence, validation, temporal behavior, and policy implications are explicit.</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Dimension names and cardinalities are exact canonical repository facts. Descriptions are concise implementation interpretations.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10</w:t>
      </w:r>
    </w:p>
    <w:p>
      <w:pPr>
        <w:keepNext/>
        <w:spacing w:before="20" w:after="40" w:line="240" w:lineRule="auto"/>
        <w:jc w:val="left"/>
      </w:pPr>
      <w:r>
        <w:rPr>
          <w:rFonts w:ascii="DejaVu Serif" w:hAnsi="DejaVu Serif"/>
          <w:b/>
          <w:i w:val="0"/>
          <w:color w:val="345A68"/>
          <w:sz w:val="30"/>
        </w:rPr>
        <w:t>Crystal Metadata Hierarchy</w:t>
      </w:r>
    </w:p>
    <w:p>
      <w:pPr>
        <w:keepNext w:val="0"/>
        <w:spacing w:before="0" w:after="100" w:line="259" w:lineRule="auto"/>
        <w:jc w:val="left"/>
      </w:pPr>
      <w:r>
        <w:rPr>
          <w:rFonts w:ascii="DejaVu Sans" w:hAnsi="DejaVu Sans"/>
          <w:b w:val="0"/>
          <w:i w:val="0"/>
          <w:color w:val="4A7C8E"/>
          <w:sz w:val="17"/>
        </w:rPr>
        <w:t>Salt Basin models meaning as an inspectable hierarchy: bounded atoms converge into molecules, clusters, rods, and an evidence orbit. The hierarchy makes definitions, evidence, validation, confidence, time, and lineage visible instead of hiding them in tags.</w:t>
      </w:r>
    </w:p>
    <w:tbl>
      <w:tblPr>
        <w:tblW w:type="dxa" w:w="10556"/>
        <w:tblLayout w:type="fixed"/>
        <w:tblLook w:firstColumn="1" w:firstRow="1" w:lastColumn="0" w:lastRow="0" w:noHBand="0" w:noVBand="1" w:val="04A0"/>
        <w:jc w:val="left"/>
        <w:tblInd w:type="dxa" w:w="80"/>
      </w:tblPr>
      <w:tblGrid>
        <w:gridCol w:w="1478"/>
        <w:gridCol w:w="2956"/>
        <w:gridCol w:w="6122"/>
      </w:tblGrid>
      <w:tr>
        <w:trPr>
          <w:trHeight w:hRule="atLeast"/>
          <w:tblHeader w:val="true"/>
        </w:trPr>
        <w:tc>
          <w:tcPr>
            <w:tcW w:type="dxa" w:w="1478"/>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LEVEL</w:t>
            </w:r>
          </w:p>
        </w:tc>
        <w:tc>
          <w:tcPr>
            <w:tcW w:type="dxa" w:w="29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PURPOSE</w:t>
            </w:r>
          </w:p>
        </w:tc>
        <w:tc>
          <w:tcPr>
            <w:tcW w:type="dxa" w:w="612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GOVERNANCE</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Atom</w:t>
            </w:r>
          </w:p>
        </w:tc>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Smallest governed meaning unit</w:t>
            </w:r>
          </w:p>
        </w:tc>
        <w:tc>
          <w:tcPr>
            <w:tcW w:type="dxa" w:w="61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Definition • source • evidence • validation • effective time • confidence • lineage • path color</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Molecule</w:t>
            </w:r>
          </w:p>
        </w:tc>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Capability-level semantic grouping</w:t>
            </w:r>
          </w:p>
        </w:tc>
        <w:tc>
          <w:tcPr>
            <w:tcW w:type="dxa" w:w="61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Combines related atoms while preserving each atom’s definition and proof</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Cluster</w:t>
            </w:r>
          </w:p>
        </w:tc>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Cross-capability convergence point</w:t>
            </w:r>
          </w:p>
        </w:tc>
        <w:tc>
          <w:tcPr>
            <w:tcW w:type="dxa" w:w="61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Surfaces dependencies, conflicts, and negative-convergence rules</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Rod</w:t>
            </w:r>
          </w:p>
        </w:tc>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Journey or operating channel</w:t>
            </w:r>
          </w:p>
        </w:tc>
        <w:tc>
          <w:tcPr>
            <w:tcW w:type="dxa" w:w="61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Revenue • Customer • Member • Data Channel; includes stage and branch behavior</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Orbit</w:t>
            </w:r>
          </w:p>
        </w:tc>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Enterprise evidence context</w:t>
            </w:r>
          </w:p>
        </w:tc>
        <w:tc>
          <w:tcPr>
            <w:tcW w:type="dxa" w:w="61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Connects thesis, claims, transactions, metrics, agents, controls, and exit evidence</w:t>
            </w:r>
          </w:p>
        </w:tc>
      </w:tr>
    </w:tbl>
    <w:p>
      <w:pPr>
        <w:keepNext/>
        <w:spacing w:before="20" w:after="40" w:line="259" w:lineRule="auto"/>
        <w:jc w:val="left"/>
      </w:pPr>
      <w:r>
        <w:rPr>
          <w:rFonts w:ascii="DejaVu Sans" w:hAnsi="DejaVu Sans"/>
          <w:b/>
          <w:i w:val="0"/>
          <w:color w:val="C4843A"/>
          <w:sz w:val="14"/>
        </w:rPr>
        <w:t>METADATA PATH TREATMENT</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GREEN / VALIDATED</w:t>
            </w:r>
          </w:p>
          <w:p>
            <w:pPr>
              <w:spacing w:before="40" w:after="0" w:line="245" w:lineRule="auto"/>
            </w:pPr>
            <w:r>
              <w:rPr>
                <w:rFonts w:ascii="DejaVu Sans" w:hAnsi="DejaVu Sans"/>
                <w:b w:val="0"/>
                <w:i w:val="0"/>
                <w:color w:val="4A7C8E"/>
                <w:sz w:val="13"/>
              </w:rPr>
              <w:t>Definition and evidence satisfy current validation policy.</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GOLD / REVIEW</w:t>
            </w:r>
          </w:p>
          <w:p>
            <w:pPr>
              <w:spacing w:before="40" w:after="0" w:line="245" w:lineRule="auto"/>
            </w:pPr>
            <w:r>
              <w:rPr>
                <w:rFonts w:ascii="DejaVu Sans" w:hAnsi="DejaVu Sans"/>
                <w:b w:val="0"/>
                <w:i w:val="0"/>
                <w:color w:val="4A7C8E"/>
                <w:sz w:val="13"/>
              </w:rPr>
              <w:t>Meaning is usable but requires review, stronger evidence, or temporal refresh.</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PLUM / CONFLICT</w:t>
            </w:r>
          </w:p>
          <w:p>
            <w:pPr>
              <w:spacing w:before="40" w:after="0" w:line="245" w:lineRule="auto"/>
            </w:pPr>
            <w:r>
              <w:rPr>
                <w:rFonts w:ascii="DejaVu Sans" w:hAnsi="DejaVu Sans"/>
                <w:b w:val="0"/>
                <w:i w:val="0"/>
                <w:color w:val="4A7C8E"/>
                <w:sz w:val="13"/>
              </w:rPr>
              <w:t>Competing meanings, entitlements, or negative-convergence rules block merge.</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SLATE / INACTIVE</w:t>
            </w:r>
          </w:p>
          <w:p>
            <w:pPr>
              <w:spacing w:before="40" w:after="0" w:line="245" w:lineRule="auto"/>
            </w:pPr>
            <w:r>
              <w:rPr>
                <w:rFonts w:ascii="DejaVu Sans" w:hAnsi="DejaVu Sans"/>
                <w:b w:val="0"/>
                <w:i w:val="0"/>
                <w:color w:val="4A7C8E"/>
                <w:sz w:val="13"/>
              </w:rPr>
              <w:t>Historical, expired, superseded, or out-of-scope for the current as-of view.</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PROMPT, DO NOT GUESS</w:t>
            </w:r>
          </w:p>
          <w:p>
            <w:pPr>
              <w:spacing w:before="40" w:after="0" w:line="245" w:lineRule="auto"/>
            </w:pPr>
            <w:r>
              <w:rPr>
                <w:rFonts w:ascii="DejaVu Sans" w:hAnsi="DejaVu Sans"/>
                <w:b w:val="0"/>
                <w:i w:val="0"/>
                <w:color w:val="4A7C8E"/>
                <w:sz w:val="13"/>
              </w:rPr>
              <w:t>When a material definition is missing, the agent surfaces the gap and requests governed completion.</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PRESERVE PROVENANCE</w:t>
            </w:r>
          </w:p>
          <w:p>
            <w:pPr>
              <w:spacing w:before="40" w:after="0" w:line="245" w:lineRule="auto"/>
            </w:pPr>
            <w:r>
              <w:rPr>
                <w:rFonts w:ascii="DejaVu Sans" w:hAnsi="DejaVu Sans"/>
                <w:b w:val="0"/>
                <w:i w:val="0"/>
                <w:color w:val="4A7C8E"/>
                <w:sz w:val="13"/>
              </w:rPr>
              <w:t>Every rollup retains atom-level lineage and does not erase source authority.</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DESIGN PRINCIPLE  </w:t>
            </w:r>
            <w:r>
              <w:rPr>
                <w:rFonts w:ascii="DejaVu Sans" w:hAnsi="DejaVu Sans"/>
                <w:b w:val="0"/>
                <w:i w:val="0"/>
                <w:color w:val="2B2A28"/>
                <w:sz w:val="14"/>
              </w:rPr>
              <w:t>Convergence yields one governed, defensible truth only when definitions, evidence, time, identity, and policy are compatible.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Hierarchy and maturity treatment consolidate the metadata definition workbook, Enterprise Foundation, annotated notes, and Thesis Evidence Orbit materials.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11</w:t>
      </w:r>
    </w:p>
    <w:p>
      <w:pPr>
        <w:keepNext/>
        <w:spacing w:before="20" w:after="40" w:line="240" w:lineRule="auto"/>
        <w:jc w:val="left"/>
      </w:pPr>
      <w:r>
        <w:rPr>
          <w:rFonts w:ascii="DejaVu Serif" w:hAnsi="DejaVu Serif"/>
          <w:b/>
          <w:i w:val="0"/>
          <w:color w:val="345A68"/>
          <w:sz w:val="30"/>
        </w:rPr>
        <w:t>Journeys, Rods &amp; Stage Maturity</w:t>
      </w:r>
    </w:p>
    <w:p>
      <w:pPr>
        <w:keepNext w:val="0"/>
        <w:spacing w:before="0" w:after="100" w:line="259" w:lineRule="auto"/>
        <w:jc w:val="left"/>
      </w:pPr>
      <w:r>
        <w:rPr>
          <w:rFonts w:ascii="DejaVu Sans" w:hAnsi="DejaVu Sans"/>
          <w:b w:val="0"/>
          <w:i w:val="0"/>
          <w:color w:val="4A7C8E"/>
          <w:sz w:val="17"/>
        </w:rPr>
        <w:t>L1 identifies the journey or channel, L2 identifies the variant scenario, and L3 records the end-to-end path. Four rods provide the shared operating frame; branches keep context without duplicating truth.</w:t>
      </w:r>
    </w:p>
    <w:tbl>
      <w:tblPr>
        <w:tblW w:type="dxa" w:w="10556"/>
        <w:tblLayout w:type="fixed"/>
        <w:tblLook w:firstColumn="1" w:firstRow="1" w:lastColumn="0" w:lastRow="0" w:noHBand="0" w:noVBand="1" w:val="04A0"/>
        <w:jc w:val="left"/>
        <w:tblInd w:type="dxa" w:w="80"/>
      </w:tblPr>
      <w:tblGrid>
        <w:gridCol w:w="2111"/>
        <w:gridCol w:w="5806"/>
        <w:gridCol w:w="2639"/>
      </w:tblGrid>
      <w:tr>
        <w:trPr>
          <w:trHeight w:hRule="atLeast"/>
          <w:tblHeader w:val="true"/>
        </w:trPr>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ROD</w:t>
            </w:r>
          </w:p>
        </w:tc>
        <w:tc>
          <w:tcPr>
            <w:tcW w:type="dxa" w:w="580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PATH</w:t>
            </w:r>
          </w:p>
        </w:tc>
        <w:tc>
          <w:tcPr>
            <w:tcW w:type="dxa" w:w="26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PRIMARY OUTCOME</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Revenue Rod</w:t>
            </w:r>
          </w:p>
        </w:tc>
        <w:tc>
          <w:tcPr>
            <w:tcW w:type="dxa" w:w="58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Commercial events through billing, revenue, GL, cash, debt, metrics, and controls</w:t>
            </w:r>
          </w:p>
        </w:tc>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Financial truth and economics</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Customer Rod</w:t>
            </w:r>
          </w:p>
        </w:tc>
        <w:tc>
          <w:tcPr>
            <w:tcW w:type="dxa" w:w="58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Account, opportunity, contract, service, renewal, expansion, contraction, churn</w:t>
            </w:r>
          </w:p>
        </w:tc>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Relationship and commercial lifecycle</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Member Rod</w:t>
            </w:r>
          </w:p>
        </w:tc>
        <w:tc>
          <w:tcPr>
            <w:tcW w:type="dxa" w:w="58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Eligible member, access, service, encounter, claim, outcome, consent</w:t>
            </w:r>
          </w:p>
        </w:tc>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Human/service journey under native permissions</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Data Channel Rod</w:t>
            </w:r>
          </w:p>
        </w:tc>
        <w:tc>
          <w:tcPr>
            <w:tcW w:type="dxa" w:w="58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Belief/Define → Plan → Execute → Realize → Sustain → Exit/Prove</w:t>
            </w:r>
          </w:p>
        </w:tc>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Thesis evidence and maturity</w:t>
            </w:r>
          </w:p>
        </w:tc>
      </w:tr>
    </w:tbl>
    <w:p>
      <w:pPr>
        <w:keepNext/>
        <w:spacing w:before="20" w:after="40" w:line="259" w:lineRule="auto"/>
        <w:jc w:val="left"/>
      </w:pPr>
      <w:r>
        <w:rPr>
          <w:rFonts w:ascii="DejaVu Sans" w:hAnsi="DejaVu Sans"/>
          <w:b/>
          <w:i w:val="0"/>
          <w:color w:val="C4843A"/>
          <w:sz w:val="14"/>
        </w:rPr>
        <w:t>STAGE-STATE RULES</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NORMALIZED STATE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0.00–1.00 represents the principal journey</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RENEWAL STATE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Values above 1.00 can represent renewal / subsequent cycle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ADJUSTMENT STATE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Two-decimal state values preserve corrections or exceptions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HISTORY</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Stage history is append-only and as-of reproducible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MATURITY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May advance or regress as evidence changes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MERGE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Branches rejoin only when identity, time, and policy align</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EXISTING-CUSTOMER RULE  </w:t>
            </w:r>
            <w:r>
              <w:rPr>
                <w:rFonts w:ascii="DejaVu Sans" w:hAnsi="DejaVu Sans"/>
                <w:b w:val="0"/>
                <w:i w:val="0"/>
                <w:color w:val="2B2A28"/>
                <w:sz w:val="14"/>
              </w:rPr>
              <w:t>Renewal, expansion, contraction, churn, modification, credit, refund, and reactivation must not be reclassified as new leads. They merge with the Historical Lineage Agent so prior relationship and transaction truth remain intact.</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Journey rules derive from the Master Recap, HOS scenario workbook, metadata definition work, and standing Salt Basin scenario conventions.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12</w:t>
      </w:r>
    </w:p>
    <w:p>
      <w:pPr>
        <w:keepNext/>
        <w:spacing w:before="20" w:after="40" w:line="240" w:lineRule="auto"/>
        <w:jc w:val="left"/>
      </w:pPr>
      <w:r>
        <w:rPr>
          <w:rFonts w:ascii="DejaVu Serif" w:hAnsi="DejaVu Serif"/>
          <w:b/>
          <w:i w:val="0"/>
          <w:color w:val="345A68"/>
          <w:sz w:val="30"/>
        </w:rPr>
        <w:t>Branch, Merge &amp; Historical Lineage</w:t>
      </w:r>
    </w:p>
    <w:p>
      <w:pPr>
        <w:keepNext w:val="0"/>
        <w:spacing w:before="0" w:after="100" w:line="259" w:lineRule="auto"/>
        <w:jc w:val="left"/>
      </w:pPr>
      <w:r>
        <w:rPr>
          <w:rFonts w:ascii="DejaVu Sans" w:hAnsi="DejaVu Sans"/>
          <w:b w:val="0"/>
          <w:i w:val="0"/>
          <w:color w:val="4A7C8E"/>
          <w:sz w:val="17"/>
        </w:rPr>
        <w:t>Branching represents real operating divergence—product, payer, entity, source, security, or journey—not a duplication of master truth. Merge behavior is governed and evidence-preserving.</w:t>
      </w:r>
    </w:p>
    <w:tbl>
      <w:tblPr>
        <w:tblW w:type="dxa" w:w="10556"/>
        <w:tblLayout w:type="fixed"/>
        <w:tblLook w:firstColumn="1" w:firstRow="1" w:lastColumn="0" w:lastRow="0" w:noHBand="0" w:noVBand="1" w:val="04A0"/>
        <w:jc w:val="left"/>
        <w:tblInd w:type="dxa" w:w="80"/>
      </w:tblPr>
      <w:tblGrid>
        <w:gridCol w:w="1900"/>
        <w:gridCol w:w="2006"/>
        <w:gridCol w:w="3800"/>
        <w:gridCol w:w="2850"/>
      </w:tblGrid>
      <w:tr>
        <w:trPr>
          <w:trHeight w:hRule="atLeast"/>
          <w:tblHeader w:val="true"/>
        </w:trPr>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TRIGGER</w:t>
            </w:r>
          </w:p>
        </w:tc>
        <w:tc>
          <w:tcPr>
            <w:tcW w:type="dxa" w:w="200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BRANCH</w:t>
            </w:r>
          </w:p>
        </w:tc>
        <w:tc>
          <w:tcPr>
            <w:tcW w:type="dxa" w:w="38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LINEAGE CARRIED</w:t>
            </w:r>
          </w:p>
        </w:tc>
        <w:tc>
          <w:tcPr>
            <w:tcW w:type="dxa" w:w="285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MERGE RESULT</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New commercial motion</w:t>
            </w:r>
          </w:p>
        </w:tc>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Lead / opportunity branch</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Customer identity, product, price, financing, qualification</w:t>
            </w:r>
          </w:p>
        </w:tc>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Contract or disqualified outcome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Existing-customer change</w:t>
            </w:r>
          </w:p>
        </w:tc>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Historical lineage branch</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Prior contract, invoices, payments, entitlements, metrics</w:t>
            </w:r>
          </w:p>
        </w:tc>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Modified or renewed state with full prior lineage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Parent price → child purchase</w:t>
            </w:r>
          </w:p>
        </w:tc>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Hierarchy branch</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Parent commercial terms; child fulfillment/billing responsibility</w:t>
            </w:r>
          </w:p>
        </w:tc>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Shared contract lineage without identity collapse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Partner → end customer</w:t>
            </w:r>
          </w:p>
        </w:tc>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Channel branch</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Reseller economics, end-customer rights, source authority</w:t>
            </w:r>
          </w:p>
        </w:tc>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Visible dual-party relationship and policy</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Member / provider / payer</w:t>
            </w:r>
          </w:p>
        </w:tc>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Service branch</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Consent, eligibility, service, claim, payment, privacy</w:t>
            </w:r>
          </w:p>
        </w:tc>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Authorized projections only</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Correction / restatement</w:t>
            </w:r>
          </w:p>
        </w:tc>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Temporal exception branch</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Prior output, cause, new rule/source, approvals</w:t>
            </w:r>
          </w:p>
        </w:tc>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Superseded result retained; downstream recalculated</w:t>
            </w:r>
          </w:p>
        </w:tc>
      </w:tr>
    </w:tbl>
    <w:p>
      <w:pPr>
        <w:keepNext/>
        <w:spacing w:before="20" w:after="40" w:line="259" w:lineRule="auto"/>
        <w:jc w:val="left"/>
      </w:pPr>
      <w:r>
        <w:rPr>
          <w:rFonts w:ascii="DejaVu Sans" w:hAnsi="DejaVu Sans"/>
          <w:b/>
          <w:i w:val="0"/>
          <w:color w:val="C4843A"/>
          <w:sz w:val="14"/>
        </w:rPr>
        <w:t>NEGATIVE CONVERGENCE GATES</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EXPIRED ENTITLEMENT</w:t>
            </w:r>
          </w:p>
          <w:p>
            <w:pPr>
              <w:spacing w:before="40" w:after="0" w:line="245" w:lineRule="auto"/>
            </w:pPr>
            <w:r>
              <w:rPr>
                <w:rFonts w:ascii="DejaVu Sans" w:hAnsi="DejaVu Sans"/>
                <w:b w:val="0"/>
                <w:i w:val="0"/>
                <w:color w:val="4A7C8E"/>
                <w:sz w:val="13"/>
              </w:rPr>
              <w:t>Do not merge or expose data after entitlement expiry.</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PRODUCT MISMATCH</w:t>
            </w:r>
          </w:p>
          <w:p>
            <w:pPr>
              <w:spacing w:before="40" w:after="0" w:line="245" w:lineRule="auto"/>
            </w:pPr>
            <w:r>
              <w:rPr>
                <w:rFonts w:ascii="DejaVu Sans" w:hAnsi="DejaVu Sans"/>
                <w:b w:val="0"/>
                <w:i w:val="0"/>
                <w:color w:val="4A7C8E"/>
                <w:sz w:val="13"/>
              </w:rPr>
              <w:t>Keep semantically incompatible product definitions separate.</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LEGAL-ENTITY AMBIGUITY</w:t>
            </w:r>
          </w:p>
          <w:p>
            <w:pPr>
              <w:spacing w:before="40" w:after="0" w:line="245" w:lineRule="auto"/>
            </w:pPr>
            <w:r>
              <w:rPr>
                <w:rFonts w:ascii="DejaVu Sans" w:hAnsi="DejaVu Sans"/>
                <w:b w:val="0"/>
                <w:i w:val="0"/>
                <w:color w:val="4A7C8E"/>
                <w:sz w:val="13"/>
              </w:rPr>
              <w:t>Do not fuzzy-merge legal entities without governed resolution.</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MEMBER CONFLICT</w:t>
            </w:r>
          </w:p>
          <w:p>
            <w:pPr>
              <w:spacing w:before="40" w:after="0" w:line="245" w:lineRule="auto"/>
            </w:pPr>
            <w:r>
              <w:rPr>
                <w:rFonts w:ascii="DejaVu Sans" w:hAnsi="DejaVu Sans"/>
                <w:b w:val="0"/>
                <w:i w:val="0"/>
                <w:color w:val="4A7C8E"/>
                <w:sz w:val="13"/>
              </w:rPr>
              <w:t>Prevent cross-school or cross-program member collision.</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EXPLICIT DENY</w:t>
            </w:r>
          </w:p>
          <w:p>
            <w:pPr>
              <w:spacing w:before="40" w:after="0" w:line="245" w:lineRule="auto"/>
            </w:pPr>
            <w:r>
              <w:rPr>
                <w:rFonts w:ascii="DejaVu Sans" w:hAnsi="DejaVu Sans"/>
                <w:b w:val="0"/>
                <w:i w:val="0"/>
                <w:color w:val="4A7C8E"/>
                <w:sz w:val="13"/>
              </w:rPr>
              <w:t>A source or policy deny overrides convenience projections.</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MISSING CONSENT</w:t>
            </w:r>
          </w:p>
          <w:p>
            <w:pPr>
              <w:spacing w:before="40" w:after="0" w:line="245" w:lineRule="auto"/>
            </w:pPr>
            <w:r>
              <w:rPr>
                <w:rFonts w:ascii="DejaVu Sans" w:hAnsi="DejaVu Sans"/>
                <w:b w:val="0"/>
                <w:i w:val="0"/>
                <w:color w:val="4A7C8E"/>
                <w:sz w:val="13"/>
              </w:rPr>
              <w:t>No protected member/health projection without valid consent.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ZERO-COPY PRINCIPLE  </w:t>
            </w:r>
            <w:r>
              <w:rPr>
                <w:rFonts w:ascii="DejaVu Sans" w:hAnsi="DejaVu Sans"/>
                <w:b w:val="0"/>
                <w:i w:val="0"/>
                <w:color w:val="2B2A28"/>
                <w:sz w:val="14"/>
              </w:rPr>
              <w:t>Filter and aggregate at the authoritative source where practical; persist only governed outputs and the lineage required to reproduce them.</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Branch/merge patterns are synthesized from the HOS workbook, Enterprise Foundation negative-convergence rules, POC mapping, and Master Recap.</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13</w:t>
      </w:r>
    </w:p>
    <w:p>
      <w:pPr>
        <w:keepNext/>
        <w:spacing w:before="20" w:after="40" w:line="240" w:lineRule="auto"/>
        <w:jc w:val="left"/>
      </w:pPr>
      <w:r>
        <w:rPr>
          <w:rFonts w:ascii="DejaVu Serif" w:hAnsi="DejaVu Serif"/>
          <w:b/>
          <w:i w:val="0"/>
          <w:color w:val="345A68"/>
          <w:sz w:val="30"/>
        </w:rPr>
        <w:t>Canonical Scenario 000001 — Multi-Party Healthcare &amp; Education</w:t>
      </w:r>
    </w:p>
    <w:p>
      <w:pPr>
        <w:keepNext w:val="0"/>
        <w:spacing w:before="0" w:after="100" w:line="259" w:lineRule="auto"/>
        <w:jc w:val="left"/>
      </w:pPr>
      <w:r>
        <w:rPr>
          <w:rFonts w:ascii="DejaVu Sans" w:hAnsi="DejaVu Sans"/>
          <w:b w:val="0"/>
          <w:i w:val="0"/>
          <w:color w:val="4A7C8E"/>
          <w:sz w:val="17"/>
        </w:rPr>
        <w:t>The enterprise foundation names SB-SCEN-000001 as a multi-party government healthcare and education program. It is the reference scenario for party roles, tributaries, service journeys, permissions, evidence, and multi-system convergence.</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DEAL DRIVER</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State Department of Education initiates the commercial motion</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FINANCING PARTY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State health plan funds / pays; it is not the originating deal driver</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CUSTOMERS</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State, districts, schools, and related organizations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MEMBERS</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Students / eligible participants with protected journey data</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PROVIDERS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Mental and physical health service organizations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OPERATIONS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Devices, encounters, claims, payroll, accounting</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IDENTITY RULE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Share governed district/student/member references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NO DUPLICATION</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Do not create competing master data to serve separate rods</w:t>
            </w:r>
          </w:p>
        </w:tc>
      </w:tr>
    </w:tbl>
    <w:p>
      <w:pPr>
        <w:keepNext/>
        <w:spacing w:before="20" w:after="40" w:line="259" w:lineRule="auto"/>
        <w:jc w:val="left"/>
      </w:pPr>
      <w:r>
        <w:rPr>
          <w:rFonts w:ascii="DejaVu Sans" w:hAnsi="DejaVu Sans"/>
          <w:b/>
          <w:i w:val="0"/>
          <w:color w:val="C4843A"/>
          <w:sz w:val="14"/>
        </w:rPr>
        <w:t>ILLUSTRATIVE EVENT AND SEMANTIC PROGRESSION</w:t>
      </w:r>
    </w:p>
    <w:tbl>
      <w:tblPr>
        <w:tblW w:type="dxa" w:w="10556"/>
        <w:tblLayout w:type="fixed"/>
        <w:tblLook w:firstColumn="1" w:firstRow="1" w:lastColumn="0" w:lastRow="0" w:noHBand="0" w:noVBand="1" w:val="04A0"/>
        <w:jc w:val="left"/>
        <w:tblInd w:type="dxa" w:w="80"/>
      </w:tblPr>
      <w:tblGrid>
        <w:gridCol w:w="1583"/>
        <w:gridCol w:w="4961"/>
        <w:gridCol w:w="4012"/>
      </w:tblGrid>
      <w:tr>
        <w:trPr>
          <w:trHeight w:hRule="atLeast"/>
          <w:tblHeader w:val="true"/>
        </w:trPr>
        <w:tc>
          <w:tcPr>
            <w:tcW w:type="dxa" w:w="158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STAGE</w:t>
            </w:r>
          </w:p>
        </w:tc>
        <w:tc>
          <w:tcPr>
            <w:tcW w:type="dxa" w:w="496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EVENT / ACTIVITY</w:t>
            </w:r>
          </w:p>
        </w:tc>
        <w:tc>
          <w:tcPr>
            <w:tcW w:type="dxa" w:w="401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SEMANTIC RESULT</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 • Signal</w:t>
            </w:r>
          </w:p>
        </w:tc>
        <w:tc>
          <w:tcPr>
            <w:tcW w:type="dxa" w:w="49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EmailReceived / PhoneCallCompleted / SalesforceOpportunityImported</w:t>
            </w:r>
          </w:p>
        </w:tc>
        <w:tc>
          <w:tcPr>
            <w:tcW w:type="dxa" w:w="401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Commercial Signal atoms</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2 • Qualify</w:t>
            </w:r>
          </w:p>
        </w:tc>
        <w:tc>
          <w:tcPr>
            <w:tcW w:type="dxa" w:w="49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QualificationElementValidated / OpportunityQualified</w:t>
            </w:r>
          </w:p>
        </w:tc>
        <w:tc>
          <w:tcPr>
            <w:tcW w:type="dxa" w:w="401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Opportunity Qualification molecule</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3 • Finance</w:t>
            </w:r>
          </w:p>
        </w:tc>
        <w:tc>
          <w:tcPr>
            <w:tcW w:type="dxa" w:w="49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FinancingPartyIntroduced</w:t>
            </w:r>
          </w:p>
        </w:tc>
        <w:tc>
          <w:tcPr>
            <w:tcW w:type="dxa" w:w="401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Party Relationship + Financing Connection</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4 • Contract</w:t>
            </w:r>
          </w:p>
        </w:tc>
        <w:tc>
          <w:tcPr>
            <w:tcW w:type="dxa" w:w="49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Commercial terms, program, product, price, entitlement</w:t>
            </w:r>
          </w:p>
        </w:tc>
        <w:tc>
          <w:tcPr>
            <w:tcW w:type="dxa" w:w="401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Contract / Product / Organization molecules</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 • Deliver</w:t>
            </w:r>
          </w:p>
        </w:tc>
        <w:tc>
          <w:tcPr>
            <w:tcW w:type="dxa" w:w="49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Eligibility, device, service, encounter, claim</w:t>
            </w:r>
          </w:p>
        </w:tc>
        <w:tc>
          <w:tcPr>
            <w:tcW w:type="dxa" w:w="401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Member and provider rods under native permissions</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 • Settle</w:t>
            </w:r>
          </w:p>
        </w:tc>
        <w:tc>
          <w:tcPr>
            <w:tcW w:type="dxa" w:w="49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 claim adjudication, payment, payroll, accounting</w:t>
            </w:r>
          </w:p>
        </w:tc>
        <w:tc>
          <w:tcPr>
            <w:tcW w:type="dxa" w:w="401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Revenue rod and control proof</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7 • Prove</w:t>
            </w:r>
          </w:p>
        </w:tc>
        <w:tc>
          <w:tcPr>
            <w:tcW w:type="dxa" w:w="49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Outcome, evidence maturity, thesis and exit package</w:t>
            </w:r>
          </w:p>
        </w:tc>
        <w:tc>
          <w:tcPr>
            <w:tcW w:type="dxa" w:w="401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Data Channel rod and evidence orbit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ILLUSTRATIVE SCENARIO RULE  </w:t>
            </w:r>
            <w:r>
              <w:rPr>
                <w:rFonts w:ascii="DejaVu Sans" w:hAnsi="DejaVu Sans"/>
                <w:b w:val="0"/>
                <w:i w:val="0"/>
                <w:color w:val="2B2A28"/>
                <w:sz w:val="14"/>
              </w:rPr>
              <w:t>All organizations, roles, events, values, and impacts in the worked scenario are illustrative. Production use requires source authority, consent, entitlement, reconciliation, and token-owner validation.</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Scenario structure comes from Enterprise Foundation v4 and supporting Salt Basin annotated materials. The role distinction between deal driver and financing party is preserved explicitly.</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14</w:t>
      </w:r>
    </w:p>
    <w:p>
      <w:pPr>
        <w:keepNext/>
        <w:spacing w:before="20" w:after="40" w:line="240" w:lineRule="auto"/>
        <w:jc w:val="left"/>
      </w:pPr>
      <w:r>
        <w:rPr>
          <w:rFonts w:ascii="DejaVu Serif" w:hAnsi="DejaVu Serif"/>
          <w:b/>
          <w:i w:val="0"/>
          <w:color w:val="345A68"/>
          <w:sz w:val="30"/>
        </w:rPr>
        <w:t>Representative Scenario Patterns</w:t>
      </w:r>
    </w:p>
    <w:p>
      <w:pPr>
        <w:keepNext w:val="0"/>
        <w:spacing w:before="0" w:after="100" w:line="259" w:lineRule="auto"/>
        <w:jc w:val="left"/>
      </w:pPr>
      <w:r>
        <w:rPr>
          <w:rFonts w:ascii="DejaVu Sans" w:hAnsi="DejaVu Sans"/>
          <w:b w:val="0"/>
          <w:i w:val="0"/>
          <w:color w:val="4A7C8E"/>
          <w:sz w:val="17"/>
        </w:rPr>
        <w:t>The repository’s value is not in memorizing 2,400 rows. It is in applying the same deterministic contract to materially different operating patterns.</w:t>
      </w:r>
    </w:p>
    <w:tbl>
      <w:tblPr>
        <w:tblW w:type="dxa" w:w="10556"/>
        <w:tblLayout w:type="fixed"/>
        <w:tblLook w:firstColumn="1" w:firstRow="1" w:lastColumn="0" w:lastRow="0" w:noHBand="0" w:noVBand="1" w:val="04A0"/>
        <w:jc w:val="left"/>
        <w:tblInd w:type="dxa" w:w="80"/>
      </w:tblPr>
      <w:tblGrid>
        <w:gridCol w:w="2006"/>
        <w:gridCol w:w="2639"/>
        <w:gridCol w:w="2111"/>
        <w:gridCol w:w="3800"/>
      </w:tblGrid>
      <w:tr>
        <w:trPr>
          <w:trHeight w:hRule="atLeast"/>
          <w:tblHeader w:val="true"/>
        </w:trPr>
        <w:tc>
          <w:tcPr>
            <w:tcW w:type="dxa" w:w="200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PATTERN</w:t>
            </w:r>
          </w:p>
        </w:tc>
        <w:tc>
          <w:tcPr>
            <w:tcW w:type="dxa" w:w="26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CONFIGURATION</w:t>
            </w:r>
          </w:p>
        </w:tc>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LINEAGE ROOT</w:t>
            </w:r>
          </w:p>
        </w:tc>
        <w:tc>
          <w:tcPr>
            <w:tcW w:type="dxa" w:w="38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PROOF FOCUS</w:t>
            </w:r>
          </w:p>
        </w:tc>
      </w:tr>
      <w:tr>
        <w:trPr>
          <w:trHeight w:hRule="atLeast"/>
        </w:trPr>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SB-SCN-0005 • Modification</w:t>
            </w:r>
          </w:p>
        </w:tc>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Enterprise existing customer; subscription; block; evergreen; in arrears</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CONTRACT_MODIFIED</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Versioned contract line; usage/invoice/AR/revenue/GL/payment/cash/debt; four controls; Why Changed?</w:t>
            </w:r>
          </w:p>
        </w:tc>
      </w:tr>
      <w:tr>
        <w:trPr>
          <w:trHeight w:hRule="atLeast"/>
        </w:trPr>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Parent price → child purchase</w:t>
            </w:r>
          </w:p>
        </w:tc>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Parent establishes commercial terms; child purchases or consumes</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ORDER / CONTRACT lineage</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Hierarchy-aware entitlement, billing, fulfillment, revenue, and attribution</w:t>
            </w:r>
          </w:p>
        </w:tc>
      </w:tr>
      <w:tr>
        <w:trPr>
          <w:trHeight w:hRule="atLeast"/>
        </w:trPr>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Usage with commitment</w:t>
            </w:r>
          </w:p>
        </w:tc>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Committed minimum plus metered or tiered usage</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USAGE_RECORDED / BILLING</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Usage state, commitment shortfall/overage, invoice timing, revenue pattern, metric propagation</w:t>
            </w:r>
          </w:p>
        </w:tc>
      </w:tr>
      <w:tr>
        <w:trPr>
          <w:trHeight w:hRule="atLeast"/>
        </w:trPr>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Renewal with reprice</w:t>
            </w:r>
          </w:p>
        </w:tc>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Existing customer enters a new term and pricing version</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RENEWAL_EXECUTED</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Historical merge, cohort integrity, contract lineage, ARR/backlog and retention</w:t>
            </w:r>
          </w:p>
        </w:tc>
      </w:tr>
      <w:tr>
        <w:trPr>
          <w:trHeight w:hRule="atLeast"/>
        </w:trPr>
        <w:tc>
          <w:tcPr>
            <w:tcW w:type="dxa" w:w="200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Contraction / partial churn</w:t>
            </w:r>
          </w:p>
        </w:tc>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Seats, products, geography, or commitment reduced</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CONTRACT_REDUCED</w:t>
            </w:r>
          </w:p>
        </w:tc>
        <w:tc>
          <w:tcPr>
            <w:tcW w:type="dxa" w:w="38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Credit or catch-up, revenue impact, retention attribution, customer-economics evidence</w:t>
            </w:r>
          </w:p>
        </w:tc>
      </w:tr>
      <w:tr>
        <w:trPr>
          <w:trHeight w:hRule="atLeast"/>
        </w:trPr>
        <w:tc>
          <w:tcPr>
            <w:tcW w:type="dxa" w:w="200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Refund after settlement</w:t>
            </w:r>
          </w:p>
        </w:tc>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Payment already settled; approved cash return</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REFUND_APPROVED / PAID</w:t>
            </w:r>
          </w:p>
        </w:tc>
        <w:tc>
          <w:tcPr>
            <w:tcW w:type="dxa" w:w="38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Cash reversal, AR/invoice status, revenue treatment, approvals and explanation</w:t>
            </w:r>
          </w:p>
        </w:tc>
      </w:tr>
    </w:tbl>
    <w:p>
      <w:pPr>
        <w:keepNext/>
        <w:spacing w:before="20" w:after="40" w:line="259" w:lineRule="auto"/>
        <w:jc w:val="left"/>
      </w:pPr>
      <w:r>
        <w:rPr>
          <w:rFonts w:ascii="DejaVu Sans" w:hAnsi="DejaVu Sans"/>
          <w:b/>
          <w:i w:val="0"/>
          <w:color w:val="C4843A"/>
          <w:sz w:val="14"/>
        </w:rPr>
        <w:t>SCENARIO 0005 CONFIGURED PATH</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L3 PATH</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Existing Customer → Modification → Paid → Settled → Point-in-Time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RODS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Revenue Lifecycle • Customer Channel • Member Journey</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BRANCH</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Existing-Customer Branch Rod with historical merge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POLICY</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Bank source scope • Org Admin exposure • propose/stage/commit</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CONTROLS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Revenue→GL • Invoice→AR • Payment→Cash • Debt rollforward</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EXPLANATION</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Customer Trace • Contract Lineage • Why Changed?</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PATTERN EXTENSION  </w:t>
            </w:r>
            <w:r>
              <w:rPr>
                <w:rFonts w:ascii="DejaVu Sans" w:hAnsi="DejaVu Sans"/>
                <w:b w:val="0"/>
                <w:i w:val="0"/>
                <w:color w:val="2B2A28"/>
                <w:sz w:val="14"/>
              </w:rPr>
              <w:t>For each pattern, append the exact Scenario_ID set, fixture seeds, expected records, control evidence, metric delta graph, entitlement tests, screenshots, and unresolved exceptions.</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SB-SCN-0005 values are drawn from the canonical repository. Other patterns synthesize explicit HOS and POC mapping patterns and remain illustrative.</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15</w:t>
      </w:r>
    </w:p>
    <w:p>
      <w:pPr>
        <w:keepNext/>
        <w:spacing w:before="20" w:after="40" w:line="240" w:lineRule="auto"/>
        <w:jc w:val="left"/>
      </w:pPr>
      <w:r>
        <w:rPr>
          <w:rFonts w:ascii="DejaVu Serif" w:hAnsi="DejaVu Serif"/>
          <w:b/>
          <w:i w:val="0"/>
          <w:color w:val="345A68"/>
          <w:sz w:val="30"/>
        </w:rPr>
        <w:t>Event → Transaction → Control → Metric → UI</w:t>
      </w:r>
    </w:p>
    <w:p>
      <w:pPr>
        <w:keepNext w:val="0"/>
        <w:spacing w:before="0" w:after="100" w:line="259" w:lineRule="auto"/>
        <w:jc w:val="left"/>
      </w:pPr>
      <w:r>
        <w:rPr>
          <w:rFonts w:ascii="DejaVu Sans" w:hAnsi="DejaVu Sans"/>
          <w:b w:val="0"/>
          <w:i w:val="0"/>
          <w:color w:val="4A7C8E"/>
          <w:sz w:val="17"/>
        </w:rPr>
        <w:t>The implementation begins with an immutable source event and ends with a user-visible explanation. No KPI or visual state is accepted without a reproducible evidence path back to source and rule versions.</w:t>
      </w:r>
    </w:p>
    <w:tbl>
      <w:tblPr>
        <w:tblW w:type="dxa" w:w="10556"/>
        <w:tblLayout w:type="fixed"/>
        <w:tblLook w:firstColumn="1" w:firstRow="1" w:lastColumn="0" w:lastRow="0" w:noHBand="0" w:noVBand="1" w:val="04A0"/>
        <w:jc w:val="left"/>
        <w:tblInd w:type="dxa" w:w="80"/>
      </w:tblPr>
      <w:tblGrid>
        <w:gridCol w:w="1478"/>
        <w:gridCol w:w="6017"/>
        <w:gridCol w:w="3061"/>
      </w:tblGrid>
      <w:tr>
        <w:trPr>
          <w:trHeight w:hRule="atLeast"/>
          <w:tblHeader w:val="true"/>
        </w:trPr>
        <w:tc>
          <w:tcPr>
            <w:tcW w:type="dxa" w:w="1478"/>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STEP</w:t>
            </w:r>
          </w:p>
        </w:tc>
        <w:tc>
          <w:tcPr>
            <w:tcW w:type="dxa" w:w="60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IMPLEMENTATION</w:t>
            </w:r>
          </w:p>
        </w:tc>
        <w:tc>
          <w:tcPr>
            <w:tcW w:type="dxa" w:w="306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PASS CONDITION</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 • Capture</w:t>
            </w:r>
          </w:p>
        </w:tc>
        <w:tc>
          <w:tcPr>
            <w:tcW w:type="dxa" w:w="60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Source event with IDs, party, object, occurred/effective/ingested time, source authority</w:t>
            </w:r>
          </w:p>
        </w:tc>
        <w:tc>
          <w:tcPr>
            <w:tcW w:type="dxa" w:w="30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Immutable lineage root</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2 • Interpret</w:t>
            </w:r>
          </w:p>
        </w:tc>
        <w:tc>
          <w:tcPr>
            <w:tcW w:type="dxa" w:w="60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Resolve canonical atoms, molecules, rods, branches, identities, and policy</w:t>
            </w:r>
          </w:p>
        </w:tc>
        <w:tc>
          <w:tcPr>
            <w:tcW w:type="dxa" w:w="30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No hidden semantic assumptions</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3 • Generate</w:t>
            </w:r>
          </w:p>
        </w:tc>
        <w:tc>
          <w:tcPr>
            <w:tcW w:type="dxa" w:w="60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Create declared entities and financial/operational transactions only</w:t>
            </w:r>
          </w:p>
        </w:tc>
        <w:tc>
          <w:tcPr>
            <w:tcW w:type="dxa" w:w="30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source_event_id + generation_rule_version retained</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4 • Reconcile</w:t>
            </w:r>
          </w:p>
        </w:tc>
        <w:tc>
          <w:tcPr>
            <w:tcW w:type="dxa" w:w="60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Run revenue, AR, cash, and debt controls; classify explainable exceptions</w:t>
            </w:r>
          </w:p>
        </w:tc>
        <w:tc>
          <w:tcPr>
            <w:tcW w:type="dxa" w:w="30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Zero or fully explained variance</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 • Calculate</w:t>
            </w:r>
          </w:p>
        </w:tc>
        <w:tc>
          <w:tcPr>
            <w:tcW w:type="dxa" w:w="60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Execute metric contracts with dependency versions and as-of context</w:t>
            </w:r>
          </w:p>
        </w:tc>
        <w:tc>
          <w:tcPr>
            <w:tcW w:type="dxa" w:w="30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Prior/current values and lineage stored</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 • Propagate</w:t>
            </w:r>
          </w:p>
        </w:tc>
        <w:tc>
          <w:tcPr>
            <w:tcW w:type="dxa" w:w="60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Invalidate downstream nodes; recalculate bounded dependencies; refresh projections</w:t>
            </w:r>
          </w:p>
        </w:tc>
        <w:tc>
          <w:tcPr>
            <w:tcW w:type="dxa" w:w="306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No silent stale results</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7 • Explain</w:t>
            </w:r>
          </w:p>
        </w:tc>
        <w:tc>
          <w:tcPr>
            <w:tcW w:type="dxa" w:w="60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Customer Trace, Contract Lineage, Why Changed?, evidence and approval views</w:t>
            </w:r>
          </w:p>
        </w:tc>
        <w:tc>
          <w:tcPr>
            <w:tcW w:type="dxa" w:w="306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User can reproduce the answer</w:t>
            </w:r>
          </w:p>
        </w:tc>
      </w:tr>
    </w:tbl>
    <w:p>
      <w:pPr>
        <w:keepNext/>
        <w:spacing w:before="20" w:after="40" w:line="259" w:lineRule="auto"/>
        <w:jc w:val="left"/>
      </w:pPr>
      <w:r>
        <w:rPr>
          <w:rFonts w:ascii="DejaVu Sans" w:hAnsi="DejaVu Sans"/>
          <w:b/>
          <w:i w:val="0"/>
          <w:color w:val="C4843A"/>
          <w:sz w:val="14"/>
        </w:rPr>
        <w:t>MINIMUM LINEAGE FIELDS</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SOURCE</w:t>
            </w:r>
          </w:p>
          <w:p>
            <w:pPr>
              <w:spacing w:before="40" w:after="0" w:line="245" w:lineRule="auto"/>
            </w:pPr>
            <w:r>
              <w:rPr>
                <w:rFonts w:ascii="DejaVu Sans" w:hAnsi="DejaVu Sans"/>
                <w:b w:val="0"/>
                <w:i w:val="0"/>
                <w:color w:val="4A7C8E"/>
                <w:sz w:val="13"/>
              </w:rPr>
              <w:t>source_event_id • source system • native object ID • event type</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RULE</w:t>
            </w:r>
          </w:p>
          <w:p>
            <w:pPr>
              <w:spacing w:before="40" w:after="0" w:line="245" w:lineRule="auto"/>
            </w:pPr>
            <w:r>
              <w:rPr>
                <w:rFonts w:ascii="DejaVu Sans" w:hAnsi="DejaVu Sans"/>
                <w:b w:val="0"/>
                <w:i w:val="0"/>
                <w:color w:val="4A7C8E"/>
                <w:sz w:val="13"/>
              </w:rPr>
              <w:t>generation_rule_version • formula version • semantic definition version</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TIME</w:t>
            </w:r>
          </w:p>
          <w:p>
            <w:pPr>
              <w:spacing w:before="40" w:after="0" w:line="245" w:lineRule="auto"/>
            </w:pPr>
            <w:r>
              <w:rPr>
                <w:rFonts w:ascii="DejaVu Sans" w:hAnsi="DejaVu Sans"/>
                <w:b w:val="0"/>
                <w:i w:val="0"/>
                <w:color w:val="4A7C8E"/>
                <w:sz w:val="13"/>
              </w:rPr>
              <w:t>occurred • effective • ingested • calculated • reviewed • as-of</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IDENTITY</w:t>
            </w:r>
          </w:p>
          <w:p>
            <w:pPr>
              <w:spacing w:before="40" w:after="0" w:line="245" w:lineRule="auto"/>
            </w:pPr>
            <w:r>
              <w:rPr>
                <w:rFonts w:ascii="DejaVu Sans" w:hAnsi="DejaVu Sans"/>
                <w:b w:val="0"/>
                <w:i w:val="0"/>
                <w:color w:val="4A7C8E"/>
                <w:sz w:val="13"/>
              </w:rPr>
              <w:t>party/entity/object IDs • hierarchy • branch / merge lineage</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POLICY</w:t>
            </w:r>
          </w:p>
          <w:p>
            <w:pPr>
              <w:spacing w:before="40" w:after="0" w:line="245" w:lineRule="auto"/>
            </w:pPr>
            <w:r>
              <w:rPr>
                <w:rFonts w:ascii="DejaVu Sans" w:hAnsi="DejaVu Sans"/>
                <w:b w:val="0"/>
                <w:i w:val="0"/>
                <w:color w:val="4A7C8E"/>
                <w:sz w:val="13"/>
              </w:rPr>
              <w:t>agent ID • entitlement slice • exposure and action policy</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OUTCOME</w:t>
            </w:r>
          </w:p>
          <w:p>
            <w:pPr>
              <w:spacing w:before="40" w:after="0" w:line="245" w:lineRule="auto"/>
            </w:pPr>
            <w:r>
              <w:rPr>
                <w:rFonts w:ascii="DejaVu Sans" w:hAnsi="DejaVu Sans"/>
                <w:b w:val="0"/>
                <w:i w:val="0"/>
                <w:color w:val="4A7C8E"/>
                <w:sz w:val="13"/>
              </w:rPr>
              <w:t>record IDs • control result • metric run • UI explanation ID</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NO DEMO KPIS  </w:t>
            </w:r>
            <w:r>
              <w:rPr>
                <w:rFonts w:ascii="DejaVu Sans" w:hAnsi="DejaVu Sans"/>
                <w:b w:val="0"/>
                <w:i w:val="0"/>
                <w:color w:val="2B2A28"/>
                <w:sz w:val="14"/>
              </w:rPr>
              <w:t>Illustrative values may demonstrate layout or logic, but production KPI claims require governed formulas, source lineage, reconciled inputs, and explicit as-of context.</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Sequence is the central contract of the transaction-grounded intelligence portfolio and repository implementation guide.</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16</w:t>
      </w:r>
    </w:p>
    <w:p>
      <w:pPr>
        <w:keepNext/>
        <w:spacing w:before="20" w:after="40" w:line="240" w:lineRule="auto"/>
        <w:jc w:val="left"/>
      </w:pPr>
      <w:r>
        <w:rPr>
          <w:rFonts w:ascii="DejaVu Serif" w:hAnsi="DejaVu Serif"/>
          <w:b/>
          <w:i w:val="0"/>
          <w:color w:val="345A68"/>
          <w:sz w:val="30"/>
        </w:rPr>
        <w:t>Reconciliation &amp; Exception Control</w:t>
      </w:r>
    </w:p>
    <w:p>
      <w:pPr>
        <w:keepNext w:val="0"/>
        <w:spacing w:before="0" w:after="100" w:line="259" w:lineRule="auto"/>
        <w:jc w:val="left"/>
      </w:pPr>
      <w:r>
        <w:rPr>
          <w:rFonts w:ascii="DejaVu Sans" w:hAnsi="DejaVu Sans"/>
          <w:b w:val="0"/>
          <w:i w:val="0"/>
          <w:color w:val="4A7C8E"/>
          <w:sz w:val="17"/>
        </w:rPr>
        <w:t>Four canonical controls connect operational transactions to financial truth. They are both accounting checks and implementation gates for deterministic scenario reproduction.</w:t>
      </w:r>
    </w:p>
    <w:tbl>
      <w:tblPr>
        <w:tblW w:type="dxa" w:w="10556"/>
        <w:tblLayout w:type="fixed"/>
        <w:tblLook w:firstColumn="1" w:firstRow="1" w:lastColumn="0" w:lastRow="0" w:noHBand="0" w:noVBand="1" w:val="04A0"/>
        <w:jc w:val="left"/>
        <w:tblInd w:type="dxa" w:w="80"/>
      </w:tblPr>
      <w:tblGrid>
        <w:gridCol w:w="1689"/>
        <w:gridCol w:w="2428"/>
        <w:gridCol w:w="4539"/>
        <w:gridCol w:w="1900"/>
      </w:tblGrid>
      <w:tr>
        <w:trPr>
          <w:trHeight w:hRule="atLeast"/>
          <w:tblHeader w:val="true"/>
        </w:trPr>
        <w:tc>
          <w:tcPr>
            <w:tcW w:type="dxa" w:w="168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CONTROL</w:t>
            </w:r>
          </w:p>
        </w:tc>
        <w:tc>
          <w:tcPr>
            <w:tcW w:type="dxa" w:w="2428"/>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RECONCILIATION</w:t>
            </w:r>
          </w:p>
        </w:tc>
        <w:tc>
          <w:tcPr>
            <w:tcW w:type="dxa" w:w="45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SCOPE</w:t>
            </w:r>
          </w:p>
        </w:tc>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PASS</w:t>
            </w:r>
          </w:p>
        </w:tc>
      </w:tr>
      <w:tr>
        <w:trPr>
          <w:trHeight w:hRule="atLeast"/>
        </w:trPr>
        <w:tc>
          <w:tcPr>
            <w:tcW w:type="dxa" w:w="16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CTL-REV-001</w:t>
            </w:r>
          </w:p>
        </w:tc>
        <w:tc>
          <w:tcPr>
            <w:tcW w:type="dxa" w:w="242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Revenue Subledger → GL</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Recognized / adjusted revenue records to posted general ledger</w:t>
            </w:r>
          </w:p>
        </w:tc>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Zero unexplained variance</w:t>
            </w:r>
          </w:p>
        </w:tc>
      </w:tr>
      <w:tr>
        <w:trPr>
          <w:trHeight w:hRule="atLeast"/>
        </w:trPr>
        <w:tc>
          <w:tcPr>
            <w:tcW w:type="dxa" w:w="16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CTL-AR-001</w:t>
            </w:r>
          </w:p>
        </w:tc>
        <w:tc>
          <w:tcPr>
            <w:tcW w:type="dxa" w:w="242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Invoices → AR</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 states, credits, write-offs, payments to receivable balance</w:t>
            </w:r>
          </w:p>
        </w:tc>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Zero unexplained variance</w:t>
            </w:r>
          </w:p>
        </w:tc>
      </w:tr>
      <w:tr>
        <w:trPr>
          <w:trHeight w:hRule="atLeast"/>
        </w:trPr>
        <w:tc>
          <w:tcPr>
            <w:tcW w:type="dxa" w:w="168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CTL-CASH-001</w:t>
            </w:r>
          </w:p>
        </w:tc>
        <w:tc>
          <w:tcPr>
            <w:tcW w:type="dxa" w:w="242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Payments → Cash</w:t>
            </w:r>
          </w:p>
        </w:tc>
        <w:tc>
          <w:tcPr>
            <w:tcW w:type="dxa" w:w="45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Settled payment records, fees, refunds, reversals to cash movement</w:t>
            </w:r>
          </w:p>
        </w:tc>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Zero unexplained variance</w:t>
            </w:r>
          </w:p>
        </w:tc>
      </w:tr>
      <w:tr>
        <w:trPr>
          <w:trHeight w:hRule="atLeast"/>
        </w:trPr>
        <w:tc>
          <w:tcPr>
            <w:tcW w:type="dxa" w:w="168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CTL-DEBT-001</w:t>
            </w:r>
          </w:p>
        </w:tc>
        <w:tc>
          <w:tcPr>
            <w:tcW w:type="dxa" w:w="242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Debt Balance → Debt Activity</w:t>
            </w:r>
          </w:p>
        </w:tc>
        <w:tc>
          <w:tcPr>
            <w:tcW w:type="dxa" w:w="45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Opening balance + draws + accrued interest − repayments ± adjustments</w:t>
            </w:r>
          </w:p>
        </w:tc>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Closing balance mathematically reproduced</w:t>
            </w:r>
          </w:p>
        </w:tc>
      </w:tr>
    </w:tbl>
    <w:p>
      <w:pPr>
        <w:keepNext/>
        <w:spacing w:before="20" w:after="40" w:line="259" w:lineRule="auto"/>
        <w:jc w:val="left"/>
      </w:pPr>
      <w:r>
        <w:rPr>
          <w:rFonts w:ascii="DejaVu Sans" w:hAnsi="DejaVu Sans"/>
          <w:b/>
          <w:i w:val="0"/>
          <w:color w:val="C4843A"/>
          <w:sz w:val="14"/>
        </w:rPr>
        <w:t>EXCEPTION CLASSES</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TIMING</w:t>
            </w:r>
          </w:p>
          <w:p>
            <w:pPr>
              <w:spacing w:before="40" w:after="0" w:line="245" w:lineRule="auto"/>
            </w:pPr>
            <w:r>
              <w:rPr>
                <w:rFonts w:ascii="DejaVu Sans" w:hAnsi="DejaVu Sans"/>
                <w:b w:val="0"/>
                <w:i w:val="0"/>
                <w:color w:val="4A7C8E"/>
                <w:sz w:val="13"/>
              </w:rPr>
              <w:t>Expected latency or close-boundary difference with defined clearing rule.</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MAPPING</w:t>
            </w:r>
          </w:p>
          <w:p>
            <w:pPr>
              <w:spacing w:before="40" w:after="0" w:line="245" w:lineRule="auto"/>
            </w:pPr>
            <w:r>
              <w:rPr>
                <w:rFonts w:ascii="DejaVu Sans" w:hAnsi="DejaVu Sans"/>
                <w:b w:val="0"/>
                <w:i w:val="0"/>
                <w:color w:val="4A7C8E"/>
                <w:sz w:val="13"/>
              </w:rPr>
              <w:t>Unmapped or incorrectly mapped account, entity, product, or event.</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SOURCE QUALITY</w:t>
            </w:r>
          </w:p>
          <w:p>
            <w:pPr>
              <w:spacing w:before="40" w:after="0" w:line="245" w:lineRule="auto"/>
            </w:pPr>
            <w:r>
              <w:rPr>
                <w:rFonts w:ascii="DejaVu Sans" w:hAnsi="DejaVu Sans"/>
                <w:b w:val="0"/>
                <w:i w:val="0"/>
                <w:color w:val="4A7C8E"/>
                <w:sz w:val="13"/>
              </w:rPr>
              <w:t>Missing, duplicated, malformed, or contradictory source record.</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RULE DEFECT</w:t>
            </w:r>
          </w:p>
          <w:p>
            <w:pPr>
              <w:spacing w:before="40" w:after="0" w:line="245" w:lineRule="auto"/>
            </w:pPr>
            <w:r>
              <w:rPr>
                <w:rFonts w:ascii="DejaVu Sans" w:hAnsi="DejaVu Sans"/>
                <w:b w:val="0"/>
                <w:i w:val="0"/>
                <w:color w:val="4A7C8E"/>
                <w:sz w:val="13"/>
              </w:rPr>
              <w:t>Generation, recognition, allocation, or formula implementation error.</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ENTITLEMENT</w:t>
            </w:r>
          </w:p>
          <w:p>
            <w:pPr>
              <w:spacing w:before="40" w:after="0" w:line="245" w:lineRule="auto"/>
            </w:pPr>
            <w:r>
              <w:rPr>
                <w:rFonts w:ascii="DejaVu Sans" w:hAnsi="DejaVu Sans"/>
                <w:b w:val="0"/>
                <w:i w:val="0"/>
                <w:color w:val="4A7C8E"/>
                <w:sz w:val="13"/>
              </w:rPr>
              <w:t>Projection or action blocked because policy/consent is absent or expired.</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APPROVED ADJUSTMENT</w:t>
            </w:r>
          </w:p>
          <w:p>
            <w:pPr>
              <w:spacing w:before="40" w:after="0" w:line="245" w:lineRule="auto"/>
            </w:pPr>
            <w:r>
              <w:rPr>
                <w:rFonts w:ascii="DejaVu Sans" w:hAnsi="DejaVu Sans"/>
                <w:b w:val="0"/>
                <w:i w:val="0"/>
                <w:color w:val="4A7C8E"/>
                <w:sz w:val="13"/>
              </w:rPr>
              <w:t>Governed correction with owner, reason, effective time, and evidence.</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CONTROL EVIDENCE RECORD  </w:t>
            </w:r>
            <w:r>
              <w:rPr>
                <w:rFonts w:ascii="DejaVu Sans" w:hAnsi="DejaVu Sans"/>
                <w:b w:val="0"/>
                <w:i w:val="0"/>
                <w:color w:val="2B2A28"/>
                <w:sz w:val="14"/>
              </w:rPr>
              <w:t>Control ID • scenario and source-event scope • expected/actual • variance • exception class • owner • evidence links • resolution • approval • calculated/reviewed time • rule version.</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Control names and pass conditions are exact canonical repository definitions. Exception taxonomy is an implementation-ready extension.</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17</w:t>
      </w:r>
    </w:p>
    <w:p>
      <w:pPr>
        <w:keepNext/>
        <w:spacing w:before="20" w:after="40" w:line="240" w:lineRule="auto"/>
        <w:jc w:val="left"/>
      </w:pPr>
      <w:r>
        <w:rPr>
          <w:rFonts w:ascii="DejaVu Serif" w:hAnsi="DejaVu Serif"/>
          <w:b/>
          <w:i w:val="0"/>
          <w:color w:val="345A68"/>
          <w:sz w:val="30"/>
        </w:rPr>
        <w:t>Governed Metric Registry</w:t>
      </w:r>
    </w:p>
    <w:p>
      <w:pPr>
        <w:keepNext w:val="0"/>
        <w:spacing w:before="0" w:after="100" w:line="259" w:lineRule="auto"/>
        <w:jc w:val="left"/>
      </w:pPr>
      <w:r>
        <w:rPr>
          <w:rFonts w:ascii="DejaVu Sans" w:hAnsi="DejaVu Sans"/>
          <w:b w:val="0"/>
          <w:i w:val="0"/>
          <w:color w:val="4A7C8E"/>
          <w:sz w:val="17"/>
        </w:rPr>
        <w:t>The repository contains 150 governed metrics across ten families. Ten are Implemented/Core; 140 form the Registry Roadmap. Metrics behave as executable semantic contracts, not dashboard labels.</w:t>
      </w:r>
    </w:p>
    <w:tbl>
      <w:tblPr>
        <w:tblW w:type="dxa" w:w="10556"/>
        <w:tblLayout w:type="fixed"/>
        <w:tblLook w:firstColumn="1" w:firstRow="1" w:lastColumn="0" w:lastRow="0" w:noHBand="0" w:noVBand="1" w:val="04A0"/>
        <w:jc w:val="left"/>
        <w:tblInd w:type="dxa" w:w="80"/>
      </w:tblPr>
      <w:tblGrid>
        <w:gridCol w:w="2850"/>
        <w:gridCol w:w="1267"/>
        <w:gridCol w:w="6439"/>
      </w:tblGrid>
      <w:tr>
        <w:trPr>
          <w:trHeight w:hRule="atLeast"/>
          <w:tblHeader w:val="true"/>
        </w:trPr>
        <w:tc>
          <w:tcPr>
            <w:tcW w:type="dxa" w:w="285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FAMILY</w:t>
            </w:r>
          </w:p>
        </w:tc>
        <w:tc>
          <w:tcPr>
            <w:tcW w:type="dxa" w:w="126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COUNT</w:t>
            </w:r>
          </w:p>
        </w:tc>
        <w:tc>
          <w:tcPr>
            <w:tcW w:type="dxa" w:w="64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OPERATING SCOPE</w:t>
            </w:r>
          </w:p>
        </w:tc>
      </w:tr>
      <w:tr>
        <w:trPr>
          <w:trHeight w:hRule="atLeast"/>
        </w:trPr>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Billing &amp; AR</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Invoice state, receivables, aging, credits, collections</w:t>
            </w:r>
          </w:p>
        </w:tc>
      </w:tr>
      <w:tr>
        <w:trPr>
          <w:trHeight w:hRule="atLeast"/>
        </w:trPr>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Bookings &amp; Backlog</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Commitments, remaining performance, contracted pipeline</w:t>
            </w:r>
          </w:p>
        </w:tc>
      </w:tr>
      <w:tr>
        <w:trPr>
          <w:trHeight w:hRule="atLeast"/>
        </w:trPr>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Cash &amp; Payments</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Settlements, cash timing, refunds, payment performance</w:t>
            </w:r>
          </w:p>
        </w:tc>
      </w:tr>
      <w:tr>
        <w:trPr>
          <w:trHeight w:hRule="atLeast"/>
        </w:trPr>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Controls &amp; Data Quality</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Reconciliation, completeness, exceptions, freshness</w:t>
            </w:r>
          </w:p>
        </w:tc>
      </w:tr>
      <w:tr>
        <w:trPr>
          <w:trHeight w:hRule="atLeast"/>
        </w:trPr>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Customer Economics</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Acquisition, service, margin, payback, profitability</w:t>
            </w:r>
          </w:p>
        </w:tc>
      </w:tr>
      <w:tr>
        <w:trPr>
          <w:trHeight w:hRule="atLeast"/>
        </w:trPr>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Debt &amp; Leverage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Balance, draws, repayments, interest, coverage, leverage</w:t>
            </w:r>
          </w:p>
        </w:tc>
      </w:tr>
      <w:tr>
        <w:trPr>
          <w:trHeight w:hRule="atLeast"/>
        </w:trPr>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Recurring Revenue</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ARR/MRR components, starts, changes, ending state</w:t>
            </w:r>
          </w:p>
        </w:tc>
      </w:tr>
      <w:tr>
        <w:trPr>
          <w:trHeight w:hRule="atLeast"/>
        </w:trPr>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Retention</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Renewal, expansion, contraction, churn, cohort behavior</w:t>
            </w:r>
          </w:p>
        </w:tc>
      </w:tr>
      <w:tr>
        <w:trPr>
          <w:trHeight w:hRule="atLeast"/>
        </w:trPr>
        <w:tc>
          <w:tcPr>
            <w:tcW w:type="dxa" w:w="285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Revenue</w:t>
            </w:r>
          </w:p>
        </w:tc>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Recognized, deferred, catch-up, adjustments, mix</w:t>
            </w:r>
          </w:p>
        </w:tc>
      </w:tr>
      <w:tr>
        <w:trPr>
          <w:trHeight w:hRule="atLeast"/>
        </w:trPr>
        <w:tc>
          <w:tcPr>
            <w:tcW w:type="dxa" w:w="285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Usage</w:t>
            </w:r>
          </w:p>
        </w:tc>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15</w:t>
            </w:r>
          </w:p>
        </w:tc>
        <w:tc>
          <w:tcPr>
            <w:tcW w:type="dxa" w:w="64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Entitlement, consumption, commitment, overage, adoption</w:t>
            </w:r>
          </w:p>
        </w:tc>
      </w:tr>
    </w:tbl>
    <w:p>
      <w:pPr>
        <w:keepNext/>
        <w:spacing w:before="20" w:after="40" w:line="259" w:lineRule="auto"/>
        <w:jc w:val="left"/>
      </w:pPr>
      <w:r>
        <w:rPr>
          <w:rFonts w:ascii="DejaVu Sans" w:hAnsi="DejaVu Sans"/>
          <w:b/>
          <w:i w:val="0"/>
          <w:color w:val="C4843A"/>
          <w:sz w:val="14"/>
        </w:rPr>
        <w:t>EXECUTABLE METRIC CONTRACT</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DEFINITION</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Human-readable meaning + exclusions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FORMULA</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Executable expression and version</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GRAIN</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Entity, product, contract, member, period</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TIME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Effective/as-of window and restatement policy</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DEPENDENCIES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Source events, transactions, atoms, other metrics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POLICY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Agent/user exposure and aggregation rules</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VALIDATION</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Fixtures, reconciliations, thresholds, regression proof</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LINEAGE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Prior/current value, rule, sources, Why Changed?</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PROPAGATION RULE  </w:t>
            </w:r>
            <w:r>
              <w:rPr>
                <w:rFonts w:ascii="DejaVu Sans" w:hAnsi="DejaVu Sans"/>
                <w:b w:val="0"/>
                <w:i w:val="0"/>
                <w:color w:val="2B2A28"/>
                <w:sz w:val="14"/>
              </w:rPr>
              <w:t>When a source, definition, entitlement, or formula changes, invalidate only affected dependency nodes, recalculate them in order, preserve prior values, and publish the reason.</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Family counts are exact: 15 metrics in each of 10 families. Contract fields consolidate the repository and Salt Basin metric-governance guidance.</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18</w:t>
      </w:r>
    </w:p>
    <w:p>
      <w:pPr>
        <w:keepNext/>
        <w:spacing w:before="20" w:after="40" w:line="240" w:lineRule="auto"/>
        <w:jc w:val="left"/>
      </w:pPr>
      <w:r>
        <w:rPr>
          <w:rFonts w:ascii="DejaVu Serif" w:hAnsi="DejaVu Serif"/>
          <w:b/>
          <w:i w:val="0"/>
          <w:color w:val="345A68"/>
          <w:sz w:val="30"/>
        </w:rPr>
        <w:t>Thesis, Claims &amp; Evidence Orbit</w:t>
      </w:r>
    </w:p>
    <w:p>
      <w:pPr>
        <w:keepNext w:val="0"/>
        <w:spacing w:before="0" w:after="100" w:line="259" w:lineRule="auto"/>
        <w:jc w:val="left"/>
      </w:pPr>
      <w:r>
        <w:rPr>
          <w:rFonts w:ascii="DejaVu Sans" w:hAnsi="DejaVu Sans"/>
          <w:b w:val="0"/>
          <w:i w:val="0"/>
          <w:color w:val="4A7C8E"/>
          <w:sz w:val="17"/>
        </w:rPr>
        <w:t>The Data Channel Rod links operational execution to investment and enterprise claims. The unit of proof is a business claim and its evidence path—not a narrative or an untraceable success metric.</w:t>
      </w:r>
    </w:p>
    <w:tbl>
      <w:tblPr>
        <w:tblW w:type="dxa" w:w="10556"/>
        <w:tblLayout w:type="fixed"/>
        <w:tblLook w:firstColumn="1" w:firstRow="1" w:lastColumn="0" w:lastRow="0" w:noHBand="0" w:noVBand="1" w:val="04A0"/>
        <w:jc w:val="left"/>
        <w:tblInd w:type="dxa" w:w="80"/>
      </w:tblPr>
      <w:tblGrid>
        <w:gridCol w:w="2639"/>
        <w:gridCol w:w="7917"/>
      </w:tblGrid>
      <w:tr>
        <w:trPr>
          <w:trHeight w:hRule="atLeast"/>
          <w:tblHeader w:val="true"/>
        </w:trPr>
        <w:tc>
          <w:tcPr>
            <w:tcW w:type="dxa" w:w="26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OBJECT</w:t>
            </w:r>
          </w:p>
        </w:tc>
        <w:tc>
          <w:tcPr>
            <w:tcW w:type="dxa" w:w="79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PORTFOLIO REQUIREMENT</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Claim</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Precise, bounded statement with owner, scope, target, time, and status</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Candidate driver</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Proposed causal mechanism or initiative</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Counterfactual</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Expected outcome absent the driver</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Evidence</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Source-linked observations, transactions, controls, metrics, approvals</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Competing driver</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Alternative explanation that could affect attribution</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Allocation rule</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Governed method for shared or uncertain value</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Confidence</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Evidence quality, attribution strength, completeness, temporal integrity, exit readiness</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Temporal validity</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Effective window, refresh/review date, supersession history</w:t>
            </w:r>
          </w:p>
        </w:tc>
      </w:tr>
    </w:tbl>
    <w:p>
      <w:pPr>
        <w:keepNext/>
        <w:spacing w:before="20" w:after="40" w:line="259" w:lineRule="auto"/>
        <w:jc w:val="left"/>
      </w:pPr>
      <w:r>
        <w:rPr>
          <w:rFonts w:ascii="DejaVu Sans" w:hAnsi="DejaVu Sans"/>
          <w:b/>
          <w:i w:val="0"/>
          <w:color w:val="C4843A"/>
          <w:sz w:val="14"/>
        </w:rPr>
        <w:t>CLAIM MATURITY</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0 • ASSERTED</w:t>
            </w:r>
          </w:p>
          <w:p>
            <w:pPr>
              <w:spacing w:before="40" w:after="0" w:line="245" w:lineRule="auto"/>
            </w:pPr>
            <w:r>
              <w:rPr>
                <w:rFonts w:ascii="DejaVu Sans" w:hAnsi="DejaVu Sans"/>
                <w:b w:val="0"/>
                <w:i w:val="0"/>
                <w:color w:val="4A7C8E"/>
                <w:sz w:val="13"/>
              </w:rPr>
              <w:t>Claim exists; proof is not yet defined.</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1 • DEFINED</w:t>
            </w:r>
          </w:p>
          <w:p>
            <w:pPr>
              <w:spacing w:before="40" w:after="0" w:line="245" w:lineRule="auto"/>
            </w:pPr>
            <w:r>
              <w:rPr>
                <w:rFonts w:ascii="DejaVu Sans" w:hAnsi="DejaVu Sans"/>
                <w:b w:val="0"/>
                <w:i w:val="0"/>
                <w:color w:val="4A7C8E"/>
                <w:sz w:val="13"/>
              </w:rPr>
              <w:t>Meaning, owner, scope, target, and evidence requirements are explicit.</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2 • REPRODUCIBLE</w:t>
            </w:r>
          </w:p>
          <w:p>
            <w:pPr>
              <w:spacing w:before="40" w:after="0" w:line="245" w:lineRule="auto"/>
            </w:pPr>
            <w:r>
              <w:rPr>
                <w:rFonts w:ascii="DejaVu Sans" w:hAnsi="DejaVu Sans"/>
                <w:b w:val="0"/>
                <w:i w:val="0"/>
                <w:color w:val="4A7C8E"/>
                <w:sz w:val="13"/>
              </w:rPr>
              <w:t>Another reviewer can regenerate the result from governed sources.</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3 • RECONCILED</w:t>
            </w:r>
          </w:p>
          <w:p>
            <w:pPr>
              <w:spacing w:before="40" w:after="0" w:line="245" w:lineRule="auto"/>
            </w:pPr>
            <w:r>
              <w:rPr>
                <w:rFonts w:ascii="DejaVu Sans" w:hAnsi="DejaVu Sans"/>
                <w:b w:val="0"/>
                <w:i w:val="0"/>
                <w:color w:val="4A7C8E"/>
                <w:sz w:val="13"/>
              </w:rPr>
              <w:t>Inputs and outputs satisfy applicable controls.</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4 • EXPLAINABLE</w:t>
            </w:r>
          </w:p>
          <w:p>
            <w:pPr>
              <w:spacing w:before="40" w:after="0" w:line="245" w:lineRule="auto"/>
            </w:pPr>
            <w:r>
              <w:rPr>
                <w:rFonts w:ascii="DejaVu Sans" w:hAnsi="DejaVu Sans"/>
                <w:b w:val="0"/>
                <w:i w:val="0"/>
                <w:color w:val="4A7C8E"/>
                <w:sz w:val="13"/>
              </w:rPr>
              <w:t>Drivers, competing causes, allocation, and changes are visible.</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5 • OUTCOME VALIDATED</w:t>
            </w:r>
          </w:p>
          <w:p>
            <w:pPr>
              <w:spacing w:before="40" w:after="0" w:line="245" w:lineRule="auto"/>
            </w:pPr>
            <w:r>
              <w:rPr>
                <w:rFonts w:ascii="DejaVu Sans" w:hAnsi="DejaVu Sans"/>
                <w:b w:val="0"/>
                <w:i w:val="0"/>
                <w:color w:val="4A7C8E"/>
                <w:sz w:val="13"/>
              </w:rPr>
              <w:t>Sustained outcome evidence supports the claim for its valid period.</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NON-MONOTONIC MATURITY  </w:t>
            </w:r>
            <w:r>
              <w:rPr>
                <w:rFonts w:ascii="DejaVu Sans" w:hAnsi="DejaVu Sans"/>
                <w:b w:val="0"/>
                <w:i w:val="0"/>
                <w:color w:val="2B2A28"/>
                <w:sz w:val="14"/>
              </w:rPr>
              <w:t>Maturity can regress when evidence expires, rules change, contradictory facts appear, entitlements lapse, or outcomes no longer hold. Preserve the history; do not overwrite it.</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Claim chain and maturity levels derive from the Thesis Evidence Orbit and fully annotated Salt Basin notes.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19</w:t>
      </w:r>
    </w:p>
    <w:p>
      <w:pPr>
        <w:keepNext/>
        <w:spacing w:before="20" w:after="40" w:line="240" w:lineRule="auto"/>
        <w:jc w:val="left"/>
      </w:pPr>
      <w:r>
        <w:rPr>
          <w:rFonts w:ascii="DejaVu Serif" w:hAnsi="DejaVu Serif"/>
          <w:b/>
          <w:i w:val="0"/>
          <w:color w:val="345A68"/>
          <w:sz w:val="30"/>
        </w:rPr>
        <w:t>Temporal Truth &amp; Reproducibility</w:t>
      </w:r>
    </w:p>
    <w:p>
      <w:pPr>
        <w:keepNext w:val="0"/>
        <w:spacing w:before="0" w:after="100" w:line="259" w:lineRule="auto"/>
        <w:jc w:val="left"/>
      </w:pPr>
      <w:r>
        <w:rPr>
          <w:rFonts w:ascii="DejaVu Sans" w:hAnsi="DejaVu Sans"/>
          <w:b w:val="0"/>
          <w:i w:val="0"/>
          <w:color w:val="4A7C8E"/>
          <w:sz w:val="17"/>
        </w:rPr>
        <w:t>Salt Basin separates multiple kinds of time so the platform can answer what was known, what was effective, what was calculated, and what a user was entitled to see at any prior point.</w:t>
      </w:r>
    </w:p>
    <w:tbl>
      <w:tblPr>
        <w:tblW w:type="dxa" w:w="10556"/>
        <w:tblLayout w:type="fixed"/>
        <w:tblLook w:firstColumn="1" w:firstRow="1" w:lastColumn="0" w:lastRow="0" w:noHBand="0" w:noVBand="1" w:val="04A0"/>
        <w:jc w:val="left"/>
        <w:tblInd w:type="dxa" w:w="80"/>
      </w:tblPr>
      <w:tblGrid>
        <w:gridCol w:w="2111"/>
        <w:gridCol w:w="4011"/>
        <w:gridCol w:w="4434"/>
      </w:tblGrid>
      <w:tr>
        <w:trPr>
          <w:trHeight w:hRule="atLeast"/>
          <w:tblHeader w:val="true"/>
        </w:trPr>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CLOCK</w:t>
            </w:r>
          </w:p>
        </w:tc>
        <w:tc>
          <w:tcPr>
            <w:tcW w:type="dxa" w:w="40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MEANING</w:t>
            </w:r>
          </w:p>
        </w:tc>
        <w:tc>
          <w:tcPr>
            <w:tcW w:type="dxa" w:w="4434"/>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WHY IT MATTERS</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Occurred time</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When the source event happened</w:t>
            </w:r>
          </w:p>
        </w:tc>
        <w:tc>
          <w:tcPr>
            <w:tcW w:type="dxa" w:w="443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Event sequence and operational causality</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Effective time</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When the business meaning or rule applies</w:t>
            </w:r>
          </w:p>
        </w:tc>
        <w:tc>
          <w:tcPr>
            <w:tcW w:type="dxa" w:w="443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Contract, price, entitlement, metric and claim validity</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Ingested time</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When the platform received the source record</w:t>
            </w:r>
          </w:p>
        </w:tc>
        <w:tc>
          <w:tcPr>
            <w:tcW w:type="dxa" w:w="443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Latency, late-arriving data, replay</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Recorded / updated time</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When the governed record changed</w:t>
            </w:r>
          </w:p>
        </w:tc>
        <w:tc>
          <w:tcPr>
            <w:tcW w:type="dxa" w:w="443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Audit history</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Stage time</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When a journey entered/exited a maturity state</w:t>
            </w:r>
          </w:p>
        </w:tc>
        <w:tc>
          <w:tcPr>
            <w:tcW w:type="dxa" w:w="443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Funnel and lifecycle reproduction</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Calculated time</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When a control or metric result was produced</w:t>
            </w:r>
          </w:p>
        </w:tc>
        <w:tc>
          <w:tcPr>
            <w:tcW w:type="dxa" w:w="443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Result-version lineage</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Cache freshness</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Projection age and next refresh</w:t>
            </w:r>
          </w:p>
        </w:tc>
        <w:tc>
          <w:tcPr>
            <w:tcW w:type="dxa" w:w="443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Distributed semantic projection</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Review time</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Last and next human/token-owner review</w:t>
            </w:r>
          </w:p>
        </w:tc>
        <w:tc>
          <w:tcPr>
            <w:tcW w:type="dxa" w:w="443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Definition and evidence governance</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As-of time</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Viewer-selected reconstruction point</w:t>
            </w:r>
          </w:p>
        </w:tc>
        <w:tc>
          <w:tcPr>
            <w:tcW w:type="dxa" w:w="443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Prior-state UI and audit</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BITEMPORAL-PLUS RULE  </w:t>
            </w:r>
            <w:r>
              <w:rPr>
                <w:rFonts w:ascii="DejaVu Sans" w:hAnsi="DejaVu Sans"/>
                <w:b w:val="0"/>
                <w:i w:val="0"/>
                <w:color w:val="2B2A28"/>
                <w:sz w:val="14"/>
              </w:rPr>
              <w:t>Never collapse effective time into database update time. Store source, rule, identity, policy, and calculation versions required to reproduce the result as it was shown.</w:t>
            </w:r>
          </w:p>
        </w:tc>
      </w:tr>
    </w:tbl>
    <w:p>
      <w:pPr>
        <w:keepNext/>
        <w:spacing w:before="20" w:after="40" w:line="259" w:lineRule="auto"/>
        <w:jc w:val="left"/>
      </w:pPr>
      <w:r>
        <w:rPr>
          <w:rFonts w:ascii="DejaVu Sans" w:hAnsi="DejaVu Sans"/>
          <w:b/>
          <w:i w:val="0"/>
          <w:color w:val="C4843A"/>
          <w:sz w:val="14"/>
        </w:rPr>
        <w:t>RESTATEMENT BEHAVIOR</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PRESERVE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Prior record/result and source lineage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SUPERSEDE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New effective result with reason and approval</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INVALIDATE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Affected downstream nodes only</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RECALCULATE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Dependency-ordered results with new run IDs</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EXPLAIN</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Prior vs current, driver, rule/source change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AUDIT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Who/what/when, entitlement context, evidence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Temporal model synthesizes the repository’s governance fields, annotated notes, distributed projection model, and transaction-grounded implementation rules.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20</w:t>
      </w:r>
    </w:p>
    <w:p>
      <w:pPr>
        <w:keepNext/>
        <w:spacing w:before="20" w:after="40" w:line="240" w:lineRule="auto"/>
        <w:jc w:val="left"/>
      </w:pPr>
      <w:r>
        <w:rPr>
          <w:rFonts w:ascii="DejaVu Serif" w:hAnsi="DejaVu Serif"/>
          <w:b/>
          <w:i w:val="0"/>
          <w:color w:val="345A68"/>
          <w:sz w:val="30"/>
        </w:rPr>
        <w:t>Agent-Centric Security &amp; Distributed Projection</w:t>
      </w:r>
    </w:p>
    <w:p>
      <w:pPr>
        <w:keepNext w:val="0"/>
        <w:spacing w:before="0" w:after="100" w:line="259" w:lineRule="auto"/>
        <w:jc w:val="left"/>
      </w:pPr>
      <w:r>
        <w:rPr>
          <w:rFonts w:ascii="DejaVu Sans" w:hAnsi="DejaVu Sans"/>
          <w:b w:val="0"/>
          <w:i w:val="0"/>
          <w:color w:val="4A7C8E"/>
          <w:sz w:val="17"/>
        </w:rPr>
        <w:t>Security is an envelope around each persistent agent. User authentication changes what the entitled user can reveal, slice, propose, stage, or commit; it does not erase the agent’s governed source, memory, and action boundaries.</w:t>
      </w:r>
    </w:p>
    <w:tbl>
      <w:tblPr>
        <w:tblW w:type="dxa" w:w="10556"/>
        <w:tblLayout w:type="fixed"/>
        <w:tblLook w:firstColumn="1" w:firstRow="1" w:lastColumn="0" w:lastRow="0" w:noHBand="0" w:noVBand="1" w:val="04A0"/>
        <w:jc w:val="left"/>
        <w:tblInd w:type="dxa" w:w="80"/>
      </w:tblPr>
      <w:tblGrid>
        <w:gridCol w:w="2639"/>
        <w:gridCol w:w="7917"/>
      </w:tblGrid>
      <w:tr>
        <w:trPr>
          <w:trHeight w:hRule="atLeast"/>
          <w:tblHeader w:val="true"/>
        </w:trPr>
        <w:tc>
          <w:tcPr>
            <w:tcW w:type="dxa" w:w="2639"/>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POLICY LAYER</w:t>
            </w:r>
          </w:p>
        </w:tc>
        <w:tc>
          <w:tcPr>
            <w:tcW w:type="dxa" w:w="791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REQUIRED DEFINITION</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Source policy</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Which native systems, objects, fields, scopes, and queries the agent may access</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Transform policy</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Which definitions, aggregations, joins, models, and inference methods are permitted</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Memory policy</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What may persist, at what grain, for how long, and with what deletion/refresh behavior</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Exposure policy</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Which users, roles, entities, schools/programs, funds, and aggregation levels may see outputs</w:t>
            </w:r>
          </w:p>
        </w:tc>
      </w:tr>
      <w:tr>
        <w:trPr>
          <w:trHeight w:hRule="atLeast"/>
        </w:trPr>
        <w:tc>
          <w:tcPr>
            <w:tcW w:type="dxa" w:w="2639"/>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Action policy</w:t>
            </w:r>
          </w:p>
        </w:tc>
        <w:tc>
          <w:tcPr>
            <w:tcW w:type="dxa" w:w="791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Observe, recommend, propose, stage, commit; required approvals and separation of duties</w:t>
            </w:r>
          </w:p>
        </w:tc>
      </w:tr>
      <w:tr>
        <w:trPr>
          <w:trHeight w:hRule="atLeast"/>
        </w:trPr>
        <w:tc>
          <w:tcPr>
            <w:tcW w:type="dxa" w:w="2639"/>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Evidence policy</w:t>
            </w:r>
          </w:p>
        </w:tc>
        <w:tc>
          <w:tcPr>
            <w:tcW w:type="dxa" w:w="791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Which lineage, controls, confidence, and explanation must accompany an output or action</w:t>
            </w:r>
          </w:p>
        </w:tc>
      </w:tr>
    </w:tbl>
    <w:p>
      <w:pPr>
        <w:keepNext/>
        <w:spacing w:before="20" w:after="40" w:line="259" w:lineRule="auto"/>
        <w:jc w:val="left"/>
      </w:pPr>
      <w:r>
        <w:rPr>
          <w:rFonts w:ascii="DejaVu Sans" w:hAnsi="DejaVu Sans"/>
          <w:b/>
          <w:i w:val="0"/>
          <w:color w:val="C4843A"/>
          <w:sz w:val="14"/>
        </w:rPr>
        <w:t>REPRESENTATIVE ENVELOPES</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REVENUE AGENT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CRM/email/phone/calendar/marketing; deal-team exposure; propose/stage/commit if entitled; no clinical data</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MEMBER AGENT</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Native systems under native permissions; authorized projections only; restricted retention; protect student/health data</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CLAIMS AGENT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Payer/provider claim scope; adjudication lineage; minimum necessary exposure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ACCOUNTING AGENT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ERP/subledger scope; posting, close, reconciliation, and approval separation</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USER SESSION</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Adds identity, role, entity and purpose context</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ZERO-COPY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Filter/aggregate at source; persist only governed projections and proof</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DEFAULT-DENY MERGE  </w:t>
            </w:r>
            <w:r>
              <w:rPr>
                <w:rFonts w:ascii="DejaVu Sans" w:hAnsi="DejaVu Sans"/>
                <w:b w:val="0"/>
                <w:i w:val="0"/>
                <w:color w:val="2B2A28"/>
                <w:sz w:val="14"/>
              </w:rPr>
              <w:t>Identity, definition, time, consent, source authority, and entitlement must all pass before cross-rod convergence or data exposure.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Policy model comes from Enterprise Foundation security policies and the standing agent-centric security convention.</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21</w:t>
      </w:r>
    </w:p>
    <w:p>
      <w:pPr>
        <w:keepNext/>
        <w:spacing w:before="20" w:after="40" w:line="240" w:lineRule="auto"/>
        <w:jc w:val="left"/>
      </w:pPr>
      <w:r>
        <w:rPr>
          <w:rFonts w:ascii="DejaVu Serif" w:hAnsi="DejaVu Serif"/>
          <w:b/>
          <w:i w:val="0"/>
          <w:color w:val="345A68"/>
          <w:sz w:val="30"/>
        </w:rPr>
        <w:t>Implementation Approach</w:t>
      </w:r>
    </w:p>
    <w:p>
      <w:pPr>
        <w:keepNext w:val="0"/>
        <w:spacing w:before="0" w:after="100" w:line="259" w:lineRule="auto"/>
        <w:jc w:val="left"/>
      </w:pPr>
      <w:r>
        <w:rPr>
          <w:rFonts w:ascii="DejaVu Sans" w:hAnsi="DejaVu Sans"/>
          <w:b w:val="0"/>
          <w:i w:val="0"/>
          <w:color w:val="4A7C8E"/>
          <w:sz w:val="17"/>
        </w:rPr>
        <w:t>Build the repository as governed configuration plus deterministic proof. Use vertical slices, configuration-driven variants, and an event-first pipeline; avoid 2,400 bespoke workflows.</w:t>
      </w:r>
    </w:p>
    <w:tbl>
      <w:tblPr>
        <w:tblW w:type="dxa" w:w="10556"/>
        <w:tblLayout w:type="fixed"/>
        <w:tblLook w:firstColumn="1" w:firstRow="1" w:lastColumn="0" w:lastRow="0" w:noHBand="0" w:noVBand="1" w:val="04A0"/>
        <w:jc w:val="left"/>
        <w:tblInd w:type="dxa" w:w="80"/>
      </w:tblPr>
      <w:tblGrid>
        <w:gridCol w:w="1478"/>
        <w:gridCol w:w="6122"/>
        <w:gridCol w:w="2956"/>
      </w:tblGrid>
      <w:tr>
        <w:trPr>
          <w:trHeight w:hRule="atLeast"/>
          <w:tblHeader w:val="true"/>
        </w:trPr>
        <w:tc>
          <w:tcPr>
            <w:tcW w:type="dxa" w:w="1478"/>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METHOD</w:t>
            </w:r>
          </w:p>
        </w:tc>
        <w:tc>
          <w:tcPr>
            <w:tcW w:type="dxa" w:w="612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WORK</w:t>
            </w:r>
          </w:p>
        </w:tc>
        <w:tc>
          <w:tcPr>
            <w:tcW w:type="dxa" w:w="29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EXIT</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w:t>
            </w:r>
          </w:p>
        </w:tc>
        <w:tc>
          <w:tcPr>
            <w:tcW w:type="dxa" w:w="61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Load canonical dimensions, atoms, molecules, events, controls, metrics, policy and time models</w:t>
            </w:r>
          </w:p>
        </w:tc>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Codes and definitions validate; gaps visible</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MAP</w:t>
            </w:r>
          </w:p>
        </w:tc>
        <w:tc>
          <w:tcPr>
            <w:tcW w:type="dxa" w:w="61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Crosswalk native source fields/events to canonical objects and lineage roots</w:t>
            </w:r>
          </w:p>
        </w:tc>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Source authority and transforms are explicit</w:t>
            </w:r>
          </w:p>
        </w:tc>
      </w:tr>
      <w:tr>
        <w:trPr>
          <w:trHeight w:hRule="atLeast"/>
        </w:trPr>
        <w:tc>
          <w:tcPr>
            <w:tcW w:type="dxa" w:w="1478"/>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CONTRACT</w:t>
            </w:r>
          </w:p>
        </w:tc>
        <w:tc>
          <w:tcPr>
            <w:tcW w:type="dxa" w:w="61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Select Scenario_IDs; generate fixtures; declare outputs, controls, metrics, UI and exception behavior</w:t>
            </w:r>
          </w:p>
        </w:tc>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Expected results are executable</w:t>
            </w:r>
          </w:p>
        </w:tc>
      </w:tr>
      <w:tr>
        <w:trPr>
          <w:trHeight w:hRule="atLeast"/>
        </w:trPr>
        <w:tc>
          <w:tcPr>
            <w:tcW w:type="dxa" w:w="1478"/>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VALIDATE</w:t>
            </w:r>
          </w:p>
        </w:tc>
        <w:tc>
          <w:tcPr>
            <w:tcW w:type="dxa" w:w="61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Run transactions, reconciliations, metric dependencies, temporal replay, policy tests and explanation</w:t>
            </w:r>
          </w:p>
        </w:tc>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Reproducible release evidence</w:t>
            </w:r>
          </w:p>
        </w:tc>
      </w:tr>
    </w:tbl>
    <w:p>
      <w:pPr>
        <w:keepNext/>
        <w:spacing w:before="20" w:after="40" w:line="259" w:lineRule="auto"/>
        <w:jc w:val="left"/>
      </w:pPr>
      <w:r>
        <w:rPr>
          <w:rFonts w:ascii="DejaVu Sans" w:hAnsi="DejaVu Sans"/>
          <w:b/>
          <w:i w:val="0"/>
          <w:color w:val="C4843A"/>
          <w:sz w:val="14"/>
        </w:rPr>
        <w:t>DATABASIN TRANSITION PATH</w:t>
      </w:r>
    </w:p>
    <w:tbl>
      <w:tblPr>
        <w:tblW w:type="dxa" w:w="10556"/>
        <w:jc w:val="left"/>
        <w:tblLayout w:type="fixed"/>
        <w:tblLook w:firstColumn="1" w:firstRow="1" w:lastColumn="0" w:lastRow="0" w:noHBand="0" w:noVBand="1" w:val="04A0"/>
        <w:tblInd w:type="dxa" w:w="95"/>
      </w:tblPr>
      <w:tblGrid>
        <w:gridCol w:w="2639"/>
        <w:gridCol w:w="2639"/>
        <w:gridCol w:w="2639"/>
        <w:gridCol w:w="2639"/>
      </w:tblGrid>
      <w:tr>
        <w:trPr/>
        <w:tc>
          <w:tcPr>
            <w:tcW w:type="dxa" w:w="263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INGEST</w:t>
            </w:r>
          </w:p>
          <w:p>
            <w:pPr>
              <w:spacing w:before="40" w:after="0" w:line="245" w:lineRule="auto"/>
            </w:pPr>
            <w:r>
              <w:rPr>
                <w:rFonts w:ascii="DejaVu Sans" w:hAnsi="DejaVu Sans"/>
                <w:b w:val="0"/>
                <w:i w:val="0"/>
                <w:color w:val="4A7C8E"/>
                <w:sz w:val="12"/>
              </w:rPr>
              <w:t>Connect and capture authoritative source events without losing native identifiers.</w:t>
            </w:r>
          </w:p>
        </w:tc>
        <w:tc>
          <w:tcPr>
            <w:tcW w:type="dxa" w:w="263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PRESERVE</w:t>
            </w:r>
          </w:p>
          <w:p>
            <w:pPr>
              <w:spacing w:before="40" w:after="0" w:line="245" w:lineRule="auto"/>
            </w:pPr>
            <w:r>
              <w:rPr>
                <w:rFonts w:ascii="DejaVu Sans" w:hAnsi="DejaVu Sans"/>
                <w:b w:val="0"/>
                <w:i w:val="0"/>
                <w:color w:val="4A7C8E"/>
                <w:sz w:val="12"/>
              </w:rPr>
              <w:t>Retain raw/source truth and temporal lineage.</w:t>
            </w:r>
          </w:p>
        </w:tc>
        <w:tc>
          <w:tcPr>
            <w:tcW w:type="dxa" w:w="2639"/>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MODEL</w:t>
            </w:r>
          </w:p>
          <w:p>
            <w:pPr>
              <w:spacing w:before="40" w:after="0" w:line="245" w:lineRule="auto"/>
            </w:pPr>
            <w:r>
              <w:rPr>
                <w:rFonts w:ascii="DejaVu Sans" w:hAnsi="DejaVu Sans"/>
                <w:b w:val="0"/>
                <w:i w:val="0"/>
                <w:color w:val="4A7C8E"/>
                <w:sz w:val="12"/>
              </w:rPr>
              <w:t>Map to canonical objects, atoms, molecules, rods, policies, and event types.</w:t>
            </w:r>
          </w:p>
        </w:tc>
        <w:tc>
          <w:tcPr>
            <w:tcW w:type="dxa" w:w="263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CLEANSE</w:t>
            </w:r>
          </w:p>
          <w:p>
            <w:pPr>
              <w:spacing w:before="40" w:after="0" w:line="245" w:lineRule="auto"/>
            </w:pPr>
            <w:r>
              <w:rPr>
                <w:rFonts w:ascii="DejaVu Sans" w:hAnsi="DejaVu Sans"/>
                <w:b w:val="0"/>
                <w:i w:val="0"/>
                <w:color w:val="4A7C8E"/>
                <w:sz w:val="12"/>
              </w:rPr>
              <w:t>Resolve quality defects and identity conflicts under governed rules.</w:t>
            </w:r>
          </w:p>
        </w:tc>
      </w:tr>
      <w:tr>
        <w:trPr/>
        <w:tc>
          <w:tcPr>
            <w:tcW w:type="dxa" w:w="263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RECONCILE</w:t>
            </w:r>
          </w:p>
          <w:p>
            <w:pPr>
              <w:spacing w:before="40" w:after="0" w:line="245" w:lineRule="auto"/>
            </w:pPr>
            <w:r>
              <w:rPr>
                <w:rFonts w:ascii="DejaVu Sans" w:hAnsi="DejaVu Sans"/>
                <w:b w:val="0"/>
                <w:i w:val="0"/>
                <w:color w:val="4A7C8E"/>
                <w:sz w:val="12"/>
              </w:rPr>
              <w:t>Tie operational and financial truth; classify exceptions.</w:t>
            </w:r>
          </w:p>
        </w:tc>
        <w:tc>
          <w:tcPr>
            <w:tcW w:type="dxa" w:w="263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VALIDATE</w:t>
            </w:r>
          </w:p>
          <w:p>
            <w:pPr>
              <w:spacing w:before="40" w:after="0" w:line="245" w:lineRule="auto"/>
            </w:pPr>
            <w:r>
              <w:rPr>
                <w:rFonts w:ascii="DejaVu Sans" w:hAnsi="DejaVu Sans"/>
                <w:b w:val="0"/>
                <w:i w:val="0"/>
                <w:color w:val="4A7C8E"/>
                <w:sz w:val="12"/>
              </w:rPr>
              <w:t>Run fixtures, metrics, policies, UI explanation, and regression gates.</w:t>
            </w:r>
          </w:p>
        </w:tc>
        <w:tc>
          <w:tcPr>
            <w:tcW w:type="dxa" w:w="263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WRITE BACK</w:t>
            </w:r>
          </w:p>
          <w:p>
            <w:pPr>
              <w:spacing w:before="40" w:after="0" w:line="245" w:lineRule="auto"/>
            </w:pPr>
            <w:r>
              <w:rPr>
                <w:rFonts w:ascii="DejaVu Sans" w:hAnsi="DejaVu Sans"/>
                <w:b w:val="0"/>
                <w:i w:val="0"/>
                <w:color w:val="4A7C8E"/>
                <w:sz w:val="12"/>
              </w:rPr>
              <w:t>Propose/stage/commit only through entitled agents and approvals.</w:t>
            </w:r>
          </w:p>
        </w:tc>
        <w:tc>
          <w:tcPr>
            <w:tcW w:type="dxa" w:w="263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PERSIST</w:t>
            </w:r>
          </w:p>
          <w:p>
            <w:pPr>
              <w:spacing w:before="40" w:after="0" w:line="245" w:lineRule="auto"/>
            </w:pPr>
            <w:r>
              <w:rPr>
                <w:rFonts w:ascii="DejaVu Sans" w:hAnsi="DejaVu Sans"/>
                <w:b w:val="0"/>
                <w:i w:val="0"/>
                <w:color w:val="4A7C8E"/>
                <w:sz w:val="12"/>
              </w:rPr>
              <w:t>Store governed transaction/evidence truth and reproducible projections.</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MIGRATION GATE  </w:t>
            </w:r>
            <w:r>
              <w:rPr>
                <w:rFonts w:ascii="DejaVu Sans" w:hAnsi="DejaVu Sans"/>
                <w:b w:val="0"/>
                <w:i w:val="0"/>
                <w:color w:val="2B2A28"/>
                <w:sz w:val="14"/>
              </w:rPr>
              <w:t>No reporting migration is accepted until source-to-target lineage, reconciliation, semantic definitions, temporal replay, security, and user explanation pass. Material AI-synthesized definitions require token-owner validation.</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Implementation approach consolidates the 15-step repository guide, DataBasin bridge methodology, POC mapping, and transaction-grounded portfolio.</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22</w:t>
      </w:r>
    </w:p>
    <w:p>
      <w:pPr>
        <w:keepNext/>
        <w:spacing w:before="20" w:after="40" w:line="240" w:lineRule="auto"/>
        <w:jc w:val="left"/>
      </w:pPr>
      <w:r>
        <w:rPr>
          <w:rFonts w:ascii="DejaVu Serif" w:hAnsi="DejaVu Serif"/>
          <w:b/>
          <w:i w:val="0"/>
          <w:color w:val="345A68"/>
          <w:sz w:val="30"/>
        </w:rPr>
        <w:t>Rollout Roadmap &amp; Release Gates</w:t>
      </w:r>
    </w:p>
    <w:p>
      <w:pPr>
        <w:keepNext w:val="0"/>
        <w:spacing w:before="0" w:after="100" w:line="259" w:lineRule="auto"/>
        <w:jc w:val="left"/>
      </w:pPr>
      <w:r>
        <w:rPr>
          <w:rFonts w:ascii="DejaVu Sans" w:hAnsi="DejaVu Sans"/>
          <w:b w:val="0"/>
          <w:i w:val="0"/>
          <w:color w:val="4A7C8E"/>
          <w:sz w:val="17"/>
        </w:rPr>
        <w:t>The roadmap is outcome-gated rather than date-driven. Calendar commitments, owners, budget, margin, dependencies, and completion belong in the Thesis / Tributary Ledger; this portfolio records the durable implementation contract and evidence.</w:t>
      </w:r>
    </w:p>
    <w:tbl>
      <w:tblPr>
        <w:tblW w:type="dxa" w:w="10556"/>
        <w:tblLayout w:type="fixed"/>
        <w:tblLook w:firstColumn="1" w:firstRow="1" w:lastColumn="0" w:lastRow="0" w:noHBand="0" w:noVBand="1" w:val="04A0"/>
        <w:jc w:val="left"/>
        <w:tblInd w:type="dxa" w:w="80"/>
      </w:tblPr>
      <w:tblGrid>
        <w:gridCol w:w="1583"/>
        <w:gridCol w:w="1900"/>
        <w:gridCol w:w="4222"/>
        <w:gridCol w:w="2851"/>
      </w:tblGrid>
      <w:tr>
        <w:trPr>
          <w:trHeight w:hRule="atLeast"/>
          <w:tblHeader w:val="true"/>
        </w:trPr>
        <w:tc>
          <w:tcPr>
            <w:tcW w:type="dxa" w:w="158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PHASE</w:t>
            </w:r>
          </w:p>
        </w:tc>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SCOPE</w:t>
            </w:r>
          </w:p>
        </w:tc>
        <w:tc>
          <w:tcPr>
            <w:tcW w:type="dxa" w:w="422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DELIVER</w:t>
            </w:r>
          </w:p>
        </w:tc>
        <w:tc>
          <w:tcPr>
            <w:tcW w:type="dxa" w:w="285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EXIT GATE</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0 • Foundation</w:t>
            </w:r>
          </w:p>
        </w:tc>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Canonical vocabulary and platform spine</w:t>
            </w:r>
          </w:p>
        </w:tc>
        <w:tc>
          <w:tcPr>
            <w:tcW w:type="dxa" w:w="42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16 dimensions; 93 values; atoms/molecules; event/control/metric/policy/time models</w:t>
            </w:r>
          </w:p>
        </w:tc>
        <w:tc>
          <w:tcPr>
            <w:tcW w:type="dxa" w:w="285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Codes load; mappings validate; source authority known; no opaque metadata</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1 • Core</w:t>
            </w:r>
          </w:p>
        </w:tc>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240 Core scenarios</w:t>
            </w:r>
          </w:p>
        </w:tc>
        <w:tc>
          <w:tcPr>
            <w:tcW w:type="dxa" w:w="42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All ten event families; deterministic fixtures; four controls; first ten metrics; trace UI</w:t>
            </w:r>
          </w:p>
        </w:tc>
        <w:tc>
          <w:tcPr>
            <w:tcW w:type="dxa" w:w="285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Expected state and financial truth reproduce under policy</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2 • Extended</w:t>
            </w:r>
          </w:p>
        </w:tc>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960 Extended scenarios</w:t>
            </w:r>
          </w:p>
        </w:tc>
        <w:tc>
          <w:tcPr>
            <w:tcW w:type="dxa" w:w="42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More systems, hierarchies, branches, timing/status exceptions, distributed projections</w:t>
            </w:r>
          </w:p>
        </w:tc>
        <w:tc>
          <w:tcPr>
            <w:tcW w:type="dxa" w:w="285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Branch/merge, temporal replay, exception handling, explanation pass</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3 • Edge</w:t>
            </w:r>
          </w:p>
        </w:tc>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1,200 Edge scenarios</w:t>
            </w:r>
          </w:p>
        </w:tc>
        <w:tc>
          <w:tcPr>
            <w:tcW w:type="dxa" w:w="42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Corrections, restatements, propagation, denial paths, performance and recovery</w:t>
            </w:r>
          </w:p>
        </w:tc>
        <w:tc>
          <w:tcPr>
            <w:tcW w:type="dxa" w:w="285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Bounded recalculation, secure failure, complete regression evidence</w:t>
            </w:r>
          </w:p>
        </w:tc>
      </w:tr>
      <w:tr>
        <w:trPr>
          <w:trHeight w:hRule="atLeast"/>
        </w:trPr>
        <w:tc>
          <w:tcPr>
            <w:tcW w:type="dxa" w:w="158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4 • Operate</w:t>
            </w:r>
          </w:p>
        </w:tc>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Versioned production releases</w:t>
            </w:r>
          </w:p>
        </w:tc>
        <w:tc>
          <w:tcPr>
            <w:tcW w:type="dxa" w:w="42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Metric registry 10→150; monitoring; coverage/gap register; control operations</w:t>
            </w:r>
          </w:p>
        </w:tc>
        <w:tc>
          <w:tcPr>
            <w:tcW w:type="dxa" w:w="285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Release evidence reviewable; prior results reproducible</w:t>
            </w:r>
          </w:p>
        </w:tc>
      </w:tr>
      <w:tr>
        <w:trPr>
          <w:trHeight w:hRule="atLeast"/>
        </w:trPr>
        <w:tc>
          <w:tcPr>
            <w:tcW w:type="dxa" w:w="158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5 • Expand</w:t>
            </w:r>
          </w:p>
        </w:tc>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New values, scenarios, rods, industries and claims</w:t>
            </w:r>
          </w:p>
        </w:tc>
        <w:tc>
          <w:tcPr>
            <w:tcW w:type="dxa" w:w="42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Definition-first additions; new IDs; migration and compatibility records</w:t>
            </w:r>
          </w:p>
        </w:tc>
        <w:tc>
          <w:tcPr>
            <w:tcW w:type="dxa" w:w="285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No historical meaning mutation; adoption and value evidence</w:t>
            </w:r>
          </w:p>
        </w:tc>
      </w:tr>
    </w:tbl>
    <w:p>
      <w:pPr>
        <w:keepNext/>
        <w:spacing w:before="20" w:after="40" w:line="259" w:lineRule="auto"/>
        <w:jc w:val="left"/>
      </w:pPr>
      <w:r>
        <w:rPr>
          <w:rFonts w:ascii="DejaVu Sans" w:hAnsi="DejaVu Sans"/>
          <w:b/>
          <w:i w:val="0"/>
          <w:color w:val="C4843A"/>
          <w:sz w:val="14"/>
        </w:rPr>
        <w:t>LEDGER GOVERNANCE</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HIERARCHY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Enterprise → Portfolio → Initiative/Thesis → Tributary → Capability → Feature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DELIVERY</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Component → Task → Deliverable → Validation → Production → Measured Value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OWNERSHIP</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Executive, token owner, product, data, finance/control, security, reviewer</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MEASUREMENT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Budget, forecast, margin, completion, maturity, evidence, realized value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DECISIONS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Approve, defer, reject, supersede, accept exception</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RELEASE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Scenario set, code/rule versions, proof pack, gaps, next review</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OUTCOME GATE  </w:t>
            </w:r>
            <w:r>
              <w:rPr>
                <w:rFonts w:ascii="DejaVu Sans" w:hAnsi="DejaVu Sans"/>
                <w:b w:val="0"/>
                <w:i w:val="0"/>
                <w:color w:val="2B2A28"/>
                <w:sz w:val="14"/>
              </w:rPr>
              <w:t>A phase is complete only when its scenarios, controls, metrics, policy, temporal replay, user explanation, and release evidence agree—not when configuration alone is loaded.</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Roadmap extends the compact v1 phase model with Thesis Ledger governance and explicit release proof.</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23</w:t>
      </w:r>
    </w:p>
    <w:p>
      <w:pPr>
        <w:keepNext/>
        <w:spacing w:before="20" w:after="40" w:line="240" w:lineRule="auto"/>
        <w:jc w:val="left"/>
      </w:pPr>
      <w:r>
        <w:rPr>
          <w:rFonts w:ascii="DejaVu Serif" w:hAnsi="DejaVu Serif"/>
          <w:b/>
          <w:i w:val="0"/>
          <w:color w:val="345A68"/>
          <w:sz w:val="30"/>
        </w:rPr>
        <w:t>Portfolio Expansion Kit</w:t>
      </w:r>
    </w:p>
    <w:p>
      <w:pPr>
        <w:keepNext w:val="0"/>
        <w:spacing w:before="0" w:after="100" w:line="259" w:lineRule="auto"/>
        <w:jc w:val="left"/>
      </w:pPr>
      <w:r>
        <w:rPr>
          <w:rFonts w:ascii="DejaVu Sans" w:hAnsi="DejaVu Sans"/>
          <w:b w:val="0"/>
          <w:i w:val="0"/>
          <w:color w:val="4A7C8E"/>
          <w:sz w:val="17"/>
        </w:rPr>
        <w:t>Use the templates below to add scenario families, implementation evidence, and release history without redesigning the portfolio or weakening canonical governance.</w:t>
      </w:r>
    </w:p>
    <w:p>
      <w:pPr>
        <w:keepNext/>
        <w:spacing w:before="20" w:after="40" w:line="259" w:lineRule="auto"/>
        <w:jc w:val="left"/>
      </w:pPr>
      <w:r>
        <w:rPr>
          <w:rFonts w:ascii="DejaVu Sans" w:hAnsi="DejaVu Sans"/>
          <w:b/>
          <w:i w:val="0"/>
          <w:color w:val="C4843A"/>
          <w:sz w:val="14"/>
        </w:rPr>
        <w:t>SCENARIO-FAMILY BRIEF TEMPLATE</w:t>
      </w:r>
    </w:p>
    <w:tbl>
      <w:tblPr>
        <w:tblW w:type="dxa" w:w="10556"/>
        <w:tblLayout w:type="fixed"/>
        <w:tblLook w:firstColumn="1" w:firstRow="1" w:lastColumn="0" w:lastRow="0" w:noHBand="0" w:noVBand="1" w:val="04A0"/>
        <w:jc w:val="left"/>
        <w:tblInd w:type="dxa" w:w="80"/>
      </w:tblPr>
      <w:tblGrid>
        <w:gridCol w:w="2111"/>
        <w:gridCol w:w="8445"/>
      </w:tblGrid>
      <w:tr>
        <w:trPr>
          <w:trHeight w:hRule="atLeast"/>
          <w:tblHeader w:val="true"/>
        </w:trPr>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SECTION</w:t>
            </w:r>
          </w:p>
        </w:tc>
        <w:tc>
          <w:tcPr>
            <w:tcW w:type="dxa" w:w="8445"/>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COMPLETE WITH</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Identity</w:t>
            </w:r>
          </w:p>
        </w:tc>
        <w:tc>
          <w:tcPr>
            <w:tcW w:type="dxa" w:w="8445"/>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Family / pattern • purpose • owner • lifecycle status • related release</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Coverage</w:t>
            </w:r>
          </w:p>
        </w:tc>
        <w:tc>
          <w:tcPr>
            <w:tcW w:type="dxa" w:w="8445"/>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Scenario_ID set • tier • event families • canonical values • known gaps</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Operating path</w:t>
            </w:r>
          </w:p>
        </w:tc>
        <w:tc>
          <w:tcPr>
            <w:tcW w:type="dxa" w:w="8445"/>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L1 journey • L2 variant • L3 path • rods • branches • merge points</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Lineage</w:t>
            </w:r>
          </w:p>
        </w:tc>
        <w:tc>
          <w:tcPr>
            <w:tcW w:type="dxa" w:w="8445"/>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Source event types • source systems • native IDs • generation-rule versions</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Metadata</w:t>
            </w:r>
          </w:p>
        </w:tc>
        <w:tc>
          <w:tcPr>
            <w:tcW w:type="dxa" w:w="8445"/>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Atoms • molecules • definitions • evidence • validation • temporal states • confidence</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Generated truth</w:t>
            </w:r>
          </w:p>
        </w:tc>
        <w:tc>
          <w:tcPr>
            <w:tcW w:type="dxa" w:w="8445"/>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Entities • operational records • financial transactions • postings • write-backs</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Proof</w:t>
            </w:r>
          </w:p>
        </w:tc>
        <w:tc>
          <w:tcPr>
            <w:tcW w:type="dxa" w:w="8445"/>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Controls • metrics • dependency propagation • exceptions • temporal replay • security tests</w:t>
            </w:r>
          </w:p>
        </w:tc>
      </w:tr>
      <w:tr>
        <w:trPr>
          <w:trHeight w:hRule="atLeast"/>
        </w:trPr>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Experience</w:t>
            </w:r>
          </w:p>
        </w:tc>
        <w:tc>
          <w:tcPr>
            <w:tcW w:type="dxa" w:w="8445"/>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Customer Trace • Contract Lineage • Why Changed? • screenshots • reviewer notes</w:t>
            </w:r>
          </w:p>
        </w:tc>
      </w:tr>
      <w:tr>
        <w:trPr>
          <w:trHeight w:hRule="atLeast"/>
        </w:trPr>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Delivery</w:t>
            </w:r>
          </w:p>
        </w:tc>
        <w:tc>
          <w:tcPr>
            <w:tcW w:type="dxa" w:w="8445"/>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Dependencies • milestone • validation evidence • production date • measured value</w:t>
            </w:r>
          </w:p>
        </w:tc>
      </w:tr>
    </w:tbl>
    <w:p>
      <w:pPr>
        <w:keepNext/>
        <w:spacing w:before="20" w:after="40" w:line="259" w:lineRule="auto"/>
        <w:jc w:val="left"/>
      </w:pPr>
      <w:r>
        <w:rPr>
          <w:rFonts w:ascii="DejaVu Sans" w:hAnsi="DejaVu Sans"/>
          <w:b/>
          <w:i w:val="0"/>
          <w:color w:val="C4843A"/>
          <w:sz w:val="14"/>
        </w:rPr>
        <w:t>RELEASE RECORD TEMPLATE</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RELEASE ID</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Semantic version + date + owner</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SCENARIO SCOPE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Added/changed/retired IDs; coverage counts</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MODEL CHANGE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Codes, definitions, mappings, rules, policies, formulas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COMPATIBILITY</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Migration, replay, prior-result treatment</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PROOF PACK</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Fixtures, expected/actual, controls, metrics, policy, UI</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GAPS</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Known exceptions, debt, owner, next review</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APPROVAL</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Token owner / finance / security / product / release</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VALUE</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Adoption, operating evidence, measured outcome</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STANDING RULE  </w:t>
            </w:r>
            <w:r>
              <w:rPr>
                <w:rFonts w:ascii="DejaVu Sans" w:hAnsi="DejaVu Sans"/>
                <w:b w:val="0"/>
                <w:i w:val="0"/>
                <w:color w:val="2B2A28"/>
                <w:sz w:val="14"/>
              </w:rPr>
              <w:t>Expand through governed additions. Do not redesign the canonical structure, invent placeholders, or overwrite prior meaning; document open decisions explicitly.</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Templates are intentionally editable and designed for continued expansion alongside repository releases.</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24</w:t>
      </w:r>
    </w:p>
    <w:p>
      <w:pPr>
        <w:keepNext/>
        <w:spacing w:before="20" w:after="40" w:line="240" w:lineRule="auto"/>
        <w:jc w:val="left"/>
      </w:pPr>
      <w:r>
        <w:rPr>
          <w:rFonts w:ascii="DejaVu Serif" w:hAnsi="DejaVu Serif"/>
          <w:b/>
          <w:i w:val="0"/>
          <w:color w:val="345A68"/>
          <w:sz w:val="30"/>
        </w:rPr>
        <w:t>Terminology, Alignment &amp; Open Decisions</w:t>
      </w:r>
    </w:p>
    <w:p>
      <w:pPr>
        <w:keepNext w:val="0"/>
        <w:spacing w:before="0" w:after="100" w:line="259" w:lineRule="auto"/>
        <w:jc w:val="left"/>
      </w:pPr>
      <w:r>
        <w:rPr>
          <w:rFonts w:ascii="DejaVu Sans" w:hAnsi="DejaVu Sans"/>
          <w:b w:val="0"/>
          <w:i w:val="0"/>
          <w:color w:val="4A7C8E"/>
          <w:sz w:val="17"/>
        </w:rPr>
        <w:t>The source estate contains current, supporting, and precursor terminology. This register prevents accidental conflation and gives future contributors a place to resolve differences deliberately.</w:t>
      </w:r>
    </w:p>
    <w:tbl>
      <w:tblPr>
        <w:tblW w:type="dxa" w:w="10556"/>
        <w:tblLayout w:type="fixed"/>
        <w:tblLook w:firstColumn="1" w:firstRow="1" w:lastColumn="0" w:lastRow="0" w:noHBand="0" w:noVBand="1" w:val="04A0"/>
        <w:jc w:val="left"/>
        <w:tblInd w:type="dxa" w:w="80"/>
      </w:tblPr>
      <w:tblGrid>
        <w:gridCol w:w="2322"/>
        <w:gridCol w:w="4011"/>
        <w:gridCol w:w="4223"/>
      </w:tblGrid>
      <w:tr>
        <w:trPr>
          <w:trHeight w:hRule="atLeast"/>
          <w:tblHeader w:val="true"/>
        </w:trPr>
        <w:tc>
          <w:tcPr>
            <w:tcW w:type="dxa" w:w="2322"/>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TERM</w:t>
            </w:r>
          </w:p>
        </w:tc>
        <w:tc>
          <w:tcPr>
            <w:tcW w:type="dxa" w:w="40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REFERENCE MEANING</w:t>
            </w:r>
          </w:p>
        </w:tc>
        <w:tc>
          <w:tcPr>
            <w:tcW w:type="dxa" w:w="422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PORTFOLIO RULE</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Scenario_ID</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Stable identifier for one governed configuration meaning</w:t>
            </w:r>
          </w:p>
        </w:tc>
        <w:tc>
          <w:tcPr>
            <w:tcW w:type="dxa" w:w="42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Never repurpose; add a new ID when meaning changes.</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L1 / L2 / L3</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Journey/channel • variant scenario • end-to-end path</w:t>
            </w:r>
          </w:p>
        </w:tc>
        <w:tc>
          <w:tcPr>
            <w:tcW w:type="dxa" w:w="42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Keep all three in every implemented brief.</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Atom / molecule / cluster / rod / orbit</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Progressive semantic convergence hierarchy</w:t>
            </w:r>
          </w:p>
        </w:tc>
        <w:tc>
          <w:tcPr>
            <w:tcW w:type="dxa" w:w="42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Preserve atom-level provenance in every rollup.</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Branch / tributary</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Context-specific path feeding a rod or outcome</w:t>
            </w:r>
          </w:p>
        </w:tc>
        <w:tc>
          <w:tcPr>
            <w:tcW w:type="dxa" w:w="42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Use role names explicitly; do not duplicate master truth.</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Deal driver / financing party</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Originator of commercial motion / funding or payer role</w:t>
            </w:r>
          </w:p>
        </w:tc>
        <w:tc>
          <w:tcPr>
            <w:tcW w:type="dxa" w:w="42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Do not conflate in multi-party scenarios.</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Stage maturity</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Normalized journey state; claim maturity is separate</w:t>
            </w:r>
          </w:p>
        </w:tc>
        <w:tc>
          <w:tcPr>
            <w:tcW w:type="dxa" w:w="42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Document values above 1 and two-decimal adjustment states.</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Metric</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Executable semantic contract</w:t>
            </w:r>
          </w:p>
        </w:tc>
        <w:tc>
          <w:tcPr>
            <w:tcW w:type="dxa" w:w="42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Distinguish from illustrative demo values.</w:t>
            </w:r>
          </w:p>
        </w:tc>
      </w:tr>
      <w:tr>
        <w:trPr>
          <w:trHeight w:hRule="atLeast"/>
        </w:trPr>
        <w:tc>
          <w:tcPr>
            <w:tcW w:type="dxa" w:w="2322"/>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Claim</w:t>
            </w:r>
          </w:p>
        </w:tc>
        <w:tc>
          <w:tcPr>
            <w:tcW w:type="dxa" w:w="40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Bounded business assertion with an evidence path</w:t>
            </w:r>
          </w:p>
        </w:tc>
        <w:tc>
          <w:tcPr>
            <w:tcW w:type="dxa" w:w="42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Maturity may regress; confidence and temporal validity are explicit.</w:t>
            </w:r>
          </w:p>
        </w:tc>
      </w:tr>
      <w:tr>
        <w:trPr>
          <w:trHeight w:hRule="atLeast"/>
        </w:trPr>
        <w:tc>
          <w:tcPr>
            <w:tcW w:type="dxa" w:w="2322"/>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Current / precursor</w:t>
            </w:r>
          </w:p>
        </w:tc>
        <w:tc>
          <w:tcPr>
            <w:tcW w:type="dxa" w:w="40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Authority class for source artifacts</w:t>
            </w:r>
          </w:p>
        </w:tc>
        <w:tc>
          <w:tcPr>
            <w:tcW w:type="dxa" w:w="42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Conflicts resolve to current governing sources.</w:t>
            </w:r>
          </w:p>
        </w:tc>
      </w:tr>
    </w:tbl>
    <w:p>
      <w:pPr>
        <w:keepNext/>
        <w:spacing w:before="20" w:after="40" w:line="259" w:lineRule="auto"/>
        <w:jc w:val="left"/>
      </w:pPr>
      <w:r>
        <w:rPr>
          <w:rFonts w:ascii="DejaVu Sans" w:hAnsi="DejaVu Sans"/>
          <w:b/>
          <w:i w:val="0"/>
          <w:color w:val="C4843A"/>
          <w:sz w:val="14"/>
        </w:rPr>
        <w:t>OPEN-DECISION REGISTER</w:t>
      </w:r>
    </w:p>
    <w:tbl>
      <w:tblPr>
        <w:tblW w:type="dxa" w:w="10556"/>
        <w:tblLayout w:type="fixed"/>
        <w:tblLook w:firstColumn="1" w:firstRow="1" w:lastColumn="0" w:lastRow="0" w:noHBand="0" w:noVBand="1" w:val="04A0"/>
        <w:jc w:val="left"/>
        <w:tblInd w:type="dxa" w:w="80"/>
      </w:tblPr>
      <w:tblGrid>
        <w:gridCol w:w="1267"/>
        <w:gridCol w:w="5067"/>
        <w:gridCol w:w="2111"/>
        <w:gridCol w:w="2111"/>
      </w:tblGrid>
      <w:tr>
        <w:trPr>
          <w:trHeight w:hRule="atLeast"/>
          <w:tblHeader w:val="true"/>
        </w:trPr>
        <w:tc>
          <w:tcPr>
            <w:tcW w:type="dxa" w:w="126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ID</w:t>
            </w:r>
          </w:p>
        </w:tc>
        <w:tc>
          <w:tcPr>
            <w:tcW w:type="dxa" w:w="5067"/>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DECISION</w:t>
            </w:r>
          </w:p>
        </w:tc>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OWNER CLASS</w:t>
            </w:r>
          </w:p>
        </w:tc>
        <w:tc>
          <w:tcPr>
            <w:tcW w:type="dxa" w:w="2111"/>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SAFE DEFAULT</w:t>
            </w:r>
          </w:p>
        </w:tc>
      </w:tr>
      <w:tr>
        <w:trPr>
          <w:trHeight w:hRule="atLeast"/>
        </w:trPr>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OD-001</w:t>
            </w:r>
          </w:p>
        </w:tc>
        <w:tc>
          <w:tcPr>
            <w:tcW w:type="dxa" w:w="50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Canonical naming crosswalk among SB-SCN, SB-SCEN, HOS and EIDOS precursor IDs</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Data governance</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Map; do not rename historical IDs</w:t>
            </w:r>
          </w:p>
        </w:tc>
      </w:tr>
      <w:tr>
        <w:trPr>
          <w:trHeight w:hRule="atLeast"/>
        </w:trPr>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OD-002</w:t>
            </w:r>
          </w:p>
        </w:tc>
        <w:tc>
          <w:tcPr>
            <w:tcW w:type="dxa" w:w="50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Formal path-color code set and validation semantics</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Metadata governance</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Approve visual/semantic contract</w:t>
            </w:r>
          </w:p>
        </w:tc>
      </w:tr>
      <w:tr>
        <w:trPr>
          <w:trHeight w:hRule="atLeast"/>
        </w:trPr>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OD-003</w:t>
            </w:r>
          </w:p>
        </w:tc>
        <w:tc>
          <w:tcPr>
            <w:tcW w:type="dxa" w:w="50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Exact promotion criteria for 10 Core metrics into the broader 150 registry</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Metric owner</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Publish dependency and validation plan</w:t>
            </w:r>
          </w:p>
        </w:tc>
      </w:tr>
      <w:tr>
        <w:trPr>
          <w:trHeight w:hRule="atLeast"/>
        </w:trPr>
        <w:tc>
          <w:tcPr>
            <w:tcW w:type="dxa" w:w="12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OD-004</w:t>
            </w:r>
          </w:p>
        </w:tc>
        <w:tc>
          <w:tcPr>
            <w:tcW w:type="dxa" w:w="5067"/>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Production entitlement/retention policies by agent and source</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Security/privacy</w:t>
            </w:r>
          </w:p>
        </w:tc>
        <w:tc>
          <w:tcPr>
            <w:tcW w:type="dxa" w:w="2111"/>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2"/>
              </w:rPr>
              <w:t>Validate before protected-data rollout</w:t>
            </w:r>
          </w:p>
        </w:tc>
      </w:tr>
      <w:tr>
        <w:trPr>
          <w:trHeight w:hRule="atLeast"/>
        </w:trPr>
        <w:tc>
          <w:tcPr>
            <w:tcW w:type="dxa" w:w="12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OD-005</w:t>
            </w:r>
          </w:p>
        </w:tc>
        <w:tc>
          <w:tcPr>
            <w:tcW w:type="dxa" w:w="5067"/>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Release cadence, environment gates, and evidence retention</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Delivery governance</w:t>
            </w:r>
          </w:p>
        </w:tc>
        <w:tc>
          <w:tcPr>
            <w:tcW w:type="dxa" w:w="2111"/>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2"/>
              </w:rPr>
              <w:t>Record in Thesis / Tributary Ledger</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Open decisions are explicit portfolio management items; they are not placeholders or implied redesigns.</w:t>
      </w:r>
    </w:p>
    <w:p>
      <w:pPr>
        <w:sectPr>
          <w:footerReference w:type="default" r:id="rId9"/>
          <w:pgSz w:w="12240" w:h="15840"/>
          <w:pgMar w:top="691" w:right="792" w:bottom="691" w:left="792" w:header="317" w:footer="317" w:gutter="0"/>
          <w:cols w:space="720"/>
          <w:docGrid w:linePitch="360"/>
        </w:sectPr>
      </w:pPr>
    </w:p>
    <w:p>
      <w:pPr>
        <w:pageBreakBefore/>
        <w:spacing w:after="40"/>
      </w:pPr>
      <w:r>
        <w:rPr>
          <w:rFonts w:ascii="DejaVu Sans" w:hAnsi="DejaVu Sans"/>
          <w:b/>
          <w:color w:val="C4843A"/>
          <w:sz w:val="18"/>
        </w:rPr>
        <w:t>PORTFOLIO SECTION 25</w:t>
      </w:r>
    </w:p>
    <w:p>
      <w:pPr>
        <w:spacing w:after="80"/>
      </w:pPr>
      <w:r>
        <w:rPr>
          <w:rFonts w:ascii="DejaVu Serif" w:hAnsi="DejaVu Serif"/>
          <w:b/>
          <w:color w:val="345A68"/>
          <w:sz w:val="46"/>
        </w:rPr>
        <w:t>Authoritative Methodology &amp; Evidence Chain</w:t>
      </w:r>
    </w:p>
    <w:p>
      <w:pPr>
        <w:spacing w:after="160"/>
      </w:pPr>
      <w:r>
        <w:rPr>
          <w:rFonts w:ascii="DejaVu Sans" w:hAnsi="DejaVu Sans"/>
          <w:color w:val="2B2A28"/>
          <w:sz w:val="20"/>
        </w:rPr>
        <w:t>The portfolio now uses one explicit operating method from investment belief to buyer-ready proof. Every downstream result must remain traversable to definitions, source events, reconciliations, and rule versions.</w:t>
      </w:r>
    </w:p>
    <w:p>
      <w:pPr>
        <w:spacing w:after="100"/>
        <w:jc w:val="center"/>
      </w:pPr>
      <w:r>
        <w:rPr>
          <w:rFonts w:ascii="DejaVu Sans" w:hAnsi="DejaVu Sans"/>
        </w:rPr>
        <w:drawing>
          <wp:inline xmlns:a="http://schemas.openxmlformats.org/drawingml/2006/main" xmlns:pic="http://schemas.openxmlformats.org/drawingml/2006/picture">
            <wp:extent cx="8641080" cy="4258818"/>
            <wp:docPr id="9" name="Picture 9"/>
            <wp:cNvGraphicFramePr>
              <a:graphicFrameLocks noChangeAspect="1"/>
            </wp:cNvGraphicFramePr>
            <a:graphic>
              <a:graphicData uri="http://schemas.openxmlformats.org/drawingml/2006/picture">
                <pic:pic>
                  <pic:nvPicPr>
                    <pic:cNvPr id="0" name="evidence_chain.png"/>
                    <pic:cNvPicPr/>
                  </pic:nvPicPr>
                  <pic:blipFill>
                    <a:blip r:embed="rId18"/>
                    <a:stretch>
                      <a:fillRect/>
                    </a:stretch>
                  </pic:blipFill>
                  <pic:spPr>
                    <a:xfrm>
                      <a:off x="0" y="0"/>
                      <a:ext cx="8641080" cy="4258818"/>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METHOD</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Prioritize → Underwrite → Measure → Attribute → Prove. Salter Momentum™ describes the operating progression as Understanding → Rendering → Manifesting.</w:t>
            </w:r>
          </w:p>
        </w:tc>
      </w:tr>
    </w:tbl>
    <w:p>
      <w:pPr>
        <w:spacing w:before="100" w:after="0"/>
      </w:pPr>
      <w:r>
        <w:rPr>
          <w:rFonts w:ascii="DejaVu Sans" w:hAnsi="DejaVu Sans"/>
          <w:b/>
          <w:color w:val="C4843A"/>
          <w:sz w:val="15"/>
        </w:rPr>
        <w:t xml:space="preserve">SOURCE NOTE  </w:t>
      </w:r>
      <w:r>
        <w:rPr>
          <w:rFonts w:ascii="DejaVu Sans" w:hAnsi="DejaVu Sans"/>
          <w:color w:val="4A7C8E"/>
          <w:sz w:val="15"/>
        </w:rPr>
        <w:t>Authoritative pasted chat context and source-derived Data Channel Rod visual. Cost to Produce Truth™ is the governed effort required to traverse a claim backward to its original thesis and evidence.</w:t>
      </w:r>
    </w:p>
    <w:p>
      <w:pPr>
        <w:pageBreakBefore/>
        <w:spacing w:after="40"/>
      </w:pPr>
      <w:r>
        <w:rPr>
          <w:rFonts w:ascii="DejaVu Sans" w:hAnsi="DejaVu Sans"/>
          <w:b/>
          <w:color w:val="C4843A"/>
          <w:sz w:val="18"/>
        </w:rPr>
        <w:t>PORTFOLIO SECTION 26</w:t>
      </w:r>
    </w:p>
    <w:p>
      <w:pPr>
        <w:spacing w:after="80"/>
      </w:pPr>
      <w:r>
        <w:rPr>
          <w:rFonts w:ascii="DejaVu Serif" w:hAnsi="DejaVu Serif"/>
          <w:b/>
          <w:color w:val="345A68"/>
          <w:sz w:val="46"/>
        </w:rPr>
        <w:t>Implementation Reality &amp; Configurability</w:t>
      </w:r>
    </w:p>
    <w:p>
      <w:pPr>
        <w:spacing w:after="160"/>
      </w:pPr>
      <w:r>
        <w:rPr>
          <w:rFonts w:ascii="DejaVu Sans" w:hAnsi="DejaVu Sans"/>
          <w:color w:val="2B2A28"/>
          <w:sz w:val="20"/>
        </w:rPr>
        <w:t>The existing Salt Basin website already provides a configurable public experience and substantial application surfaces. The operational SB-SCN registry and 001A semantic kernel remain integration work; the evidence below avoids treating client-code presence as proof of inaccessible backend records.</w:t>
      </w:r>
    </w:p>
    <w:tbl>
      <w:tblPr>
        <w:tblW w:type="dxa" w:w="14400"/>
        <w:jc w:val="left"/>
        <w:tblLayout w:type="fixed"/>
        <w:tblLook w:firstColumn="1" w:firstRow="1" w:lastColumn="0" w:lastRow="0" w:noHBand="0" w:noVBand="1" w:val="04A0"/>
        <w:tblInd w:type="dxa" w:w="0"/>
      </w:tblPr>
      <w:tblGrid>
        <w:gridCol w:w="2016"/>
        <w:gridCol w:w="3312"/>
        <w:gridCol w:w="3600"/>
        <w:gridCol w:w="5472"/>
      </w:tblGrid>
      <w:tr>
        <w:trPr>
          <w:tblHeader w:val="true"/>
        </w:trPr>
        <w:tc>
          <w:tcPr>
            <w:tcW w:type="dxa" w:w="2016"/>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Surface</w:t>
            </w:r>
          </w:p>
        </w:tc>
        <w:tc>
          <w:tcPr>
            <w:tcW w:type="dxa" w:w="331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Observed status</w:t>
            </w:r>
          </w:p>
        </w:tc>
        <w:tc>
          <w:tcPr>
            <w:tcW w:type="dxa" w:w="3600"/>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Configurable now</w:t>
            </w:r>
          </w:p>
        </w:tc>
        <w:tc>
          <w:tcPr>
            <w:tcW w:type="dxa" w:w="547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Portfolio implication</w:t>
            </w:r>
          </w:p>
        </w:tc>
      </w:tr>
      <w:tr>
        <w:trPr/>
        <w:tc>
          <w:tcPr>
            <w:tcW w:type="dxa" w:w="201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Public experience</w:t>
            </w:r>
          </w:p>
        </w:tc>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Verified live: 4 published pages / 23 sections</w:t>
            </w:r>
          </w:p>
        </w:tc>
        <w:tc>
          <w:tcPr>
            <w:tcW w:type="dxa" w:w="360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CMS draft/publish, section fields, layouts</w:t>
            </w:r>
          </w:p>
        </w:tc>
        <w:tc>
          <w:tcPr>
            <w:tcW w:type="dxa" w:w="54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Extend the current publishing model; do not create a second website platform.</w:t>
            </w:r>
          </w:p>
        </w:tc>
      </w:tr>
      <w:tr>
        <w:trPr/>
        <w:tc>
          <w:tcPr>
            <w:tcW w:type="dxa" w:w="201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Journey rods + calculator</w:t>
            </w:r>
          </w:p>
        </w:tc>
        <w:tc>
          <w:tcPr>
            <w:tcW w:type="dxa" w:w="331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Verified live interaction</w:t>
            </w:r>
          </w:p>
        </w:tc>
        <w:tc>
          <w:tcPr>
            <w:tcW w:type="dxa" w:w="360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Labels/defaults partly configurable; behavior coded</w:t>
            </w:r>
          </w:p>
        </w:tc>
        <w:tc>
          <w:tcPr>
            <w:tcW w:type="dxa" w:w="54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Reuse interaction patterns for scenario and evidence views.</w:t>
            </w:r>
          </w:p>
        </w:tc>
      </w:tr>
      <w:tr>
        <w:trPr/>
        <w:tc>
          <w:tcPr>
            <w:tcW w:type="dxa" w:w="201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Admin CMS</w:t>
            </w:r>
          </w:p>
        </w:tc>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Deployed client code; 29 templates</w:t>
            </w:r>
          </w:p>
        </w:tc>
        <w:tc>
          <w:tcPr>
            <w:tcW w:type="dxa" w:w="360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Pages, sections, order, status, layout</w:t>
            </w:r>
          </w:p>
        </w:tc>
        <w:tc>
          <w:tcPr>
            <w:tcW w:type="dxa" w:w="54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Add scenario explorer/detail section types.</w:t>
            </w:r>
          </w:p>
        </w:tc>
      </w:tr>
      <w:tr>
        <w:trPr/>
        <w:tc>
          <w:tcPr>
            <w:tcW w:type="dxa" w:w="201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QA scenarios</w:t>
            </w:r>
          </w:p>
        </w:tc>
        <w:tc>
          <w:tcPr>
            <w:tcW w:type="dxa" w:w="331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Generic test-case schema</w:t>
            </w:r>
          </w:p>
        </w:tc>
        <w:tc>
          <w:tcPr>
            <w:tcW w:type="dxa" w:w="360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Test steps, expected results, runs, defects</w:t>
            </w:r>
          </w:p>
        </w:tc>
        <w:tc>
          <w:tcPr>
            <w:tcW w:type="dxa" w:w="54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Keep separate from operational SB-SCN definitions.</w:t>
            </w:r>
          </w:p>
        </w:tc>
      </w:tr>
      <w:tr>
        <w:trPr/>
        <w:tc>
          <w:tcPr>
            <w:tcW w:type="dxa" w:w="201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 runtime registry</w:t>
            </w:r>
          </w:p>
        </w:tc>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Exact SB-SCN IDs not found in deployed client</w:t>
            </w:r>
          </w:p>
        </w:tc>
        <w:tc>
          <w:tcPr>
            <w:tcW w:type="dxa" w:w="360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No current client configuration surface found</w:t>
            </w:r>
          </w:p>
        </w:tc>
        <w:tc>
          <w:tcPr>
            <w:tcW w:type="dxa" w:w="54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Import the 2,400 rows as governed runtime configuration.</w:t>
            </w:r>
          </w:p>
        </w:tc>
      </w:tr>
      <w:tr>
        <w:trPr/>
        <w:tc>
          <w:tcPr>
            <w:tcW w:type="dxa" w:w="201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Workbook 001A kernel</w:t>
            </w:r>
          </w:p>
        </w:tc>
        <w:tc>
          <w:tcPr>
            <w:tcW w:type="dxa" w:w="331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Rich source workbook; private backend unverified</w:t>
            </w:r>
          </w:p>
        </w:tc>
        <w:tc>
          <w:tcPr>
            <w:tcW w:type="dxa" w:w="360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Versioned workbook import contract supplied</w:t>
            </w:r>
          </w:p>
        </w:tc>
        <w:tc>
          <w:tcPr>
            <w:tcW w:type="dxa" w:w="54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Load atoms, molecules, events, stages, policies, connections, and projections.</w:t>
            </w:r>
          </w:p>
        </w:tc>
      </w:tr>
    </w:tbl>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EVIDENCE BOUNDARY</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No SB-SCN-*, SB-SCEN-*, ATOM-*, or MOL-* identifiers were found in the reviewed deployed client bundle. This does not prove protected/private backend records are absent.</w:t>
            </w:r>
          </w:p>
        </w:tc>
      </w:tr>
    </w:tbl>
    <w:p>
      <w:pPr>
        <w:spacing w:before="100" w:after="0"/>
      </w:pPr>
      <w:r>
        <w:rPr>
          <w:rFonts w:ascii="DejaVu Sans" w:hAnsi="DejaVu Sans"/>
          <w:b/>
          <w:color w:val="C4843A"/>
          <w:sz w:val="15"/>
        </w:rPr>
        <w:t xml:space="preserve">SOURCE NOTE  </w:t>
      </w:r>
      <w:r>
        <w:rPr>
          <w:rFonts w:ascii="DejaVu Sans" w:hAnsi="DejaVu Sans"/>
          <w:color w:val="4A7C8E"/>
          <w:sz w:val="15"/>
        </w:rPr>
        <w:t>Public site/API observation and deployed client-bundle review completed 2026-07-15; detailed per-scenario coverage is included in the organization import workbook.</w:t>
      </w:r>
    </w:p>
    <w:p>
      <w:pPr>
        <w:pageBreakBefore/>
        <w:spacing w:after="40"/>
      </w:pPr>
      <w:r>
        <w:rPr>
          <w:rFonts w:ascii="DejaVu Sans" w:hAnsi="DejaVu Sans"/>
          <w:b/>
          <w:color w:val="C4843A"/>
          <w:sz w:val="18"/>
        </w:rPr>
        <w:t>PORTFOLIO SECTION 27</w:t>
      </w:r>
    </w:p>
    <w:p>
      <w:pPr>
        <w:spacing w:after="80"/>
      </w:pPr>
      <w:r>
        <w:rPr>
          <w:rFonts w:ascii="DejaVu Serif" w:hAnsi="DejaVu Serif"/>
          <w:b/>
          <w:color w:val="345A68"/>
          <w:sz w:val="46"/>
        </w:rPr>
        <w:t>Organization Import &amp; Semantic Kernel Data Model</w:t>
      </w:r>
    </w:p>
    <w:p>
      <w:pPr>
        <w:spacing w:after="160"/>
      </w:pPr>
      <w:r>
        <w:rPr>
          <w:rFonts w:ascii="DejaVu Sans" w:hAnsi="DejaVu Sans"/>
          <w:color w:val="2B2A28"/>
          <w:sz w:val="20"/>
        </w:rPr>
        <w:t>The new workbook is a validate-first, idempotent import contract for extending the current Supabase build. It carries organization scope, stable identifiers, explicit source provenance, version fields, effective dates, and skip-safe templates for runtime facts that must not be fabricated.</w:t>
      </w:r>
    </w:p>
    <w:p>
      <w:pPr>
        <w:spacing w:after="100"/>
        <w:jc w:val="center"/>
      </w:pPr>
      <w:r>
        <w:rPr>
          <w:rFonts w:ascii="DejaVu Sans" w:hAnsi="DejaVu Sans"/>
        </w:rPr>
        <w:drawing>
          <wp:inline xmlns:a="http://schemas.openxmlformats.org/drawingml/2006/main" xmlns:pic="http://schemas.openxmlformats.org/drawingml/2006/picture">
            <wp:extent cx="5943600" cy="3353889"/>
            <wp:docPr id="10" name="Picture 10"/>
            <wp:cNvGraphicFramePr>
              <a:graphicFrameLocks noChangeAspect="1"/>
            </wp:cNvGraphicFramePr>
            <a:graphic>
              <a:graphicData uri="http://schemas.openxmlformats.org/drawingml/2006/picture">
                <pic:pic>
                  <pic:nvPicPr>
                    <pic:cNvPr id="0" name="semantic_kernel.png"/>
                    <pic:cNvPicPr/>
                  </pic:nvPicPr>
                  <pic:blipFill>
                    <a:blip r:embed="rId19"/>
                    <a:stretch>
                      <a:fillRect/>
                    </a:stretch>
                  </pic:blipFill>
                  <pic:spPr>
                    <a:xfrm>
                      <a:off x="0" y="0"/>
                      <a:ext cx="5943600" cy="3353889"/>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2880"/>
        <w:gridCol w:w="1872"/>
        <w:gridCol w:w="4464"/>
        <w:gridCol w:w="5184"/>
      </w:tblGrid>
      <w:tr>
        <w:trPr>
          <w:tblHeader w:val="true"/>
        </w:trPr>
        <w:tc>
          <w:tcPr>
            <w:tcW w:type="dxa" w:w="2880"/>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Contract area</w:t>
            </w:r>
          </w:p>
        </w:tc>
        <w:tc>
          <w:tcPr>
            <w:tcW w:type="dxa" w:w="187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Rows</w:t>
            </w:r>
          </w:p>
        </w:tc>
        <w:tc>
          <w:tcPr>
            <w:tcW w:type="dxa" w:w="4464"/>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Direct target / treatment</w:t>
            </w:r>
          </w:p>
        </w:tc>
        <w:tc>
          <w:tcPr>
            <w:tcW w:type="dxa" w:w="5184"/>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Import guardrail</w:t>
            </w:r>
          </w:p>
        </w:tc>
      </w:tr>
      <w:tr>
        <w:trPr/>
        <w:tc>
          <w:tcPr>
            <w:tcW w:type="dxa" w:w="288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 definitions</w:t>
            </w:r>
          </w:p>
        </w:tc>
        <w:tc>
          <w:tcPr>
            <w:tcW w:type="dxa" w:w="18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2,400</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scenario_definitions extension</w:t>
            </w:r>
          </w:p>
        </w:tc>
        <w:tc>
          <w:tcPr>
            <w:tcW w:type="dxa" w:w="518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Stable Scenario_ID; source row and fixture key retained.</w:t>
            </w:r>
          </w:p>
        </w:tc>
      </w:tr>
      <w:tr>
        <w:trPr/>
        <w:tc>
          <w:tcPr>
            <w:tcW w:type="dxa" w:w="288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 dimension values</w:t>
            </w:r>
          </w:p>
        </w:tc>
        <w:tc>
          <w:tcPr>
            <w:tcW w:type="dxa" w:w="18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38,400</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scenario_dimension_values extension</w:t>
            </w:r>
          </w:p>
        </w:tc>
        <w:tc>
          <w:tcPr>
            <w:tcW w:type="dxa" w:w="518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Exactly 16 values per scenario; canonical codes and atom paths retained.</w:t>
            </w:r>
          </w:p>
        </w:tc>
      </w:tr>
      <w:tr>
        <w:trPr/>
        <w:tc>
          <w:tcPr>
            <w:tcW w:type="dxa" w:w="288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Semantic nodes</w:t>
            </w:r>
          </w:p>
        </w:tc>
        <w:tc>
          <w:tcPr>
            <w:tcW w:type="dxa" w:w="18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2,952</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semantic_nodes</w:t>
            </w:r>
          </w:p>
        </w:tc>
        <w:tc>
          <w:tcPr>
            <w:tcW w:type="dxa" w:w="518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001A registry plus scenario nodes; no implied scenario crosswalk.</w:t>
            </w:r>
          </w:p>
        </w:tc>
      </w:tr>
      <w:tr>
        <w:trPr/>
        <w:tc>
          <w:tcPr>
            <w:tcW w:type="dxa" w:w="288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Semantic edges</w:t>
            </w:r>
          </w:p>
        </w:tc>
        <w:tc>
          <w:tcPr>
            <w:tcW w:type="dxa" w:w="18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398</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semantic_edges</w:t>
            </w:r>
          </w:p>
        </w:tc>
        <w:tc>
          <w:tcPr>
            <w:tcW w:type="dxa" w:w="518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Hierarchy, tributary, atom→molecule, event→channel, stage→channel, and projection links.</w:t>
            </w:r>
          </w:p>
        </w:tc>
      </w:tr>
      <w:tr>
        <w:trPr/>
        <w:tc>
          <w:tcPr>
            <w:tcW w:type="dxa" w:w="288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Policies + sources</w:t>
            </w:r>
          </w:p>
        </w:tc>
        <w:tc>
          <w:tcPr>
            <w:tcW w:type="dxa" w:w="187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10 policies / 11 sources / 5 projections</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security_policies / source_connections / source_projections</w:t>
            </w:r>
          </w:p>
        </w:tc>
        <w:tc>
          <w:tcPr>
            <w:tcW w:type="dxa" w:w="518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Credentials excluded; authority and projection rules retained.</w:t>
            </w:r>
          </w:p>
        </w:tc>
      </w:tr>
      <w:tr>
        <w:trPr/>
        <w:tc>
          <w:tcPr>
            <w:tcW w:type="dxa" w:w="288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Runtime fact templates</w:t>
            </w:r>
          </w:p>
        </w:tc>
        <w:tc>
          <w:tcPr>
            <w:tcW w:type="dxa" w:w="187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5 disabled rows</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actions / cache / journals / usage</w:t>
            </w:r>
          </w:p>
        </w:tc>
        <w:tc>
          <w:tcPr>
            <w:tcW w:type="dxa" w:w="518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Importer must skip disabled templates; no facts synthesized.</w:t>
            </w:r>
          </w:p>
        </w:tc>
      </w:tr>
    </w:tbl>
    <w:p>
      <w:pPr>
        <w:spacing w:before="100" w:after="0"/>
      </w:pPr>
      <w:r>
        <w:rPr>
          <w:rFonts w:ascii="DejaVu Sans" w:hAnsi="DejaVu Sans"/>
          <w:b/>
          <w:color w:val="C4843A"/>
          <w:sz w:val="15"/>
        </w:rPr>
        <w:t xml:space="preserve">SOURCE NOTE  </w:t>
      </w:r>
      <w:r>
        <w:rPr>
          <w:rFonts w:ascii="DejaVu Sans" w:hAnsi="DejaVu Sans"/>
          <w:color w:val="4A7C8E"/>
          <w:sz w:val="15"/>
        </w:rPr>
        <w:t>Salt_Basin_Org_Semantic_Kernel_Import_v1.xlsx. Target model: Supabase PostgreSQL, Auth, Storage, workbook importer, semantic engine, agent engine, adapters, and governed world projection.</w:t>
      </w:r>
    </w:p>
    <w:p>
      <w:pPr>
        <w:pageBreakBefore/>
        <w:spacing w:after="40"/>
      </w:pPr>
      <w:r>
        <w:rPr>
          <w:rFonts w:ascii="DejaVu Sans" w:hAnsi="DejaVu Sans"/>
          <w:b/>
          <w:color w:val="C4843A"/>
          <w:sz w:val="18"/>
        </w:rPr>
        <w:t>PORTFOLIO SECTION 28</w:t>
      </w:r>
    </w:p>
    <w:p>
      <w:pPr>
        <w:spacing w:after="80"/>
      </w:pPr>
      <w:r>
        <w:rPr>
          <w:rFonts w:ascii="DejaVu Serif" w:hAnsi="DejaVu Serif"/>
          <w:b/>
          <w:color w:val="345A68"/>
          <w:sz w:val="46"/>
        </w:rPr>
        <w:t>Product Suite &amp; Claim-Safe Outcomes</w:t>
      </w:r>
    </w:p>
    <w:p>
      <w:pPr>
        <w:spacing w:after="160"/>
      </w:pPr>
      <w:r>
        <w:rPr>
          <w:rFonts w:ascii="DejaVu Sans" w:hAnsi="DejaVu Sans"/>
          <w:color w:val="2B2A28"/>
          <w:sz w:val="20"/>
        </w:rPr>
        <w:t>Nine coordinated products support one evidence architecture. The products organize thesis, journey, semantic, operational, cost, agent, and experience capabilities; outcomes are governed hypotheses until production evidence validates them.</w:t>
      </w:r>
    </w:p>
    <w:p>
      <w:pPr>
        <w:spacing w:after="100"/>
        <w:jc w:val="center"/>
      </w:pPr>
      <w:r>
        <w:rPr>
          <w:rFonts w:ascii="DejaVu Sans" w:hAnsi="DejaVu Sans"/>
        </w:rPr>
        <w:drawing>
          <wp:inline xmlns:a="http://schemas.openxmlformats.org/drawingml/2006/main" xmlns:pic="http://schemas.openxmlformats.org/drawingml/2006/picture">
            <wp:extent cx="5897880" cy="3201706"/>
            <wp:docPr id="11" name="Picture 11"/>
            <wp:cNvGraphicFramePr>
              <a:graphicFrameLocks noChangeAspect="1"/>
            </wp:cNvGraphicFramePr>
            <a:graphic>
              <a:graphicData uri="http://schemas.openxmlformats.org/drawingml/2006/picture">
                <pic:pic>
                  <pic:nvPicPr>
                    <pic:cNvPr id="0" name="product_outcomes.png"/>
                    <pic:cNvPicPr/>
                  </pic:nvPicPr>
                  <pic:blipFill>
                    <a:blip r:embed="rId20"/>
                    <a:stretch>
                      <a:fillRect/>
                    </a:stretch>
                  </pic:blipFill>
                  <pic:spPr>
                    <a:xfrm>
                      <a:off x="0" y="0"/>
                      <a:ext cx="5897880" cy="320170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3312"/>
        <w:gridCol w:w="5040"/>
        <w:gridCol w:w="6048"/>
      </w:tblGrid>
      <w:tr>
        <w:trPr>
          <w:tblHeader w:val="true"/>
        </w:trPr>
        <w:tc>
          <w:tcPr>
            <w:tcW w:type="dxa" w:w="331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Product family</w:t>
            </w:r>
          </w:p>
        </w:tc>
        <w:tc>
          <w:tcPr>
            <w:tcW w:type="dxa" w:w="5040"/>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Primary responsibility</w:t>
            </w:r>
          </w:p>
        </w:tc>
        <w:tc>
          <w:tcPr>
            <w:tcW w:type="dxa" w:w="6048"/>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Evidence-chain contribution</w:t>
            </w:r>
          </w:p>
        </w:tc>
      </w:tr>
      <w:tr>
        <w:trPr/>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Thesis Ledger System</w:t>
            </w:r>
          </w:p>
        </w:tc>
        <w:tc>
          <w:tcPr>
            <w:tcW w:type="dxa" w:w="504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Targets, assumptions, hypotheses, evidence requirements</w:t>
            </w:r>
          </w:p>
        </w:tc>
        <w:tc>
          <w:tcPr>
            <w:tcW w:type="dxa" w:w="604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Preserves belief, version, owner, counterfactual, and acceptance criteria.</w:t>
            </w:r>
          </w:p>
        </w:tc>
      </w:tr>
      <w:tr>
        <w:trPr/>
        <w:tc>
          <w:tcPr>
            <w:tcW w:type="dxa" w:w="331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Journey Data Rods + Dynamic Journey Agents</w:t>
            </w:r>
          </w:p>
        </w:tc>
        <w:tc>
          <w:tcPr>
            <w:tcW w:type="dxa" w:w="504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Stages, branches, merges, what-if simulation</w:t>
            </w:r>
          </w:p>
        </w:tc>
        <w:tc>
          <w:tcPr>
            <w:tcW w:type="dxa" w:w="604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Preserves operational context without duplicating master truth.</w:t>
            </w:r>
          </w:p>
        </w:tc>
      </w:tr>
      <w:tr>
        <w:trPr/>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Evidence Chain Engine + Data Basin</w:t>
            </w:r>
          </w:p>
        </w:tc>
        <w:tc>
          <w:tcPr>
            <w:tcW w:type="dxa" w:w="504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Capture, normalize, validate, link, classify</w:t>
            </w:r>
          </w:p>
        </w:tc>
        <w:tc>
          <w:tcPr>
            <w:tcW w:type="dxa" w:w="604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Makes claim-to-source traversal inspectable and repeatable.</w:t>
            </w:r>
          </w:p>
        </w:tc>
      </w:tr>
      <w:tr>
        <w:trPr/>
        <w:tc>
          <w:tcPr>
            <w:tcW w:type="dxa" w:w="331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Revenue Engine OS + Operating Reality Lens</w:t>
            </w:r>
          </w:p>
        </w:tc>
        <w:tc>
          <w:tcPr>
            <w:tcW w:type="dxa" w:w="504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Patterns, metrics, anomalies, risk, leading signals</w:t>
            </w:r>
          </w:p>
        </w:tc>
        <w:tc>
          <w:tcPr>
            <w:tcW w:type="dxa" w:w="604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Connects governed events and reconciliations to operating results.</w:t>
            </w:r>
          </w:p>
        </w:tc>
      </w:tr>
      <w:tr>
        <w:trPr/>
        <w:tc>
          <w:tcPr>
            <w:tcW w:type="dxa" w:w="331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Cost Basis &amp; Data ROI + Dashboards / Agents</w:t>
            </w:r>
          </w:p>
        </w:tc>
        <w:tc>
          <w:tcPr>
            <w:tcW w:type="dxa" w:w="504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Truth-production cost, ROI, recommendations, explanation</w:t>
            </w:r>
          </w:p>
        </w:tc>
        <w:tc>
          <w:tcPr>
            <w:tcW w:type="dxa" w:w="604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Makes evidence cost and decision support visible to entitled users.</w:t>
            </w:r>
          </w:p>
        </w:tc>
      </w:tr>
    </w:tbl>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CLAIM-SAFE THESIS</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Investment → defined capability → operational change → source events → reconciliation → EBITDA / ARR effect → attribution → exit evidence. A stronger evidence chain can improve defensibility; it does not guarantee market pricing or a higher multiple.</w:t>
            </w:r>
          </w:p>
        </w:tc>
      </w:tr>
    </w:tbl>
    <w:p>
      <w:pPr>
        <w:spacing w:before="100" w:after="0"/>
      </w:pPr>
      <w:r>
        <w:rPr>
          <w:rFonts w:ascii="DejaVu Sans" w:hAnsi="DejaVu Sans"/>
          <w:b/>
          <w:color w:val="C4843A"/>
          <w:sz w:val="15"/>
        </w:rPr>
        <w:t xml:space="preserve">SOURCE NOTE  </w:t>
      </w:r>
      <w:r>
        <w:rPr>
          <w:rFonts w:ascii="DejaVu Sans" w:hAnsi="DejaVu Sans"/>
          <w:color w:val="4A7C8E"/>
          <w:sz w:val="15"/>
        </w:rPr>
        <w:t>Authoritative pasted chat context and source-derived platform architecture visual.</w:t>
      </w:r>
    </w:p>
    <w:p>
      <w:pPr>
        <w:pageBreakBefore/>
        <w:spacing w:after="40"/>
      </w:pPr>
      <w:r>
        <w:rPr>
          <w:rFonts w:ascii="DejaVu Sans" w:hAnsi="DejaVu Sans"/>
          <w:b/>
          <w:color w:val="C4843A"/>
          <w:sz w:val="18"/>
        </w:rPr>
        <w:t>PORTFOLIO SECTION 29</w:t>
      </w:r>
    </w:p>
    <w:p>
      <w:pPr>
        <w:spacing w:after="80"/>
      </w:pPr>
      <w:r>
        <w:rPr>
          <w:rFonts w:ascii="DejaVu Serif" w:hAnsi="DejaVu Serif"/>
          <w:b/>
          <w:color w:val="345A68"/>
          <w:sz w:val="46"/>
        </w:rPr>
        <w:t>Scenario-to-001A Semantic Coverage</w:t>
      </w:r>
    </w:p>
    <w:p>
      <w:pPr>
        <w:spacing w:after="160"/>
      </w:pPr>
      <w:r>
        <w:rPr>
          <w:rFonts w:ascii="DejaVu Sans" w:hAnsi="DejaVu Sans"/>
          <w:color w:val="2B2A28"/>
          <w:sz w:val="20"/>
        </w:rPr>
        <w:t>Workbook 001A is materially richer than the prior portfolio cover implied: 139 atoms, 45 molecules, 48 channels, 47 tributaries, 44 magnetic fields, 45 events, 28 stages, 10 security policies, 21 negative-convergence rules, and 5 zero-copy projections. Its scenario-level crosswalk remains incomplete.</w:t>
      </w:r>
    </w:p>
    <w:tbl>
      <w:tblPr>
        <w:tblW w:type="dxa" w:w="14400"/>
        <w:jc w:val="left"/>
        <w:tblLayout w:type="fixed"/>
        <w:tblLook w:firstColumn="1" w:firstRow="1" w:lastColumn="0" w:lastRow="0" w:noHBand="0" w:noVBand="1" w:val="04A0"/>
        <w:tblInd w:type="dxa" w:w="0"/>
      </w:tblPr>
      <w:tblGrid>
        <w:gridCol w:w="2160"/>
        <w:gridCol w:w="1008"/>
        <w:gridCol w:w="2736"/>
        <w:gridCol w:w="4032"/>
        <w:gridCol w:w="4464"/>
      </w:tblGrid>
      <w:tr>
        <w:trPr>
          <w:tblHeader w:val="true"/>
        </w:trPr>
        <w:tc>
          <w:tcPr>
            <w:tcW w:type="dxa" w:w="2160"/>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Scenario family</w:t>
            </w:r>
          </w:p>
        </w:tc>
        <w:tc>
          <w:tcPr>
            <w:tcW w:type="dxa" w:w="1008"/>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Rows</w:t>
            </w:r>
          </w:p>
        </w:tc>
        <w:tc>
          <w:tcPr>
            <w:tcW w:type="dxa" w:w="2736"/>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001A component support</w:t>
            </w:r>
          </w:p>
        </w:tc>
        <w:tc>
          <w:tcPr>
            <w:tcW w:type="dxa" w:w="403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Representative semantics</w:t>
            </w:r>
          </w:p>
        </w:tc>
        <w:tc>
          <w:tcPr>
            <w:tcW w:type="dxa" w:w="4464"/>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Next definition action</w:t>
            </w:r>
          </w:p>
        </w:tc>
      </w:tr>
      <w:tr>
        <w:trPr/>
        <w:tc>
          <w:tcPr>
            <w:tcW w:type="dxa" w:w="216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New Sale</w:t>
            </w:r>
          </w:p>
        </w:tc>
        <w:tc>
          <w:tcPr>
            <w:tcW w:type="dxa" w:w="100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241</w:t>
            </w:r>
          </w:p>
        </w:tc>
        <w:tc>
          <w:tcPr>
            <w:tcW w:type="dxa" w:w="273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Direct component support</w:t>
            </w:r>
          </w:p>
        </w:tc>
        <w:tc>
          <w:tcPr>
            <w:tcW w:type="dxa" w:w="403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CH-REV-0001; EVT-0012; revenue stages</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Add explicit SB-SCN crosswalk and load configuration.</w:t>
            </w:r>
          </w:p>
        </w:tc>
      </w:tr>
      <w:tr>
        <w:trPr/>
        <w:tc>
          <w:tcPr>
            <w:tcW w:type="dxa" w:w="216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Modification</w:t>
            </w:r>
          </w:p>
        </w:tc>
        <w:tc>
          <w:tcPr>
            <w:tcW w:type="dxa" w:w="100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259</w:t>
            </w:r>
          </w:p>
        </w:tc>
        <w:tc>
          <w:tcPr>
            <w:tcW w:type="dxa" w:w="273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Direct component support</w:t>
            </w:r>
          </w:p>
        </w:tc>
        <w:tc>
          <w:tcPr>
            <w:tcW w:type="dxa" w:w="403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EVT-0033; EVT-0007; TR-0011</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Add explicit SB-SCN crosswalk and load configuration.</w:t>
            </w:r>
          </w:p>
        </w:tc>
      </w:tr>
      <w:tr>
        <w:trPr/>
        <w:tc>
          <w:tcPr>
            <w:tcW w:type="dxa" w:w="216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Renewal</w:t>
            </w:r>
          </w:p>
        </w:tc>
        <w:tc>
          <w:tcPr>
            <w:tcW w:type="dxa" w:w="100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227</w:t>
            </w:r>
          </w:p>
        </w:tc>
        <w:tc>
          <w:tcPr>
            <w:tcW w:type="dxa" w:w="273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STG-REV-11; STG-CUST-07; ATOM-SUB-007</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dedicated renewal event and crosswalk.</w:t>
            </w:r>
          </w:p>
        </w:tc>
      </w:tr>
      <w:tr>
        <w:trPr/>
        <w:tc>
          <w:tcPr>
            <w:tcW w:type="dxa" w:w="216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Expansion</w:t>
            </w:r>
          </w:p>
        </w:tc>
        <w:tc>
          <w:tcPr>
            <w:tcW w:type="dxa" w:w="100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239</w:t>
            </w:r>
          </w:p>
        </w:tc>
        <w:tc>
          <w:tcPr>
            <w:tcW w:type="dxa" w:w="273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Renewal/expansion stages; EVT-0033</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explicit expansion event and crosswalk.</w:t>
            </w:r>
          </w:p>
        </w:tc>
      </w:tr>
      <w:tr>
        <w:trPr/>
        <w:tc>
          <w:tcPr>
            <w:tcW w:type="dxa" w:w="216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Reactivation</w:t>
            </w:r>
          </w:p>
        </w:tc>
        <w:tc>
          <w:tcPr>
            <w:tcW w:type="dxa" w:w="100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256</w:t>
            </w:r>
          </w:p>
        </w:tc>
        <w:tc>
          <w:tcPr>
            <w:tcW w:type="dxa" w:w="273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EVT-0032; subscription + entitlement molecules</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reactivation transition and crosswalk.</w:t>
            </w:r>
          </w:p>
        </w:tc>
      </w:tr>
      <w:tr>
        <w:trPr/>
        <w:tc>
          <w:tcPr>
            <w:tcW w:type="dxa" w:w="216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Churn</w:t>
            </w:r>
          </w:p>
        </w:tc>
        <w:tc>
          <w:tcPr>
            <w:tcW w:type="dxa" w:w="100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262</w:t>
            </w:r>
          </w:p>
        </w:tc>
        <w:tc>
          <w:tcPr>
            <w:tcW w:type="dxa" w:w="273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EVT-0035; at-risk/former-customer stages</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termination/churn event and crosswalk.</w:t>
            </w:r>
          </w:p>
        </w:tc>
      </w:tr>
      <w:tr>
        <w:trPr/>
        <w:tc>
          <w:tcPr>
            <w:tcW w:type="dxa" w:w="216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Ramp Step</w:t>
            </w:r>
          </w:p>
        </w:tc>
        <w:tc>
          <w:tcPr>
            <w:tcW w:type="dxa" w:w="100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222</w:t>
            </w:r>
          </w:p>
        </w:tc>
        <w:tc>
          <w:tcPr>
            <w:tcW w:type="dxa" w:w="273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Pricing versions; modification; ramp atom</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ramp-step event/schedule and crosswalk.</w:t>
            </w:r>
          </w:p>
        </w:tc>
      </w:tr>
      <w:tr>
        <w:trPr/>
        <w:tc>
          <w:tcPr>
            <w:tcW w:type="dxa" w:w="216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Contraction</w:t>
            </w:r>
          </w:p>
        </w:tc>
        <w:tc>
          <w:tcPr>
            <w:tcW w:type="dxa" w:w="100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218</w:t>
            </w:r>
          </w:p>
        </w:tc>
        <w:tc>
          <w:tcPr>
            <w:tcW w:type="dxa" w:w="273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Partial</w:t>
            </w:r>
          </w:p>
        </w:tc>
        <w:tc>
          <w:tcPr>
            <w:tcW w:type="dxa" w:w="403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Subscription/pricing modification semantics</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Define contraction event and crosswalk.</w:t>
            </w:r>
          </w:p>
        </w:tc>
      </w:tr>
      <w:tr>
        <w:trPr/>
        <w:tc>
          <w:tcPr>
            <w:tcW w:type="dxa" w:w="2160"/>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Credit</w:t>
            </w:r>
          </w:p>
        </w:tc>
        <w:tc>
          <w:tcPr>
            <w:tcW w:type="dxa" w:w="100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232</w:t>
            </w:r>
          </w:p>
        </w:tc>
        <w:tc>
          <w:tcPr>
            <w:tcW w:type="dxa" w:w="2736"/>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Definition gap</w:t>
            </w:r>
          </w:p>
        </w:tc>
        <w:tc>
          <w:tcPr>
            <w:tcW w:type="dxa" w:w="403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No credit-issued / credit-memo event</w:t>
            </w:r>
          </w:p>
        </w:tc>
        <w:tc>
          <w:tcPr>
            <w:tcW w:type="dxa" w:w="4464"/>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Create credit event, state, accounting, and crosswalk.</w:t>
            </w:r>
          </w:p>
        </w:tc>
      </w:tr>
      <w:tr>
        <w:trPr/>
        <w:tc>
          <w:tcPr>
            <w:tcW w:type="dxa" w:w="2160"/>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Refund</w:t>
            </w:r>
          </w:p>
        </w:tc>
        <w:tc>
          <w:tcPr>
            <w:tcW w:type="dxa" w:w="100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244</w:t>
            </w:r>
          </w:p>
        </w:tc>
        <w:tc>
          <w:tcPr>
            <w:tcW w:type="dxa" w:w="2736"/>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Definition gap</w:t>
            </w:r>
          </w:p>
        </w:tc>
        <w:tc>
          <w:tcPr>
            <w:tcW w:type="dxa" w:w="403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No refund-issued / refund-settled event</w:t>
            </w:r>
          </w:p>
        </w:tc>
        <w:tc>
          <w:tcPr>
            <w:tcW w:type="dxa" w:w="4464"/>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Create refund event, state, accounting, and crosswalk.</w:t>
            </w:r>
          </w:p>
        </w:tc>
      </w:tr>
    </w:tbl>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STRICT RESULT</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0 of 2,400 SB-SCN rows has an explicit 001A scenario crosswalk. Component assessment: 500 direct, 1,424 partial, 476 definition gaps. The import workbook preserves all 2,400 per-scenario assessments.</w:t>
            </w:r>
          </w:p>
        </w:tc>
      </w:tr>
    </w:tbl>
    <w:p>
      <w:pPr>
        <w:spacing w:before="100" w:after="0"/>
      </w:pPr>
      <w:r>
        <w:rPr>
          <w:rFonts w:ascii="DejaVu Sans" w:hAnsi="DejaVu Sans"/>
          <w:b/>
          <w:color w:val="C4843A"/>
          <w:sz w:val="15"/>
        </w:rPr>
        <w:t xml:space="preserve">SOURCE NOTE  </w:t>
      </w:r>
      <w:r>
        <w:rPr>
          <w:rFonts w:ascii="DejaVu Sans" w:hAnsi="DejaVu Sans"/>
          <w:color w:val="4A7C8E"/>
          <w:sz w:val="15"/>
        </w:rPr>
        <w:t>Salt_Basin_Workbook_001A_Enterprise_Foundation_v4.xlsx, Salt_Basin_2400_Scenario_Repository.xlsx, and the 2026-07-15 implementation audit.</w:t>
      </w:r>
    </w:p>
    <w:p>
      <w:pPr>
        <w:pageBreakBefore/>
        <w:spacing w:after="40"/>
      </w:pPr>
      <w:r>
        <w:rPr>
          <w:rFonts w:ascii="DejaVu Sans" w:hAnsi="DejaVu Sans"/>
          <w:b/>
          <w:color w:val="C4843A"/>
          <w:sz w:val="18"/>
        </w:rPr>
        <w:t>PORTFOLIO SECTION 30</w:t>
      </w:r>
    </w:p>
    <w:p>
      <w:pPr>
        <w:spacing w:after="80"/>
      </w:pPr>
      <w:r>
        <w:rPr>
          <w:rFonts w:ascii="DejaVu Serif" w:hAnsi="DejaVu Serif"/>
          <w:b/>
          <w:color w:val="345A68"/>
          <w:sz w:val="46"/>
        </w:rPr>
        <w:t>Supabase Implementation &amp; Rollout Roadmap</w:t>
      </w:r>
    </w:p>
    <w:p>
      <w:pPr>
        <w:spacing w:after="160"/>
      </w:pPr>
      <w:r>
        <w:rPr>
          <w:rFonts w:ascii="DejaVu Sans" w:hAnsi="DejaVu Sans"/>
          <w:color w:val="2B2A28"/>
          <w:sz w:val="20"/>
        </w:rPr>
        <w:t>The roadmap extends the current application instead of rebuilding a parallel platform. Release gates are evidence-based: a phase advances only when definitions, source lineage, deterministic fixtures, reconciliation, security, and user explanation are reproducible.</w:t>
      </w:r>
    </w:p>
    <w:tbl>
      <w:tblPr>
        <w:tblW w:type="dxa" w:w="14400"/>
        <w:jc w:val="left"/>
        <w:tblLayout w:type="fixed"/>
        <w:tblLook w:firstColumn="1" w:firstRow="1" w:lastColumn="0" w:lastRow="0" w:noHBand="0" w:noVBand="1" w:val="04A0"/>
        <w:tblInd w:type="dxa" w:w="0"/>
      </w:tblPr>
      <w:tblGrid>
        <w:gridCol w:w="1702"/>
        <w:gridCol w:w="4058"/>
        <w:gridCol w:w="4058"/>
        <w:gridCol w:w="4582"/>
      </w:tblGrid>
      <w:tr>
        <w:trPr>
          <w:tblHeader w:val="true"/>
        </w:trPr>
        <w:tc>
          <w:tcPr>
            <w:tcW w:type="dxa" w:w="170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Method stage</w:t>
            </w:r>
          </w:p>
        </w:tc>
        <w:tc>
          <w:tcPr>
            <w:tcW w:type="dxa" w:w="4058"/>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Implementation increment</w:t>
            </w:r>
          </w:p>
        </w:tc>
        <w:tc>
          <w:tcPr>
            <w:tcW w:type="dxa" w:w="4058"/>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Release proof</w:t>
            </w:r>
          </w:p>
        </w:tc>
        <w:tc>
          <w:tcPr>
            <w:tcW w:type="dxa" w:w="4582"/>
            <w:shd w:fill="345A68"/>
            <w:tcMar>
              <w:top w:w="45" w:type="dxa"/>
              <w:bottom w:w="45" w:type="dxa"/>
              <w:start w:w="80" w:type="dxa"/>
              <w:end w:w="80" w:type="dxa"/>
            </w:tcMar>
          </w:tcPr>
          <w:p>
            <w:pPr>
              <w:spacing w:after="0" w:before="0"/>
            </w:pPr>
            <w:r>
              <w:rPr>
                <w:rFonts w:ascii="DejaVu Sans" w:hAnsi="DejaVu Sans"/>
              </w:rPr>
            </w:r>
            <w:r>
              <w:rPr>
                <w:rFonts w:ascii="DejaVu Sans" w:hAnsi="DejaVu Sans"/>
                <w:b/>
                <w:color w:val="FFFFFF"/>
                <w:sz w:val="16"/>
              </w:rPr>
              <w:t>Exit condition</w:t>
            </w:r>
          </w:p>
        </w:tc>
      </w:tr>
      <w:tr>
        <w:trPr/>
        <w:tc>
          <w:tcPr>
            <w:tcW w:type="dxa" w:w="170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Prioritize</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Migrations, organization scope, import manifest, 001A registry seed</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Schema contract; authority profile; idempotent validate mode</w:t>
            </w:r>
          </w:p>
        </w:tc>
        <w:tc>
          <w:tcPr>
            <w:tcW w:type="dxa" w:w="458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Template org values replaced; validation shows no blocking structural errors.</w:t>
            </w:r>
          </w:p>
        </w:tc>
      </w:tr>
      <w:tr>
        <w:trPr/>
        <w:tc>
          <w:tcPr>
            <w:tcW w:type="dxa" w:w="170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Underwrite</w:t>
            </w:r>
          </w:p>
        </w:tc>
        <w:tc>
          <w:tcPr>
            <w:tcW w:type="dxa" w:w="405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2,400 scenario definitions + 38,400 dimension values</w:t>
            </w:r>
          </w:p>
        </w:tc>
        <w:tc>
          <w:tcPr>
            <w:tcW w:type="dxa" w:w="405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 list/detail/filter; source/event/fixture lineage</w:t>
            </w:r>
          </w:p>
        </w:tc>
        <w:tc>
          <w:tcPr>
            <w:tcW w:type="dxa" w:w="458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Core 240 scenarios queryable; explicit semantic gaps visible.</w:t>
            </w:r>
          </w:p>
        </w:tc>
      </w:tr>
      <w:tr>
        <w:trPr/>
        <w:tc>
          <w:tcPr>
            <w:tcW w:type="dxa" w:w="170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Measure</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Event ingestion, transactions, controls, metric definitions/observations</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Golden fixtures; Revenue→GL, Invoice→AR, Payment→Cash, debt controls</w:t>
            </w:r>
          </w:p>
        </w:tc>
        <w:tc>
          <w:tcPr>
            <w:tcW w:type="dxa" w:w="458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Core calculations reconcile with zero unexplained variance.</w:t>
            </w:r>
          </w:p>
        </w:tc>
      </w:tr>
      <w:tr>
        <w:trPr/>
        <w:tc>
          <w:tcPr>
            <w:tcW w:type="dxa" w:w="170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Attribute</w:t>
            </w:r>
          </w:p>
        </w:tc>
        <w:tc>
          <w:tcPr>
            <w:tcW w:type="dxa" w:w="405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Claim, evidence requirement, attribution, versions, time semantics</w:t>
            </w:r>
          </w:p>
        </w:tc>
        <w:tc>
          <w:tcPr>
            <w:tcW w:type="dxa" w:w="4058"/>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Claim-to-source traversal; counterfactual and confidence treatment</w:t>
            </w:r>
          </w:p>
        </w:tc>
        <w:tc>
          <w:tcPr>
            <w:tcW w:type="dxa" w:w="4582"/>
            <w:shd w:fill="F8F4EC"/>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Every claim resolves to definitions, events, results, explanations, and owners.</w:t>
            </w:r>
          </w:p>
        </w:tc>
      </w:tr>
      <w:tr>
        <w:trPr/>
        <w:tc>
          <w:tcPr>
            <w:tcW w:type="dxa" w:w="170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Prove</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Scenario explorer, evidence views, world projection, sponsor/buyer experience</w:t>
            </w:r>
          </w:p>
        </w:tc>
        <w:tc>
          <w:tcPr>
            <w:tcW w:type="dxa" w:w="4058"/>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Entitlement tests; Why Changed? explanation; proof-pack export</w:t>
            </w:r>
          </w:p>
        </w:tc>
        <w:tc>
          <w:tcPr>
            <w:tcW w:type="dxa" w:w="4582"/>
            <w:shd w:fill="F1EBDD"/>
            <w:tcMar>
              <w:top w:w="45" w:type="dxa"/>
              <w:bottom w:w="45" w:type="dxa"/>
              <w:start w:w="80" w:type="dxa"/>
              <w:end w:w="80" w:type="dxa"/>
            </w:tcMar>
          </w:tcPr>
          <w:p>
            <w:pPr>
              <w:spacing w:after="0" w:before="0"/>
            </w:pPr>
            <w:r>
              <w:rPr>
                <w:rFonts w:ascii="DejaVu Sans" w:hAnsi="DejaVu Sans"/>
              </w:rPr>
            </w:r>
            <w:r>
              <w:rPr>
                <w:rFonts w:ascii="DejaVu Sans" w:hAnsi="DejaVu Sans"/>
                <w:b w:val="0"/>
                <w:color w:val="2B2A28"/>
                <w:sz w:val="14"/>
              </w:rPr>
              <w:t>Production slice is reproducible as-of prior versions and entitled views.</w:t>
            </w:r>
          </w:p>
        </w:tc>
      </w:tr>
    </w:tbl>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REPOSITORY LAYOUT</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supabase/migrations • supabase/seed • supabase/functions • src/semantic-engine • src/workbook-importer • src/agent-engine • src/world-projection • src/adapters</w:t>
            </w:r>
          </w:p>
        </w:tc>
      </w:tr>
    </w:tbl>
    <w:p>
      <w:pPr>
        <w:spacing w:before="100" w:after="0"/>
      </w:pPr>
      <w:r>
        <w:rPr>
          <w:rFonts w:ascii="DejaVu Sans" w:hAnsi="DejaVu Sans"/>
          <w:b/>
          <w:color w:val="C4843A"/>
          <w:sz w:val="15"/>
        </w:rPr>
        <w:t xml:space="preserve">SOURCE NOTE  </w:t>
      </w:r>
      <w:r>
        <w:rPr>
          <w:rFonts w:ascii="DejaVu Sans" w:hAnsi="DejaVu Sans"/>
          <w:color w:val="4A7C8E"/>
          <w:sz w:val="15"/>
        </w:rPr>
        <w:t>Authoritative pasted chat context; roadmap remains outcome-gated. Owners, dates, budget, dependencies, and completion evidence belong in the Thesis / Tributary Ledger.</w:t>
      </w:r>
    </w:p>
    <w:p>
      <w:pPr>
        <w:pageBreakBefore/>
        <w:spacing w:after="40"/>
      </w:pPr>
      <w:r>
        <w:rPr>
          <w:rFonts w:ascii="DejaVu Sans" w:hAnsi="DejaVu Sans"/>
          <w:b/>
          <w:color w:val="C4843A"/>
          <w:sz w:val="18"/>
        </w:rPr>
        <w:t>PORTFOLIO SECTION 31</w:t>
      </w:r>
    </w:p>
    <w:p>
      <w:pPr>
        <w:spacing w:after="80"/>
      </w:pPr>
      <w:r>
        <w:rPr>
          <w:rFonts w:ascii="DejaVu Serif" w:hAnsi="DejaVu Serif"/>
          <w:b/>
          <w:color w:val="345A68"/>
          <w:sz w:val="46"/>
        </w:rPr>
        <w:t>Maturity Signals &amp; Operational Volatility</w:t>
      </w:r>
    </w:p>
    <w:p>
      <w:pPr>
        <w:spacing w:after="160"/>
      </w:pPr>
      <w:r>
        <w:rPr>
          <w:rFonts w:ascii="DejaVu Sans" w:hAnsi="DejaVu Sans"/>
          <w:color w:val="2B2A28"/>
          <w:sz w:val="20"/>
        </w:rPr>
        <w:t>Maturity is evaluated claim by claim. Seven independent signals determine whether a claim is merely asserted, defined, reproducible, reconciled, explainable, or outcome validated; any weak signal constrains the overall maturity.</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2" name="Picture 12"/>
            <wp:cNvGraphicFramePr>
              <a:graphicFrameLocks noChangeAspect="1"/>
            </wp:cNvGraphicFramePr>
            <a:graphic>
              <a:graphicData uri="http://schemas.openxmlformats.org/drawingml/2006/picture">
                <pic:pic>
                  <pic:nvPicPr>
                    <pic:cNvPr id="0" name="maturity_signals.png"/>
                    <pic:cNvPicPr/>
                  </pic:nvPicPr>
                  <pic:blipFill>
                    <a:blip r:embed="rId21"/>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SIGNALS</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Definition quality • data lineage • reconciliation • business-event linkage • data quality • ownership and governance • temporal coverage.</w:t>
            </w:r>
          </w:p>
        </w:tc>
      </w:tr>
    </w:tbl>
    <w:p>
      <w:pPr>
        <w:spacing w:before="100" w:after="0"/>
      </w:pPr>
      <w:r>
        <w:rPr>
          <w:rFonts w:ascii="DejaVu Sans" w:hAnsi="DejaVu Sans"/>
          <w:b/>
          <w:color w:val="C4843A"/>
          <w:sz w:val="15"/>
        </w:rPr>
        <w:t xml:space="preserve">SOURCE NOTE  </w:t>
      </w:r>
      <w:r>
        <w:rPr>
          <w:rFonts w:ascii="DejaVu Sans" w:hAnsi="DejaVu Sans"/>
          <w:color w:val="4A7C8E"/>
          <w:sz w:val="15"/>
        </w:rPr>
        <w:t>The Signals That Matter in the Maturity Model visual and Salt_Basin_Thesis_Evidence_Chain_Examples workbook. Levels and example treatments are illustrative until calibrated and backtested.</w:t>
      </w:r>
    </w:p>
    <w:p>
      <w:pPr>
        <w:pageBreakBefore/>
        <w:spacing w:after="40"/>
      </w:pPr>
      <w:r>
        <w:rPr>
          <w:rFonts w:ascii="DejaVu Sans" w:hAnsi="DejaVu Sans"/>
          <w:b/>
          <w:color w:val="C4843A"/>
          <w:sz w:val="18"/>
        </w:rPr>
        <w:t>PORTFOLIO SECTION 32</w:t>
      </w:r>
    </w:p>
    <w:p>
      <w:pPr>
        <w:spacing w:after="80"/>
      </w:pPr>
      <w:r>
        <w:rPr>
          <w:rFonts w:ascii="DejaVu Serif" w:hAnsi="DejaVu Serif"/>
          <w:b/>
          <w:color w:val="345A68"/>
          <w:sz w:val="46"/>
        </w:rPr>
        <w:t>Hold-Period Evidence Preservation</w:t>
      </w:r>
    </w:p>
    <w:p>
      <w:pPr>
        <w:spacing w:after="160"/>
      </w:pPr>
      <w:r>
        <w:rPr>
          <w:rFonts w:ascii="DejaVu Sans" w:hAnsi="DejaVu Sans"/>
          <w:color w:val="2B2A28"/>
          <w:sz w:val="20"/>
        </w:rPr>
        <w:t>Leadership turnover, system changes, billing redesigns, acquisitions, chart-of-accounts changes, and reporting drift can break the path from thesis to outcome. Effective dating, lineage, crosswalks, reconciliation, and continuous evidence packaging preserve it.</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3" name="Picture 13"/>
            <wp:cNvGraphicFramePr>
              <a:graphicFrameLocks noChangeAspect="1"/>
            </wp:cNvGraphicFramePr>
            <a:graphic>
              <a:graphicData uri="http://schemas.openxmlformats.org/drawingml/2006/picture">
                <pic:pic>
                  <pic:nvPicPr>
                    <pic:cNvPr id="0" name="hold_period_evidence.png"/>
                    <pic:cNvPicPr/>
                  </pic:nvPicPr>
                  <pic:blipFill>
                    <a:blip r:embed="rId22"/>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BUYER-READY PRINCIPLE</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Every material event creates a potential break. Salt Basin preserves meaning and proof so the exit response is assembled from governed history instead of reconstructed under time pressure.</w:t>
            </w:r>
          </w:p>
        </w:tc>
      </w:tr>
    </w:tbl>
    <w:p>
      <w:pPr>
        <w:spacing w:before="100" w:after="0"/>
      </w:pPr>
      <w:r>
        <w:rPr>
          <w:rFonts w:ascii="DejaVu Sans" w:hAnsi="DejaVu Sans"/>
          <w:b/>
          <w:color w:val="C4843A"/>
          <w:sz w:val="15"/>
        </w:rPr>
        <w:t xml:space="preserve">SOURCE NOTE  </w:t>
      </w:r>
      <w:r>
        <w:rPr>
          <w:rFonts w:ascii="DejaVu Sans" w:hAnsi="DejaVu Sans"/>
          <w:color w:val="4A7C8E"/>
          <w:sz w:val="15"/>
        </w:rPr>
        <w:t>How the Evidence Chain Is Impacted Through the Hold Period visual; pricing transformation and add-on examples remain illustrative.</w:t>
      </w:r>
    </w:p>
    <w:p>
      <w:pPr>
        <w:pageBreakBefore/>
        <w:spacing w:after="40"/>
      </w:pPr>
      <w:r>
        <w:rPr>
          <w:rFonts w:ascii="DejaVu Sans" w:hAnsi="DejaVu Sans"/>
          <w:b/>
          <w:color w:val="C4843A"/>
          <w:sz w:val="18"/>
        </w:rPr>
        <w:t>PORTFOLIO SECTION 33</w:t>
      </w:r>
    </w:p>
    <w:p>
      <w:pPr>
        <w:spacing w:after="80"/>
      </w:pPr>
      <w:r>
        <w:rPr>
          <w:rFonts w:ascii="DejaVu Serif" w:hAnsi="DejaVu Serif"/>
          <w:b/>
          <w:color w:val="345A68"/>
          <w:sz w:val="46"/>
        </w:rPr>
        <w:t>Data Cost Basis &amp; Claim-Safe Value Thesis</w:t>
      </w:r>
    </w:p>
    <w:p>
      <w:pPr>
        <w:spacing w:after="160"/>
      </w:pPr>
      <w:r>
        <w:rPr>
          <w:rFonts w:ascii="DejaVu Sans" w:hAnsi="DejaVu Sans"/>
          <w:color w:val="2B2A28"/>
          <w:sz w:val="20"/>
        </w:rPr>
        <w:t>Data cost basis documents the people, process, system, definition, lineage, quality, and control investment required to make data reusable and defensible. Operational and financial effects must then be measured and attributed; they are not assumed.</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4" name="Picture 14"/>
            <wp:cNvGraphicFramePr>
              <a:graphicFrameLocks noChangeAspect="1"/>
            </wp:cNvGraphicFramePr>
            <a:graphic>
              <a:graphicData uri="http://schemas.openxmlformats.org/drawingml/2006/picture">
                <pic:pic>
                  <pic:nvPicPr>
                    <pic:cNvPr id="0" name="data_cost_basis.png"/>
                    <pic:cNvPicPr/>
                  </pic:nvPicPr>
                  <pic:blipFill>
                    <a:blip r:embed="rId23"/>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GUARDRAIL</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The source visual contains illustrative investment, EBITDA, enterprise-value, and multiple ranges. They are hypotheses for pilot measurement and backtesting—not forecasts, guarantees, or production results.</w:t>
            </w:r>
          </w:p>
        </w:tc>
      </w:tr>
    </w:tbl>
    <w:p>
      <w:pPr>
        <w:spacing w:before="100" w:after="0"/>
      </w:pPr>
      <w:r>
        <w:rPr>
          <w:rFonts w:ascii="DejaVu Sans" w:hAnsi="DejaVu Sans"/>
          <w:b/>
          <w:color w:val="C4843A"/>
          <w:sz w:val="15"/>
        </w:rPr>
        <w:t xml:space="preserve">SOURCE NOTE  </w:t>
      </w:r>
      <w:r>
        <w:rPr>
          <w:rFonts w:ascii="DejaVu Sans" w:hAnsi="DejaVu Sans"/>
          <w:color w:val="4A7C8E"/>
          <w:sz w:val="15"/>
        </w:rPr>
        <w:t>Data as an Asset / Cost Basis Creates Value visual and Salt_Basin_Thesis_Evidence_Chain_Examples workbook.</w:t>
      </w:r>
    </w:p>
    <w:p>
      <w:pPr>
        <w:pageBreakBefore/>
        <w:spacing w:after="40"/>
      </w:pPr>
      <w:r>
        <w:rPr>
          <w:rFonts w:ascii="DejaVu Sans" w:hAnsi="DejaVu Sans"/>
          <w:b/>
          <w:color w:val="C4843A"/>
          <w:sz w:val="18"/>
        </w:rPr>
        <w:t>PORTFOLIO SECTION 34</w:t>
      </w:r>
    </w:p>
    <w:p>
      <w:pPr>
        <w:spacing w:after="80"/>
      </w:pPr>
      <w:r>
        <w:rPr>
          <w:rFonts w:ascii="DejaVu Serif" w:hAnsi="DejaVu Serif"/>
          <w:b/>
          <w:color w:val="345A68"/>
          <w:sz w:val="46"/>
        </w:rPr>
        <w:t>TH-001 Worked Claim: Pricing Transformation</w:t>
      </w:r>
    </w:p>
    <w:p>
      <w:pPr>
        <w:spacing w:after="160"/>
      </w:pPr>
      <w:r>
        <w:rPr>
          <w:rFonts w:ascii="DejaVu Sans" w:hAnsi="DejaVu Sans"/>
          <w:color w:val="2B2A28"/>
          <w:sz w:val="20"/>
        </w:rPr>
        <w:t>The worked example shows how a single source record becomes governed identity, contract, pricing, evidence, event, and reconciliation objects across three rods before it can support an attributable claim.</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5" name="Picture 15"/>
            <wp:cNvGraphicFramePr>
              <a:graphicFrameLocks noChangeAspect="1"/>
            </wp:cNvGraphicFramePr>
            <a:graphic>
              <a:graphicData uri="http://schemas.openxmlformats.org/drawingml/2006/picture">
                <pic:pic>
                  <pic:nvPicPr>
                    <pic:cNvPr id="0" name="th001_claim_flow.png"/>
                    <pic:cNvPicPr/>
                  </pic:nvPicPr>
                  <pic:blipFill>
                    <a:blip r:embed="rId24"/>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REQUIRED PROOF</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Stable source identifiers • versioned terms • signed evidence • event time • Revenue-to-GL, Invoice-to-AR, and Cash-to-Bank reconciliation • competing-driver treatment • claim confidence.</w:t>
            </w:r>
          </w:p>
        </w:tc>
      </w:tr>
    </w:tbl>
    <w:p>
      <w:pPr>
        <w:spacing w:before="100" w:after="0"/>
      </w:pPr>
      <w:r>
        <w:rPr>
          <w:rFonts w:ascii="DejaVu Sans" w:hAnsi="DejaVu Sans"/>
          <w:b/>
          <w:color w:val="C4843A"/>
          <w:sz w:val="15"/>
        </w:rPr>
        <w:t xml:space="preserve">SOURCE NOTE  </w:t>
      </w:r>
      <w:r>
        <w:rPr>
          <w:rFonts w:ascii="DejaVu Sans" w:hAnsi="DejaVu Sans"/>
          <w:color w:val="4A7C8E"/>
          <w:sz w:val="15"/>
        </w:rPr>
        <w:t>TH-001 Pricing Transformation visual, Salt_Basin_Thesis_Evidence_Chain_Examples workbook, and the extended LoneTree proposal. All example values are illustrative.</w:t>
      </w:r>
    </w:p>
    <w:p>
      <w:pPr>
        <w:pageBreakBefore/>
        <w:spacing w:after="40"/>
      </w:pPr>
      <w:r>
        <w:rPr>
          <w:rFonts w:ascii="DejaVu Sans" w:hAnsi="DejaVu Sans"/>
          <w:b/>
          <w:color w:val="C4843A"/>
          <w:sz w:val="18"/>
        </w:rPr>
        <w:t>PORTFOLIO SECTION 35</w:t>
      </w:r>
    </w:p>
    <w:p>
      <w:pPr>
        <w:spacing w:after="80"/>
      </w:pPr>
      <w:r>
        <w:rPr>
          <w:rFonts w:ascii="DejaVu Serif" w:hAnsi="DejaVu Serif"/>
          <w:b/>
          <w:color w:val="345A68"/>
          <w:sz w:val="46"/>
        </w:rPr>
        <w:t>Crystal Atom, Molecule, Rod &amp; Orbit Model</w:t>
      </w:r>
    </w:p>
    <w:p>
      <w:pPr>
        <w:spacing w:after="160"/>
      </w:pPr>
      <w:r>
        <w:rPr>
          <w:rFonts w:ascii="DejaVu Sans" w:hAnsi="DejaVu Sans"/>
          <w:color w:val="2B2A28"/>
          <w:sz w:val="20"/>
        </w:rPr>
        <w:t>A crystal atom is the smallest bounded unit of governed truth: definition, evidence, validation, temporal history, confidence, and lineage. Atoms group into molecules and clusters, operate through journey rods, and converge into an enterprise orbit.</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6" name="Picture 16"/>
            <wp:cNvGraphicFramePr>
              <a:graphicFrameLocks noChangeAspect="1"/>
            </wp:cNvGraphicFramePr>
            <a:graphic>
              <a:graphicData uri="http://schemas.openxmlformats.org/drawingml/2006/picture">
                <pic:pic>
                  <pic:nvPicPr>
                    <pic:cNvPr id="0" name="crystal_orbit_model.png"/>
                    <pic:cNvPicPr/>
                  </pic:nvPicPr>
                  <pic:blipFill>
                    <a:blip r:embed="rId25"/>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COUNT BOUNDARY</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Workbook 001A contains 139 canonical atoms and 45 molecules. The separate 5,000-row Metadata Atom Catalog is explicitly a generated starter catalog and remains a review/reference layer; it does not change the canonical 001A count.</w:t>
            </w:r>
          </w:p>
        </w:tc>
      </w:tr>
    </w:tbl>
    <w:p>
      <w:pPr>
        <w:spacing w:before="100" w:after="0"/>
      </w:pPr>
      <w:r>
        <w:rPr>
          <w:rFonts w:ascii="DejaVu Sans" w:hAnsi="DejaVu Sans"/>
          <w:b/>
          <w:color w:val="C4843A"/>
          <w:sz w:val="15"/>
        </w:rPr>
        <w:t xml:space="preserve">SOURCE NOTE  </w:t>
      </w:r>
      <w:r>
        <w:rPr>
          <w:rFonts w:ascii="DejaVu Sans" w:hAnsi="DejaVu Sans"/>
          <w:color w:val="4A7C8E"/>
          <w:sz w:val="15"/>
        </w:rPr>
        <w:t>Salt Basin Orbit Visual &amp; Data Model, Metadata Atom Catalog v0.1, Website Data Model Build Aligned v1.0, and Workbook 001A.</w:t>
      </w:r>
    </w:p>
    <w:p>
      <w:pPr>
        <w:pageBreakBefore/>
        <w:spacing w:after="40"/>
      </w:pPr>
      <w:r>
        <w:rPr>
          <w:rFonts w:ascii="DejaVu Sans" w:hAnsi="DejaVu Sans"/>
          <w:b/>
          <w:color w:val="C4843A"/>
          <w:sz w:val="18"/>
        </w:rPr>
        <w:t>PORTFOLIO SECTION 36</w:t>
      </w:r>
    </w:p>
    <w:p>
      <w:pPr>
        <w:spacing w:after="80"/>
      </w:pPr>
      <w:r>
        <w:rPr>
          <w:rFonts w:ascii="DejaVu Serif" w:hAnsi="DejaVu Serif"/>
          <w:b/>
          <w:color w:val="345A68"/>
          <w:sz w:val="46"/>
        </w:rPr>
        <w:t>Data Channel Rod: Claim to Exit Proof</w:t>
      </w:r>
    </w:p>
    <w:p>
      <w:pPr>
        <w:spacing w:after="160"/>
      </w:pPr>
      <w:r>
        <w:rPr>
          <w:rFonts w:ascii="DejaVu Sans" w:hAnsi="DejaVu Sans"/>
          <w:color w:val="2B2A28"/>
          <w:sz w:val="20"/>
        </w:rPr>
        <w:t>The Data Channel Rod carries thesis metadata and evidence across time. Its six states connect the claim object, attribution object, evidence classification, operational reporting, confidence recalculation, and exit-defense package.</w:t>
      </w:r>
    </w:p>
    <w:p>
      <w:pPr>
        <w:spacing w:after="100"/>
        <w:jc w:val="center"/>
      </w:pPr>
      <w:r>
        <w:rPr>
          <w:rFonts w:ascii="DejaVu Sans" w:hAnsi="DejaVu Sans"/>
        </w:rPr>
        <w:drawing>
          <wp:inline xmlns:a="http://schemas.openxmlformats.org/drawingml/2006/main" xmlns:pic="http://schemas.openxmlformats.org/drawingml/2006/picture">
            <wp:extent cx="5943600" cy="3226526"/>
            <wp:docPr id="17" name="Picture 17"/>
            <wp:cNvGraphicFramePr>
              <a:graphicFrameLocks noChangeAspect="1"/>
            </wp:cNvGraphicFramePr>
            <a:graphic>
              <a:graphicData uri="http://schemas.openxmlformats.org/drawingml/2006/picture">
                <pic:pic>
                  <pic:nvPicPr>
                    <pic:cNvPr id="0" name="data_channel_rod.png"/>
                    <pic:cNvPicPr/>
                  </pic:nvPicPr>
                  <pic:blipFill>
                    <a:blip r:embed="rId26"/>
                    <a:stretch>
                      <a:fillRect/>
                    </a:stretch>
                  </pic:blipFill>
                  <pic:spPr>
                    <a:xfrm>
                      <a:off x="0" y="0"/>
                      <a:ext cx="5943600" cy="3226526"/>
                    </a:xfrm>
                    <a:prstGeom prst="rect"/>
                  </pic:spPr>
                </pic:pic>
              </a:graphicData>
            </a:graphic>
          </wp:inline>
        </w:drawing>
      </w:r>
    </w:p>
    <w:tbl>
      <w:tblPr>
        <w:tblW w:type="dxa" w:w="14400"/>
        <w:jc w:val="left"/>
        <w:tblLayout w:type="fixed"/>
        <w:tblLook w:firstColumn="1" w:firstRow="1" w:lastColumn="0" w:lastRow="0" w:noHBand="0" w:noVBand="1" w:val="04A0"/>
        <w:tblInd w:type="dxa" w:w="0"/>
      </w:tblPr>
      <w:tblGrid>
        <w:gridCol w:w="1800"/>
        <w:gridCol w:w="12600"/>
      </w:tblGrid>
      <w:tr>
        <w:trPr/>
        <w:tc>
          <w:tcPr>
            <w:tcW w:type="dxa" w:w="1800"/>
            <w:shd w:fill="F1EBDD"/>
            <w:tcMar>
              <w:top w:w="80" w:type="dxa"/>
              <w:bottom w:w="80" w:type="dxa"/>
              <w:start w:w="120" w:type="dxa"/>
              <w:end w:w="120" w:type="dxa"/>
            </w:tcMar>
          </w:tcPr>
          <w:p>
            <w:pPr>
              <w:spacing w:after="0" w:before="0"/>
            </w:pPr>
            <w:r>
              <w:rPr>
                <w:rFonts w:ascii="DejaVu Sans" w:hAnsi="DejaVu Sans"/>
              </w:rPr>
            </w:r>
            <w:r>
              <w:rPr>
                <w:rFonts w:ascii="DejaVu Sans" w:hAnsi="DejaVu Sans"/>
                <w:b/>
                <w:color w:val="C4843A"/>
                <w:sz w:val="17"/>
              </w:rPr>
              <w:t>SIX STATES</w:t>
            </w:r>
          </w:p>
        </w:tc>
        <w:tc>
          <w:tcPr>
            <w:tcW w:type="dxa" w:w="12600"/>
            <w:shd w:fill="F1EBDD"/>
            <w:tcMar>
              <w:top w:w="80" w:type="dxa"/>
              <w:bottom w:w="80" w:type="dxa"/>
              <w:start w:w="120" w:type="dxa"/>
              <w:end w:w="120" w:type="dxa"/>
            </w:tcMar>
          </w:tcPr>
          <w:p>
            <w:pPr>
              <w:spacing w:after="0" w:before="0"/>
            </w:pPr>
            <w:r>
              <w:rPr>
                <w:rFonts w:ascii="DejaVu Sans" w:hAnsi="DejaVu Sans"/>
              </w:rPr>
            </w:r>
            <w:r>
              <w:rPr>
                <w:rFonts w:ascii="DejaVu Sans" w:hAnsi="DejaVu Sans"/>
                <w:b w:val="0"/>
                <w:color w:val="2B2A28"/>
                <w:sz w:val="16"/>
              </w:rPr>
              <w:t>Define → Plan → Execute → Realize → Sustain → Exit / Prove. State and confidence are recomputed as governed evidence, definitions, amendments, and reconciliations arrive.</w:t>
            </w:r>
          </w:p>
        </w:tc>
      </w:tr>
    </w:tbl>
    <w:p>
      <w:pPr>
        <w:spacing w:before="100" w:after="0"/>
      </w:pPr>
      <w:r>
        <w:rPr>
          <w:rFonts w:ascii="DejaVu Sans" w:hAnsi="DejaVu Sans"/>
          <w:b/>
          <w:color w:val="C4843A"/>
          <w:sz w:val="15"/>
        </w:rPr>
        <w:t xml:space="preserve">SOURCE NOTE  </w:t>
      </w:r>
      <w:r>
        <w:rPr>
          <w:rFonts w:ascii="DejaVu Sans" w:hAnsi="DejaVu Sans"/>
          <w:color w:val="4A7C8E"/>
          <w:sz w:val="15"/>
        </w:rPr>
        <w:t>Salt Basin Data Channel Rod visual, Thesis Evidence Orbit annotated notes, and DataBasin Data Bridge methodology.</w:t>
      </w:r>
    </w:p>
    <w:p>
      <w:pPr>
        <w:keepNext/>
        <w:pageBreakBefore/>
        <w:spacing w:before="20" w:after="20" w:line="259" w:lineRule="auto"/>
        <w:jc w:val="left"/>
      </w:pPr>
      <w:r>
        <w:rPr>
          <w:rFonts w:ascii="DejaVu Sans" w:hAnsi="DejaVu Sans"/>
          <w:b/>
          <w:i w:val="0"/>
          <w:color w:val="C4843A"/>
          <w:sz w:val="14"/>
        </w:rPr>
        <w:t>ILLUSTRATIVE VISUAL REFERENCE</w:t>
      </w:r>
    </w:p>
    <w:p>
      <w:pPr>
        <w:keepNext/>
        <w:spacing w:before="20" w:after="40" w:line="240" w:lineRule="auto"/>
        <w:jc w:val="left"/>
      </w:pPr>
      <w:r>
        <w:rPr>
          <w:rFonts w:ascii="DejaVu Sans" w:hAnsi="DejaVu Sans"/>
          <w:b/>
          <w:i w:val="0"/>
          <w:color w:val="345A68"/>
          <w:sz w:val="30"/>
        </w:rPr>
        <w:t>Product Suite → Operating Method → Outcomes</w:t>
      </w:r>
    </w:p>
    <w:p>
      <w:pPr>
        <w:keepNext w:val="0"/>
        <w:spacing w:before="0" w:after="60" w:line="259" w:lineRule="auto"/>
        <w:jc w:val="right"/>
      </w:pPr>
      <w:r>
        <w:rPr>
          <w:rFonts w:ascii="DejaVu Sans" w:hAnsi="DejaVu Sans"/>
          <w:b/>
          <w:i w:val="0"/>
          <w:color w:val="C4843A"/>
          <w:sz w:val="14"/>
        </w:rPr>
        <w:t>ILLUSTRATIVE • CONCEPTUAL • NOT A PRODUCTION SCREEN</w:t>
      </w:r>
    </w:p>
    <w:p>
      <w:pPr>
        <w:spacing w:after="60"/>
        <w:jc w:val="center"/>
      </w:pPr>
      <w:r>
        <w:rPr>
          <w:rFonts w:ascii="DejaVu Sans" w:hAnsi="DejaVu Sans"/>
        </w:rPr>
        <w:drawing>
          <wp:inline xmlns:a="http://schemas.openxmlformats.org/drawingml/2006/main" xmlns:pic="http://schemas.openxmlformats.org/drawingml/2006/picture">
            <wp:extent cx="8823960" cy="5882640"/>
            <wp:docPr id="5" name="Picture 5" descr="Illustrative Salt Basin platform architecture with source systems, semantic intelligence, agent orchestration, transaction truth, and experience layers." title="Illustrative Salt Basin platform architecture with source systems, semantic intelligence, agent orchestration, transacti"/>
            <wp:cNvGraphicFramePr>
              <a:graphicFrameLocks noChangeAspect="1"/>
            </wp:cNvGraphicFramePr>
            <a:graphic>
              <a:graphicData uri="http://schemas.openxmlformats.org/drawingml/2006/picture">
                <pic:pic>
                  <pic:nvPicPr>
                    <pic:cNvPr id="0" name="Salt Basin platform architecture diagram.png"/>
                    <pic:cNvPicPr/>
                  </pic:nvPicPr>
                  <pic:blipFill>
                    <a:blip r:embed="rId14"/>
                    <a:stretch>
                      <a:fillRect/>
                    </a:stretch>
                  </pic:blipFill>
                  <pic:spPr>
                    <a:xfrm>
                      <a:off x="0" y="0"/>
                      <a:ext cx="8823960" cy="5882640"/>
                    </a:xfrm>
                    <a:prstGeom prst="rect"/>
                  </pic:spPr>
                </pic:pic>
              </a:graphicData>
            </a:graphic>
          </wp:inline>
        </w:drawing>
      </w:r>
    </w:p>
    <w:p>
      <w:pPr>
        <w:keepNext w:val="0"/>
        <w:spacing w:before="0" w:after="0" w:line="259" w:lineRule="auto"/>
        <w:jc w:val="center"/>
      </w:pPr>
      <w:r>
        <w:rPr>
          <w:rFonts w:ascii="DejaVu Sans" w:hAnsi="DejaVu Sans"/>
          <w:b w:val="0"/>
          <w:i/>
          <w:color w:val="6D7785"/>
          <w:sz w:val="14"/>
        </w:rPr>
        <w:t>Source-derived native reference diagram connecting the nine-product suite to the operating method and claim-safe outcomes.</w:t>
      </w:r>
    </w:p>
    <w:p>
      <w:r>
        <w:rPr>
          <w:rFonts w:ascii="DejaVu Sans" w:hAnsi="DejaVu Sans"/>
        </w:rPr>
        <w:br w:type="page"/>
      </w:r>
    </w:p>
    <w:p>
      <w:pPr>
        <w:keepNext/>
        <w:pageBreakBefore/>
        <w:spacing w:before="20" w:after="20" w:line="259" w:lineRule="auto"/>
        <w:jc w:val="left"/>
      </w:pPr>
      <w:r>
        <w:rPr>
          <w:rFonts w:ascii="DejaVu Sans" w:hAnsi="DejaVu Sans"/>
          <w:b/>
          <w:i w:val="0"/>
          <w:color w:val="C4843A"/>
          <w:sz w:val="14"/>
        </w:rPr>
        <w:t>ILLUSTRATIVE VISUAL REFERENCE</w:t>
      </w:r>
    </w:p>
    <w:p>
      <w:pPr>
        <w:keepNext/>
        <w:spacing w:before="20" w:after="40" w:line="240" w:lineRule="auto"/>
        <w:jc w:val="left"/>
      </w:pPr>
      <w:r>
        <w:rPr>
          <w:rFonts w:ascii="DejaVu Sans" w:hAnsi="DejaVu Sans"/>
          <w:b/>
          <w:i w:val="0"/>
          <w:color w:val="345A68"/>
          <w:sz w:val="30"/>
        </w:rPr>
        <w:t>Scenario Runtime &amp; Metadata-Governed Rods</w:t>
      </w:r>
    </w:p>
    <w:p>
      <w:pPr>
        <w:keepNext w:val="0"/>
        <w:spacing w:before="0" w:after="60" w:line="259" w:lineRule="auto"/>
        <w:jc w:val="right"/>
      </w:pPr>
      <w:r>
        <w:rPr>
          <w:rFonts w:ascii="DejaVu Sans" w:hAnsi="DejaVu Sans"/>
          <w:b/>
          <w:i w:val="0"/>
          <w:color w:val="C4843A"/>
          <w:sz w:val="14"/>
        </w:rPr>
        <w:t>ILLUSTRATIVE • CONCEPTUAL • NOT A PRODUCTION SCREEN</w:t>
      </w:r>
    </w:p>
    <w:p>
      <w:pPr>
        <w:spacing w:after="60"/>
        <w:jc w:val="center"/>
      </w:pPr>
      <w:r>
        <w:rPr>
          <w:rFonts w:ascii="DejaVu Sans" w:hAnsi="DejaVu Sans"/>
        </w:rPr>
        <w:drawing>
          <wp:inline xmlns:a="http://schemas.openxmlformats.org/drawingml/2006/main" xmlns:pic="http://schemas.openxmlformats.org/drawingml/2006/picture">
            <wp:extent cx="8823960" cy="5882640"/>
            <wp:docPr id="6" name="Picture 6" descr="Illustrative Salt Basin Highway Operating System workflow." title="Illustrative Salt Basin Highway Operating System workflow."/>
            <wp:cNvGraphicFramePr>
              <a:graphicFrameLocks noChangeAspect="1"/>
            </wp:cNvGraphicFramePr>
            <a:graphic>
              <a:graphicData uri="http://schemas.openxmlformats.org/drawingml/2006/picture">
                <pic:pic>
                  <pic:nvPicPr>
                    <pic:cNvPr id="0" name="Salt Basin Highway Operating System workflow.png"/>
                    <pic:cNvPicPr/>
                  </pic:nvPicPr>
                  <pic:blipFill>
                    <a:blip r:embed="rId15"/>
                    <a:stretch>
                      <a:fillRect/>
                    </a:stretch>
                  </pic:blipFill>
                  <pic:spPr>
                    <a:xfrm>
                      <a:off x="0" y="0"/>
                      <a:ext cx="8823960" cy="5882640"/>
                    </a:xfrm>
                    <a:prstGeom prst="rect"/>
                  </pic:spPr>
                </pic:pic>
              </a:graphicData>
            </a:graphic>
          </wp:inline>
        </w:drawing>
      </w:r>
    </w:p>
    <w:p>
      <w:pPr>
        <w:keepNext w:val="0"/>
        <w:spacing w:before="0" w:after="0" w:line="259" w:lineRule="auto"/>
        <w:jc w:val="center"/>
      </w:pPr>
      <w:r>
        <w:rPr>
          <w:rFonts w:ascii="DejaVu Sans" w:hAnsi="DejaVu Sans"/>
          <w:b w:val="0"/>
          <w:i/>
          <w:color w:val="6D7785"/>
          <w:sz w:val="14"/>
        </w:rPr>
        <w:t>Source-derived native reference diagram showing scenario profiles, metadata-chip lifecycle, parallel rods, stage maturity, and the event-to-experience chain.</w:t>
      </w:r>
    </w:p>
    <w:p>
      <w:r>
        <w:rPr>
          <w:rFonts w:ascii="DejaVu Sans" w:hAnsi="DejaVu Sans"/>
        </w:rPr>
        <w:br w:type="page"/>
      </w:r>
    </w:p>
    <w:p>
      <w:pPr>
        <w:keepNext/>
        <w:pageBreakBefore/>
        <w:spacing w:before="20" w:after="20" w:line="259" w:lineRule="auto"/>
        <w:jc w:val="left"/>
      </w:pPr>
      <w:r>
        <w:rPr>
          <w:rFonts w:ascii="DejaVu Sans" w:hAnsi="DejaVu Sans"/>
          <w:b/>
          <w:i w:val="0"/>
          <w:color w:val="C4843A"/>
          <w:sz w:val="14"/>
        </w:rPr>
        <w:t>ILLUSTRATIVE VISUAL REFERENCE</w:t>
      </w:r>
    </w:p>
    <w:p>
      <w:pPr>
        <w:keepNext/>
        <w:spacing w:before="20" w:after="40" w:line="240" w:lineRule="auto"/>
        <w:jc w:val="left"/>
      </w:pPr>
      <w:r>
        <w:rPr>
          <w:rFonts w:ascii="DejaVu Sans" w:hAnsi="DejaVu Sans"/>
          <w:b/>
          <w:i w:val="0"/>
          <w:color w:val="345A68"/>
          <w:sz w:val="30"/>
        </w:rPr>
        <w:t>Organization Import → Semantic Kernel → Runtime</w:t>
      </w:r>
    </w:p>
    <w:p>
      <w:pPr>
        <w:keepNext w:val="0"/>
        <w:spacing w:before="0" w:after="60" w:line="259" w:lineRule="auto"/>
        <w:jc w:val="right"/>
      </w:pPr>
      <w:r>
        <w:rPr>
          <w:rFonts w:ascii="DejaVu Sans" w:hAnsi="DejaVu Sans"/>
          <w:b/>
          <w:i w:val="0"/>
          <w:color w:val="C4843A"/>
          <w:sz w:val="14"/>
        </w:rPr>
        <w:t>ILLUSTRATIVE • CONCEPTUAL • NOT A PRODUCTION SCREEN</w:t>
      </w:r>
    </w:p>
    <w:p>
      <w:pPr>
        <w:spacing w:after="60"/>
        <w:jc w:val="center"/>
      </w:pPr>
      <w:r>
        <w:rPr>
          <w:rFonts w:ascii="DejaVu Sans" w:hAnsi="DejaVu Sans"/>
        </w:rPr>
        <w:drawing>
          <wp:inline xmlns:a="http://schemas.openxmlformats.org/drawingml/2006/main" xmlns:pic="http://schemas.openxmlformats.org/drawingml/2006/picture">
            <wp:extent cx="8823960" cy="5882640"/>
            <wp:docPr id="7" name="Picture 7" descr="Illustrative SaaS journey and metadata flow across commercial stages and rods." title="Illustrative SaaS journey and metadata flow across commercial stages and rods."/>
            <wp:cNvGraphicFramePr>
              <a:graphicFrameLocks noChangeAspect="1"/>
            </wp:cNvGraphicFramePr>
            <a:graphic>
              <a:graphicData uri="http://schemas.openxmlformats.org/drawingml/2006/picture">
                <pic:pic>
                  <pic:nvPicPr>
                    <pic:cNvPr id="0" name="SaaS journey and metadata flow diagram.png"/>
                    <pic:cNvPicPr/>
                  </pic:nvPicPr>
                  <pic:blipFill>
                    <a:blip r:embed="rId16"/>
                    <a:stretch>
                      <a:fillRect/>
                    </a:stretch>
                  </pic:blipFill>
                  <pic:spPr>
                    <a:xfrm>
                      <a:off x="0" y="0"/>
                      <a:ext cx="8823960" cy="5882640"/>
                    </a:xfrm>
                    <a:prstGeom prst="rect"/>
                  </pic:spPr>
                </pic:pic>
              </a:graphicData>
            </a:graphic>
          </wp:inline>
        </w:drawing>
      </w:r>
    </w:p>
    <w:p>
      <w:pPr>
        <w:keepNext w:val="0"/>
        <w:spacing w:before="0" w:after="0" w:line="259" w:lineRule="auto"/>
        <w:jc w:val="center"/>
      </w:pPr>
      <w:r>
        <w:rPr>
          <w:rFonts w:ascii="DejaVu Sans" w:hAnsi="DejaVu Sans"/>
          <w:b w:val="0"/>
          <w:i/>
          <w:color w:val="6D7785"/>
          <w:sz w:val="14"/>
        </w:rPr>
        <w:t>Authoritative chat-context reference for a versioned organization workbook import into the current Supabase semantic kernel and runtime services.</w:t>
      </w:r>
    </w:p>
    <w:p>
      <w:r>
        <w:rPr>
          <w:rFonts w:ascii="DejaVu Sans" w:hAnsi="DejaVu Sans"/>
        </w:rPr>
        <w:br w:type="page"/>
      </w:r>
    </w:p>
    <w:p>
      <w:pPr>
        <w:keepNext/>
        <w:pageBreakBefore/>
        <w:spacing w:before="20" w:after="20" w:line="259" w:lineRule="auto"/>
        <w:jc w:val="left"/>
      </w:pPr>
      <w:r>
        <w:rPr>
          <w:rFonts w:ascii="DejaVu Sans" w:hAnsi="DejaVu Sans"/>
          <w:b/>
          <w:i w:val="0"/>
          <w:color w:val="C4843A"/>
          <w:sz w:val="14"/>
        </w:rPr>
        <w:t>ILLUSTRATIVE VISUAL REFERENCE</w:t>
      </w:r>
    </w:p>
    <w:p>
      <w:pPr>
        <w:keepNext/>
        <w:spacing w:before="20" w:after="40" w:line="240" w:lineRule="auto"/>
        <w:jc w:val="left"/>
      </w:pPr>
      <w:r>
        <w:rPr>
          <w:rFonts w:ascii="DejaVu Sans" w:hAnsi="DejaVu Sans"/>
          <w:b/>
          <w:i w:val="0"/>
          <w:color w:val="345A68"/>
          <w:sz w:val="30"/>
        </w:rPr>
        <w:t>Evidence Chain &amp; Cost to Produce Truth™</w:t>
      </w:r>
    </w:p>
    <w:p>
      <w:pPr>
        <w:keepNext w:val="0"/>
        <w:spacing w:before="0" w:after="60" w:line="259" w:lineRule="auto"/>
        <w:jc w:val="right"/>
      </w:pPr>
      <w:r>
        <w:rPr>
          <w:rFonts w:ascii="DejaVu Sans" w:hAnsi="DejaVu Sans"/>
          <w:b/>
          <w:i w:val="0"/>
          <w:color w:val="C4843A"/>
          <w:sz w:val="14"/>
        </w:rPr>
        <w:t>ILLUSTRATIVE • CONCEPTUAL • NOT A PRODUCTION SCREEN</w:t>
      </w:r>
    </w:p>
    <w:p>
      <w:pPr>
        <w:spacing w:after="60"/>
        <w:jc w:val="center"/>
      </w:pPr>
      <w:r>
        <w:rPr>
          <w:rFonts w:ascii="DejaVu Sans" w:hAnsi="DejaVu Sans"/>
        </w:rPr>
        <w:drawing>
          <wp:inline xmlns:a="http://schemas.openxmlformats.org/drawingml/2006/main" xmlns:pic="http://schemas.openxmlformats.org/drawingml/2006/picture">
            <wp:extent cx="8823960" cy="5882640"/>
            <wp:docPr id="8" name="Picture 8" descr="Illustrative data channel rod for thesis analysis and valuation evidence." title="Illustrative data channel rod for thesis analysis and valuation evidence."/>
            <wp:cNvGraphicFramePr>
              <a:graphicFrameLocks noChangeAspect="1"/>
            </wp:cNvGraphicFramePr>
            <a:graphic>
              <a:graphicData uri="http://schemas.openxmlformats.org/drawingml/2006/picture">
                <pic:pic>
                  <pic:nvPicPr>
                    <pic:cNvPr id="0" name="Data channel rod for thesis analysis.png"/>
                    <pic:cNvPicPr/>
                  </pic:nvPicPr>
                  <pic:blipFill>
                    <a:blip r:embed="rId17"/>
                    <a:stretch>
                      <a:fillRect/>
                    </a:stretch>
                  </pic:blipFill>
                  <pic:spPr>
                    <a:xfrm>
                      <a:off x="0" y="0"/>
                      <a:ext cx="8823960" cy="5882640"/>
                    </a:xfrm>
                    <a:prstGeom prst="rect"/>
                  </pic:spPr>
                </pic:pic>
              </a:graphicData>
            </a:graphic>
          </wp:inline>
        </w:drawing>
      </w:r>
    </w:p>
    <w:p>
      <w:pPr>
        <w:keepNext w:val="0"/>
        <w:spacing w:before="0" w:after="0" w:line="259" w:lineRule="auto"/>
        <w:jc w:val="center"/>
      </w:pPr>
      <w:r>
        <w:rPr>
          <w:rFonts w:ascii="DejaVu Sans" w:hAnsi="DejaVu Sans"/>
          <w:b w:val="0"/>
          <w:i/>
          <w:color w:val="6D7785"/>
          <w:sz w:val="14"/>
        </w:rPr>
        <w:t>Authoritative evidence-chain reference. Valuation uplift remains a hypothesis to validate; the diagram makes claim-to-source traversal and truth-production friction explicit.</w:t>
      </w:r>
    </w:p>
    <w:p>
      <w:pPr>
        <w:sectPr>
          <w:pgSz w:w="15840" w:h="12240" w:orient="landscape"/>
          <w:pgMar w:top="691" w:right="792" w:bottom="691" w:left="792" w:header="317" w:footer="317" w:gutter="0"/>
          <w:cols w:space="720"/>
          <w:docGrid w:linePitch="360"/>
        </w:sectPr>
      </w:pPr>
    </w:p>
    <w:p>
      <w:pPr>
        <w:keepNext/>
        <w:spacing w:before="20" w:after="20" w:line="259" w:lineRule="auto"/>
        <w:jc w:val="left"/>
      </w:pPr>
      <w:r>
        <w:rPr>
          <w:rFonts w:ascii="DejaVu Sans" w:hAnsi="DejaVu Sans"/>
          <w:b/>
          <w:i w:val="0"/>
          <w:color w:val="C4843A"/>
          <w:sz w:val="14"/>
        </w:rPr>
        <w:t>PORTFOLIO SECTION A</w:t>
      </w:r>
    </w:p>
    <w:p>
      <w:pPr>
        <w:keepNext/>
        <w:spacing w:before="20" w:after="40" w:line="240" w:lineRule="auto"/>
        <w:jc w:val="left"/>
      </w:pPr>
      <w:r>
        <w:rPr>
          <w:rFonts w:ascii="DejaVu Serif" w:hAnsi="DejaVu Serif"/>
          <w:b/>
          <w:i w:val="0"/>
          <w:color w:val="345A68"/>
          <w:sz w:val="30"/>
        </w:rPr>
        <w:t>Appendix A — Canonical Dimension Dictionary</w:t>
      </w:r>
    </w:p>
    <w:p>
      <w:pPr>
        <w:keepNext w:val="0"/>
        <w:spacing w:before="0" w:after="100" w:line="259" w:lineRule="auto"/>
        <w:jc w:val="left"/>
      </w:pPr>
      <w:r>
        <w:rPr>
          <w:rFonts w:ascii="DejaVu Sans" w:hAnsi="DejaVu Sans"/>
          <w:b w:val="0"/>
          <w:i w:val="0"/>
          <w:color w:val="4A7C8E"/>
          <w:sz w:val="17"/>
        </w:rPr>
        <w:t>A compact implementation dictionary for the 16 scenario dimensions. Extend with the exact canonical value codes, definitions, evidence rules, mappings, and regression fixtures from the repository workbook.</w:t>
      </w:r>
    </w:p>
    <w:tbl>
      <w:tblPr>
        <w:tblW w:type="dxa" w:w="10556"/>
        <w:tblLayout w:type="fixed"/>
        <w:tblLook w:firstColumn="1" w:firstRow="1" w:lastColumn="0" w:lastRow="0" w:noHBand="0" w:noVBand="1" w:val="04A0"/>
        <w:jc w:val="left"/>
        <w:tblInd w:type="dxa" w:w="80"/>
      </w:tblPr>
      <w:tblGrid>
        <w:gridCol w:w="2956"/>
        <w:gridCol w:w="844"/>
        <w:gridCol w:w="6756"/>
      </w:tblGrid>
      <w:tr>
        <w:trPr>
          <w:trHeight w:hRule="atLeast"/>
          <w:tblHeader w:val="true"/>
        </w:trPr>
        <w:tc>
          <w:tcPr>
            <w:tcW w:type="dxa" w:w="29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DIMENSION</w:t>
            </w:r>
          </w:p>
        </w:tc>
        <w:tc>
          <w:tcPr>
            <w:tcW w:type="dxa" w:w="844"/>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N</w:t>
            </w:r>
          </w:p>
        </w:tc>
        <w:tc>
          <w:tcPr>
            <w:tcW w:type="dxa" w:w="67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2"/>
              </w:rPr>
              <w:t>IMPLEMENTATION INTERPRETATION</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Customer_Segment</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4</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commercial scale/context; affects pricing, service, hierarchy and metrics.</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Customer_State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3</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Separates new, existing and lifecycle relationship behavior.</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Product_Model</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product/service structure and fulfillment pattern.</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Pricing_Model</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7</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fixed, unit, tier, block, usage, commitment or related economics.</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Contract_Term</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duration, evergreen, renewal and enforceability behavior.</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Billing_Cadence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invoice frequency and period boundaries.</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Billing_Timing</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4</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advance/arrears timing and related recognition/cash implications.</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Payment_Method</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settlement source, fees, timing, reversals and controls.</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Commercial_Event</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10</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the lifecycle event family and primary lineage root.</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Usage_State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committed, consumed, overage, dormant or related usage behavior.</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Revenue_Pattern</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point-in-time, ratable, usage-based or related recognition.</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Invoice_State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draft/issued/partially paid/paid/void/other lifecycle state.</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Payment_State</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6</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initiated/settled/failed/refunded/reversed/other settlement state.</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Debt_State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5</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draw, outstanding, accrual, repayment and closing-balance behavior.</w:t>
            </w:r>
          </w:p>
        </w:tc>
      </w:tr>
      <w:tr>
        <w:trPr>
          <w:trHeight w:hRule="atLeast"/>
        </w:trPr>
        <w:tc>
          <w:tcPr>
            <w:tcW w:type="dxa" w:w="29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Source_System</w:t>
            </w:r>
          </w:p>
        </w:tc>
        <w:tc>
          <w:tcPr>
            <w:tcW w:type="dxa" w:w="844"/>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10</w:t>
            </w:r>
          </w:p>
        </w:tc>
        <w:tc>
          <w:tcPr>
            <w:tcW w:type="dxa" w:w="67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Defines authoritative source and native lineage behavior.</w:t>
            </w:r>
          </w:p>
        </w:tc>
      </w:tr>
      <w:tr>
        <w:trPr>
          <w:trHeight w:hRule="atLeast"/>
        </w:trPr>
        <w:tc>
          <w:tcPr>
            <w:tcW w:type="dxa" w:w="29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Security_Slice</w:t>
            </w:r>
          </w:p>
        </w:tc>
        <w:tc>
          <w:tcPr>
            <w:tcW w:type="dxa" w:w="844"/>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7</w:t>
            </w:r>
          </w:p>
        </w:tc>
        <w:tc>
          <w:tcPr>
            <w:tcW w:type="dxa" w:w="67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Defines entitled exposure/action context and policy tests.</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DICTIONARY COMPLETION  </w:t>
            </w:r>
            <w:r>
              <w:rPr>
                <w:rFonts w:ascii="DejaVu Sans" w:hAnsi="DejaVu Sans"/>
                <w:b w:val="0"/>
                <w:i w:val="0"/>
                <w:color w:val="2B2A28"/>
                <w:sz w:val="14"/>
              </w:rPr>
              <w:t>For each value add: stable code • display label • definition • inclusion/exclusion • atom path • molecule • evidence • validation • event compatibility • transaction impact • temporal behavior • agent/user policy • regression IDs.</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Cardinalities are exact; short interpretations are implementation guidance and remain subordinate to the source dictionary.</w:t>
      </w:r>
    </w:p>
    <w:p>
      <w:r>
        <w:rPr>
          <w:rFonts w:ascii="DejaVu Sans" w:hAnsi="DejaVu Sans"/>
        </w:rPr>
        <w:br w:type="page"/>
      </w:r>
    </w:p>
    <w:p>
      <w:pPr>
        <w:keepNext/>
        <w:spacing w:before="20" w:after="20" w:line="259" w:lineRule="auto"/>
        <w:jc w:val="left"/>
      </w:pPr>
      <w:r>
        <w:rPr>
          <w:rFonts w:ascii="DejaVu Sans" w:hAnsi="DejaVu Sans"/>
          <w:b/>
          <w:i w:val="0"/>
          <w:color w:val="C4843A"/>
          <w:sz w:val="14"/>
        </w:rPr>
        <w:t>PORTFOLIO SECTION B</w:t>
      </w:r>
    </w:p>
    <w:p>
      <w:pPr>
        <w:keepNext/>
        <w:spacing w:before="20" w:after="40" w:line="240" w:lineRule="auto"/>
        <w:jc w:val="left"/>
      </w:pPr>
      <w:r>
        <w:rPr>
          <w:rFonts w:ascii="DejaVu Serif" w:hAnsi="DejaVu Serif"/>
          <w:b/>
          <w:i w:val="0"/>
          <w:color w:val="345A68"/>
          <w:sz w:val="30"/>
        </w:rPr>
        <w:t>Appendix B — Implementation Checklists</w:t>
      </w:r>
    </w:p>
    <w:p>
      <w:pPr>
        <w:keepNext w:val="0"/>
        <w:spacing w:before="0" w:after="100" w:line="259" w:lineRule="auto"/>
        <w:jc w:val="left"/>
      </w:pPr>
      <w:r>
        <w:rPr>
          <w:rFonts w:ascii="DejaVu Sans" w:hAnsi="DejaVu Sans"/>
          <w:b w:val="0"/>
          <w:i w:val="0"/>
          <w:color w:val="4A7C8E"/>
          <w:sz w:val="17"/>
        </w:rPr>
        <w:t>These checklists convert the reference model into repeatable definition, build, test, release, and operating reviews.</w:t>
      </w:r>
    </w:p>
    <w:p>
      <w:pPr>
        <w:keepNext/>
        <w:spacing w:before="20" w:after="40" w:line="259" w:lineRule="auto"/>
        <w:jc w:val="left"/>
      </w:pPr>
      <w:r>
        <w:rPr>
          <w:rFonts w:ascii="DejaVu Sans" w:hAnsi="DejaVu Sans"/>
          <w:b/>
          <w:i w:val="0"/>
          <w:color w:val="C4843A"/>
          <w:sz w:val="14"/>
        </w:rPr>
        <w:t>DEFINITION READINESS</w:t>
      </w:r>
    </w:p>
    <w:tbl>
      <w:tblPr>
        <w:tblW w:type="dxa" w:w="10556"/>
        <w:jc w:val="left"/>
        <w:tblLayout w:type="fixed"/>
        <w:tblLook w:firstColumn="1" w:firstRow="1" w:lastColumn="0" w:lastRow="0" w:noHBand="0" w:noVBand="1" w:val="04A0"/>
        <w:tblInd w:type="dxa" w:w="95"/>
      </w:tblPr>
      <w:tblGrid>
        <w:gridCol w:w="3519"/>
        <w:gridCol w:w="3519"/>
        <w:gridCol w:w="3518"/>
      </w:tblGrid>
      <w:tr>
        <w:trPr/>
        <w:tc>
          <w:tcPr>
            <w:tcW w:type="dxa" w:w="3519"/>
            <w:tcMar>
              <w:top w:w="76" w:type="dxa"/>
              <w:bottom w:w="76" w:type="dxa"/>
              <w:start w:w="95" w:type="dxa"/>
              <w:end w:w="95" w:type="dxa"/>
            </w:tcMar>
            <w:shd w:fill="F8F4EC" w:val="clear"/>
            <w:tcBorders>
              <w:top w:val="single" w:sz="10" w:space="0" w:color="4A7C8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IDENTITY</w:t>
            </w:r>
          </w:p>
          <w:p>
            <w:pPr>
              <w:spacing w:before="40" w:after="0" w:line="245" w:lineRule="auto"/>
            </w:pPr>
            <w:r>
              <w:rPr>
                <w:rFonts w:ascii="DejaVu Sans" w:hAnsi="DejaVu Sans"/>
                <w:b w:val="0"/>
                <w:i w:val="0"/>
                <w:color w:val="4A7C8E"/>
                <w:sz w:val="13"/>
              </w:rPr>
              <w:t>Stable codes, owners, lifecycle states and authority hierarchy approved.</w:t>
            </w:r>
          </w:p>
        </w:tc>
        <w:tc>
          <w:tcPr>
            <w:tcW w:type="dxa" w:w="3519"/>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MEANING</w:t>
            </w:r>
          </w:p>
          <w:p>
            <w:pPr>
              <w:spacing w:before="40" w:after="0" w:line="245" w:lineRule="auto"/>
            </w:pPr>
            <w:r>
              <w:rPr>
                <w:rFonts w:ascii="DejaVu Sans" w:hAnsi="DejaVu Sans"/>
                <w:b w:val="0"/>
                <w:i w:val="0"/>
                <w:color w:val="4A7C8E"/>
                <w:sz w:val="13"/>
              </w:rPr>
              <w:t>Definitions, inclusions/exclusions, atoms, molecules and path treatment complete.</w:t>
            </w:r>
          </w:p>
        </w:tc>
        <w:tc>
          <w:tcPr>
            <w:tcW w:type="dxa" w:w="3518"/>
            <w:tcMar>
              <w:top w:w="76" w:type="dxa"/>
              <w:bottom w:w="76" w:type="dxa"/>
              <w:start w:w="95" w:type="dxa"/>
              <w:end w:w="95" w:type="dxa"/>
            </w:tcMar>
            <w:shd w:fill="F8F4EC" w:val="clear"/>
            <w:tcBorders>
              <w:top w:val="single" w:sz="10" w:space="0" w:color="7A174E"/>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LINEAGE</w:t>
            </w:r>
          </w:p>
          <w:p>
            <w:pPr>
              <w:spacing w:before="40" w:after="0" w:line="245" w:lineRule="auto"/>
            </w:pPr>
            <w:r>
              <w:rPr>
                <w:rFonts w:ascii="DejaVu Sans" w:hAnsi="DejaVu Sans"/>
                <w:b w:val="0"/>
                <w:i w:val="0"/>
                <w:color w:val="4A7C8E"/>
                <w:sz w:val="13"/>
              </w:rPr>
              <w:t>Source events, native IDs, rules and time fields mapped.</w:t>
            </w:r>
          </w:p>
        </w:tc>
      </w:tr>
      <w:tr>
        <w:trPr/>
        <w:tc>
          <w:tcPr>
            <w:tcW w:type="dxa" w:w="3519"/>
            <w:tcMar>
              <w:top w:w="76" w:type="dxa"/>
              <w:bottom w:w="76" w:type="dxa"/>
              <w:start w:w="95" w:type="dxa"/>
              <w:end w:w="95" w:type="dxa"/>
            </w:tcMar>
            <w:shd w:fill="F8F4EC" w:val="clear"/>
            <w:tcBorders>
              <w:top w:val="single" w:sz="10" w:space="0" w:color="2D5A27"/>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TRANSACTIONS</w:t>
            </w:r>
          </w:p>
          <w:p>
            <w:pPr>
              <w:spacing w:before="40" w:after="0" w:line="245" w:lineRule="auto"/>
            </w:pPr>
            <w:r>
              <w:rPr>
                <w:rFonts w:ascii="DejaVu Sans" w:hAnsi="DejaVu Sans"/>
                <w:b w:val="0"/>
                <w:i w:val="0"/>
                <w:color w:val="4A7C8E"/>
                <w:sz w:val="13"/>
              </w:rPr>
              <w:t>Declared records, postings and no-generate rules explicit.</w:t>
            </w:r>
          </w:p>
        </w:tc>
        <w:tc>
          <w:tcPr>
            <w:tcW w:type="dxa" w:w="3519"/>
            <w:tcMar>
              <w:top w:w="76" w:type="dxa"/>
              <w:bottom w:w="76" w:type="dxa"/>
              <w:start w:w="95" w:type="dxa"/>
              <w:end w:w="95" w:type="dxa"/>
            </w:tcMar>
            <w:shd w:fill="F8F4EC" w:val="clear"/>
            <w:tcBorders>
              <w:top w:val="single" w:sz="10" w:space="0" w:color="345A68"/>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CONTROLS</w:t>
            </w:r>
          </w:p>
          <w:p>
            <w:pPr>
              <w:spacing w:before="40" w:after="0" w:line="245" w:lineRule="auto"/>
            </w:pPr>
            <w:r>
              <w:rPr>
                <w:rFonts w:ascii="DejaVu Sans" w:hAnsi="DejaVu Sans"/>
                <w:b w:val="0"/>
                <w:i w:val="0"/>
                <w:color w:val="4A7C8E"/>
                <w:sz w:val="13"/>
              </w:rPr>
              <w:t>Expected reconciliations, exception classes and pass thresholds defined.</w:t>
            </w:r>
          </w:p>
        </w:tc>
        <w:tc>
          <w:tcPr>
            <w:tcW w:type="dxa" w:w="3518"/>
            <w:tcMar>
              <w:top w:w="76" w:type="dxa"/>
              <w:bottom w:w="76" w:type="dxa"/>
              <w:start w:w="95" w:type="dxa"/>
              <w:end w:w="95" w:type="dxa"/>
            </w:tcMar>
            <w:shd w:fill="F8F4EC" w:val="clear"/>
            <w:tcBorders>
              <w:top w:val="single" w:sz="10" w:space="0" w:color="C4843A"/>
              <w:start w:val="single" w:sz="4" w:space="0" w:color="F1EBDD"/>
              <w:bottom w:val="single" w:sz="4" w:space="0" w:color="F1EBDD"/>
              <w:end w:val="single" w:sz="4" w:space="0" w:color="F1EBDD"/>
            </w:tcBorders>
          </w:tcPr>
          <w:p>
            <w:pPr>
              <w:spacing w:before="0" w:after="0"/>
            </w:pPr>
            <w:r>
              <w:rPr>
                <w:rFonts w:ascii="DejaVu Sans" w:hAnsi="DejaVu Sans"/>
              </w:rPr>
            </w:r>
            <w:r>
              <w:rPr>
                <w:rFonts w:ascii="DejaVu Sans" w:hAnsi="DejaVu Sans"/>
                <w:b/>
                <w:i w:val="0"/>
                <w:color w:val="345A68"/>
                <w:sz w:val="14"/>
              </w:rPr>
              <w:t>METRICS</w:t>
            </w:r>
          </w:p>
          <w:p>
            <w:pPr>
              <w:spacing w:before="40" w:after="0" w:line="245" w:lineRule="auto"/>
            </w:pPr>
            <w:r>
              <w:rPr>
                <w:rFonts w:ascii="DejaVu Sans" w:hAnsi="DejaVu Sans"/>
                <w:b w:val="0"/>
                <w:i w:val="0"/>
                <w:color w:val="4A7C8E"/>
                <w:sz w:val="13"/>
              </w:rPr>
              <w:t>Formula, grain, time, dependencies, policy and validation versioned.</w:t>
            </w:r>
          </w:p>
        </w:tc>
      </w:tr>
    </w:tbl>
    <w:p>
      <w:pPr>
        <w:keepNext/>
        <w:spacing w:before="20" w:after="40" w:line="259" w:lineRule="auto"/>
        <w:jc w:val="left"/>
      </w:pPr>
      <w:r>
        <w:rPr>
          <w:rFonts w:ascii="DejaVu Sans" w:hAnsi="DejaVu Sans"/>
          <w:b/>
          <w:i w:val="0"/>
          <w:color w:val="C4843A"/>
          <w:sz w:val="14"/>
        </w:rPr>
        <w:t>REGRESSION PROOF</w:t>
      </w:r>
    </w:p>
    <w:tbl>
      <w:tblPr>
        <w:tblW w:type="dxa" w:w="10556"/>
        <w:tblLayout w:type="fixed"/>
        <w:tblLook w:firstColumn="1" w:firstRow="1" w:lastColumn="0" w:lastRow="0" w:noHBand="0" w:noVBand="1" w:val="04A0"/>
        <w:jc w:val="left"/>
        <w:tblInd w:type="dxa" w:w="80"/>
      </w:tblPr>
      <w:tblGrid>
        <w:gridCol w:w="1900"/>
        <w:gridCol w:w="8656"/>
      </w:tblGrid>
      <w:tr>
        <w:trPr>
          <w:trHeight w:hRule="atLeast"/>
          <w:tblHeader w:val="true"/>
        </w:trPr>
        <w:tc>
          <w:tcPr>
            <w:tcW w:type="dxa" w:w="1900"/>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GATE</w:t>
            </w:r>
          </w:p>
        </w:tc>
        <w:tc>
          <w:tcPr>
            <w:tcW w:type="dxa" w:w="8656"/>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PASS CONDITION</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State</w:t>
            </w:r>
          </w:p>
        </w:tc>
        <w:tc>
          <w:tcPr>
            <w:tcW w:type="dxa" w:w="86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Expected L1/L2/L3 path, statuses, branch/merge and maturity reproduce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Financial</w:t>
            </w:r>
          </w:p>
        </w:tc>
        <w:tc>
          <w:tcPr>
            <w:tcW w:type="dxa" w:w="86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Transactions and balances tie under all four applicable controls</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Metrics</w:t>
            </w:r>
          </w:p>
        </w:tc>
        <w:tc>
          <w:tcPr>
            <w:tcW w:type="dxa" w:w="86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Expected values, dependencies, invalidation and propagation reproduce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Exceptions</w:t>
            </w:r>
          </w:p>
        </w:tc>
        <w:tc>
          <w:tcPr>
            <w:tcW w:type="dxa" w:w="86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Timing, mapping, source, rule, entitlement and adjustment paths classify correctly</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Temporal</w:t>
            </w:r>
          </w:p>
        </w:tc>
        <w:tc>
          <w:tcPr>
            <w:tcW w:type="dxa" w:w="86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Prior as-of state, restatement, supersession and replay reproduce</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Lineage</w:t>
            </w:r>
          </w:p>
        </w:tc>
        <w:tc>
          <w:tcPr>
            <w:tcW w:type="dxa" w:w="86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Source → rule → record → control/metric → UI remains traversable</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Security</w:t>
            </w:r>
          </w:p>
        </w:tc>
        <w:tc>
          <w:tcPr>
            <w:tcW w:type="dxa" w:w="86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Allow and deny paths, memory, exposure and actions follow agent policy</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Experience</w:t>
            </w:r>
          </w:p>
        </w:tc>
        <w:tc>
          <w:tcPr>
            <w:tcW w:type="dxa" w:w="86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Trace and Why Changed? explain current/prior results without hidden assumptions</w:t>
            </w:r>
          </w:p>
        </w:tc>
      </w:tr>
      <w:tr>
        <w:trPr>
          <w:trHeight w:hRule="atLeast"/>
        </w:trPr>
        <w:tc>
          <w:tcPr>
            <w:tcW w:type="dxa" w:w="1900"/>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Performance</w:t>
            </w:r>
          </w:p>
        </w:tc>
        <w:tc>
          <w:tcPr>
            <w:tcW w:type="dxa" w:w="8656"/>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Bounded recalculation, projection freshness and recovery meet target</w:t>
            </w:r>
          </w:p>
        </w:tc>
      </w:tr>
      <w:tr>
        <w:trPr>
          <w:trHeight w:hRule="atLeast"/>
        </w:trPr>
        <w:tc>
          <w:tcPr>
            <w:tcW w:type="dxa" w:w="1900"/>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Release</w:t>
            </w:r>
          </w:p>
        </w:tc>
        <w:tc>
          <w:tcPr>
            <w:tcW w:type="dxa" w:w="8656"/>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Evidence pack, gaps, approvals, compatibility and next review recorded</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Checklist consolidates validation themes present across the repository, DataBasin, EIDOS, security, and UI/experience materials.</w:t>
      </w:r>
    </w:p>
    <w:p>
      <w:pPr>
        <w:sectPr>
          <w:pgSz w:w="12240" w:h="15840"/>
          <w:pgMar w:top="792" w:right="792" w:bottom="792" w:left="792" w:header="317" w:footer="317" w:gutter="0"/>
          <w:cols w:space="720"/>
          <w:docGrid w:linePitch="360"/>
        </w:sectPr>
      </w:pPr>
    </w:p>
    <w:p>
      <w:pPr>
        <w:keepNext/>
        <w:spacing w:before="20" w:after="20" w:line="259" w:lineRule="auto"/>
        <w:jc w:val="left"/>
      </w:pPr>
      <w:r>
        <w:rPr>
          <w:rFonts w:ascii="DejaVu Sans" w:hAnsi="DejaVu Sans"/>
          <w:b/>
          <w:i w:val="0"/>
          <w:color w:val="C4843A"/>
          <w:sz w:val="14"/>
        </w:rPr>
        <w:t>APPENDIX C</w:t>
      </w:r>
    </w:p>
    <w:p>
      <w:pPr>
        <w:keepNext/>
        <w:spacing w:before="20" w:after="40" w:line="240" w:lineRule="auto"/>
        <w:jc w:val="left"/>
      </w:pPr>
      <w:r>
        <w:rPr>
          <w:rFonts w:ascii="DejaVu Sans" w:hAnsi="DejaVu Sans"/>
          <w:b/>
          <w:i w:val="0"/>
          <w:color w:val="345A68"/>
          <w:sz w:val="30"/>
        </w:rPr>
        <w:t>Source Estate Register — Broad Screen</w:t>
      </w:r>
    </w:p>
    <w:p>
      <w:pPr>
        <w:keepNext w:val="0"/>
        <w:spacing w:before="0" w:after="80" w:line="259" w:lineRule="auto"/>
        <w:jc w:val="left"/>
      </w:pPr>
      <w:r>
        <w:rPr>
          <w:rFonts w:ascii="DejaVu Sans" w:hAnsi="DejaVu Sans"/>
          <w:b w:val="0"/>
          <w:i w:val="0"/>
          <w:color w:val="4A7C8E"/>
          <w:sz w:val="16"/>
        </w:rPr>
        <w:t>122 candidate artifacts were identified using unrestricted Salt Basin source queries. The register is intentionally broad; authority tier and category prevent duplicates, prototypes, and precursor work from silently overriding governing sources.</w:t>
      </w:r>
    </w:p>
    <w:tbl>
      <w:tblPr>
        <w:tblW w:type="dxa" w:w="14166"/>
        <w:tblLayout w:type="fixed"/>
        <w:tblLook w:firstColumn="1" w:firstRow="1" w:lastColumn="0" w:lastRow="0" w:noHBand="0" w:noVBand="1" w:val="04A0"/>
        <w:jc w:val="left"/>
        <w:tblInd w:type="dxa" w:w="55"/>
      </w:tblPr>
      <w:tblGrid>
        <w:gridCol w:w="6658"/>
        <w:gridCol w:w="1275"/>
        <w:gridCol w:w="2408"/>
        <w:gridCol w:w="2692"/>
        <w:gridCol w:w="1133"/>
      </w:tblGrid>
      <w:tr>
        <w:trPr>
          <w:trHeight w:hRule="atLeast"/>
          <w:tblHeader w:val="true"/>
        </w:trPr>
        <w:tc>
          <w:tcPr>
            <w:tcW w:type="dxa" w:w="6658"/>
            <w:tcMar>
              <w:top w:w="34" w:type="dxa"/>
              <w:bottom w:w="34" w:type="dxa"/>
              <w:start w:w="55" w:type="dxa"/>
              <w:end w:w="55"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1"/>
              </w:rPr>
              <w:t>ARTIFACT</w:t>
            </w:r>
          </w:p>
        </w:tc>
        <w:tc>
          <w:tcPr>
            <w:tcW w:type="dxa" w:w="1275"/>
            <w:tcMar>
              <w:top w:w="34" w:type="dxa"/>
              <w:bottom w:w="34" w:type="dxa"/>
              <w:start w:w="55" w:type="dxa"/>
              <w:end w:w="55"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1"/>
              </w:rPr>
              <w:t>FORMAT</w:t>
            </w:r>
          </w:p>
        </w:tc>
        <w:tc>
          <w:tcPr>
            <w:tcW w:type="dxa" w:w="2408"/>
            <w:tcMar>
              <w:top w:w="34" w:type="dxa"/>
              <w:bottom w:w="34" w:type="dxa"/>
              <w:start w:w="55" w:type="dxa"/>
              <w:end w:w="55"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1"/>
              </w:rPr>
              <w:t>CATEGORY</w:t>
            </w:r>
          </w:p>
        </w:tc>
        <w:tc>
          <w:tcPr>
            <w:tcW w:type="dxa" w:w="2692"/>
            <w:tcMar>
              <w:top w:w="34" w:type="dxa"/>
              <w:bottom w:w="34" w:type="dxa"/>
              <w:start w:w="55" w:type="dxa"/>
              <w:end w:w="55"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1"/>
              </w:rPr>
              <w:t>AUTHORITY</w:t>
            </w:r>
          </w:p>
        </w:tc>
        <w:tc>
          <w:tcPr>
            <w:tcW w:type="dxa" w:w="1133"/>
            <w:tcMar>
              <w:top w:w="34" w:type="dxa"/>
              <w:bottom w:w="34" w:type="dxa"/>
              <w:start w:w="55" w:type="dxa"/>
              <w:end w:w="55"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1"/>
              </w:rPr>
              <w:t>MODIFIED</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Enterprise_Intelligence_and_Delivery_Operating_System_EIDOS_v1_0.docx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2026-07-05</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Salt_Basin_2400_Scenario_Repository.xlsx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2026-07-13</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Salt_Basin_DataBasin_Data_Bridge_Methodology.docx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Salt_Basin_Holdings_Enterprise_Constitution_v1_0.docx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2026-07-05</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Salt_Basin_Transaction_Grounded_Intelligence_Portfolio.docx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2026-07-13</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Salt_Basin_Visual_Design_System_v1.docx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2026-07-08</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Salt_Basin_Workbook_001A_Enterprise_Foundation_v4.xlsx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SBHOS_Metadata_Definition_By_L2_Scenario_and_Data_Rod.xlsx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Thesis_Ledger_System_Framework_v1.docx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T1 • Current / governing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2026-07-05</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Salt_Basin_Last_3_Chats_Fully_Annotated_Notes_July_2026.docx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Salt_Basin_Master_Recap_and_Smart_Use_Guide.docx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2026-07-13</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Salt_Basin_PE_Exit_Evidence_Research_Memo_v3.docx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Salt_Basin_POC_to_Data_Model_Mapping.xlsx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Salt_Basin_Thesis_Evidence_Chain_Examples.xlsx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Salt_Basin_Thesis_Evidence_Orbit_Annotated_Notes.docx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T2 • Supporting</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Net Works(1).pdf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2026-06-18</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Salt_Basin_EIDOS_Expanded_Proliferated_L2_Scenarios.xlsx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salt_basin_highway_html_artifacts(1).zip</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salt_basin_highway_interactive(1).html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Salt_Basin_HOS_2400_L2_Scenarios_Workbook.xlsx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Salt_Basin_LoneTree_Thesis_to_Exit_Proposal_v3_Clean(1).pdf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Salt_Basin_LoneTree_Thesis_to_Exit_Proposal_v3_Clean(1).pptx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Salt_Basin_Prospect_Crystal_3D_Experience(1).html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Salt_Basin_Prospect_Send_Package(1).zip</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Salt_Basin_Variable_Config_and_3D_World_Spec(1).docx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Salt_Basin_Variable_Config_and_3D_World_Spec(2).docx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Salt_Basin_Variable_Config_and_3D_World_Spec(3).docx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Salt_Basin_White_Paper(1).pdf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2026-03-31</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Salt_Basin_Workbook_001A_Enterprise_Foundation(1).xlsx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2026-07-15</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Salt_Basin_Workbook_001A_Enterprise_Foundation_v3(1).xlsx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START_HERE_Salt_Basin_Prospect_Experience(1).pdf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Precursor / variant</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Betsy_Salter_Career_Master_Database__Final.pdf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2026-07-08</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Betsy_Salter_Case_Study_Portfolio_Canva_Source_Final.pdf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2026-07-08</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Betsy_Salter_Flagship_Resume_Concept.pptx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2026-07-08</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Consolidated_Package_Manifest.xlsx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2026-06-13</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Corporate product impact matrix infographic.png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Corporate strategy dashboard and priorities overview.png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Data channel rod for thesis analysis.png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EIDOS_Process_Definition_Repository_Starter.xlsx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eidos_spatial_semantic_prototype.html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2026-07-11</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eidos_true_3d_webgl_prototype.html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2026-07-11</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HERQ_Master_Repository_v1.xlsx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2026-06-13</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Home_Equity_Recovery_Fund_Executive_With_Charts.pdf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2026-03-13</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Maturity models: competition vs Salt Basin.png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OPEN_SALT_BASIN_EXPERIENCE.html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SaaS journey and metadata flow diagram.png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 Basin data model overview.png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highway operating system diagram.png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 Basin Highway Operating System workflow.png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methodology infographic.png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 Basin modeling evidence chain roadmap.png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modeling evidence chain visualization.png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 Basin Net Works.pdf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2026-06-18</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platform architecture diagram.png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 Basin product to outcome matrix.png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 Basin proof of concept dashboard.png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Salt_Basin_Cinematic_3D_Interactive_Experience.html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Salt_Basin_Crystal_Evidence_Operating_System_Artifact.html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Salt_Basin_EIDOS_L2_Scenario_Repository_Initial_500.xlsx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Salt_Basin_EIDOS_Proliferated_L2_Scenarios.xlsx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Salt_Basin_Enterprise_Constitution_Master_Blueprint_Volume_I_Draft.docx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2026-07-05</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Salt_Basin_Hierarchical_Prospect_Crystal_Experience.html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Salt_Basin_Hierarchical_Prospect_Crystal_Experience_v2.html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salt_basin_highway_html_artifacts.zip</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salt_basin_highway_interactive.html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Salt_Basin_Holdings_Enterprise_Constitution_v0_1.docx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Operating governance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2026-07-05</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Salt_Basin_Holdings_White_Paper_Full.pdf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2026-03-31</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Salt_Basin_HOS_Commercial_Scenario_Intelligence.html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Salt_Basin_HOS_Plaid_Integration_Starter.zip</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Salt_Basin_HOS_Product_Experience_Readability_Fix.html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Salt_Basin_HOS_Product_Experience_Updated.html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Salt_Basin_HOS_Product_Experience_With_Plaid.html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Salt_Basin_HOS_Refined_Polished_Interactive.html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Salt_Basin_Interactive_End_Result_Deliverables.html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Salt_Basin_Interactive_Methodology_Document.html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Salt_Basin_Interactive_Methodology_Document_ANCHOR_FIXED.html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Salt_Basin_Interactive_Methodology_Document_FIXED.html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Salt_Basin_Interactive_Prospect_Experience.html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Salt_Basin_Large_L2_Scenario_Explorer.html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Salt_Basin_Lead_to_Cash_Workshop_Intake_Expanded.html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Salt_Basin_LoneTree_Capital_Proposal.pdf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Salt_Basin_LoneTree_Capital_Proposal.pptx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2026-07-13</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Salt_Basin_LoneTree_End_to_End_Thesis_Salt_Basin_Branded_2026.pdf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Salt_Basin_LoneTree_End_to_End_Thesis_Salt_Basin_Branded_2026.pptx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Salt_Basin_LoneTree_Executive_Preview.html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Salt_Basin_LoneTree_Executive_Preview_Package.zip</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Salt_Basin_LoneTree_Operating_Diagnostic_Companion_Pared_Down.pdf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Salt_Basin_LoneTree_Operating_Diagnostic_Companion_Pared_Down.pptx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Salt_Basin_LoneTree_Thesis_to_Exit_Proposal_v2.pdf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Salt_Basin_LoneTree_Thesis_to_Exit_Proposal_v2.pptx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Salt_Basin_LoneTree_Thesis_to_Exit_Proposal_v3_Clean.pdf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Salt_Basin_LoneTree_Thesis_to_Exit_Proposal_v3_Clean.pptx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Salt_Basin_NoJS_Scenario_Simulator.html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Salt_Basin_PE_Exit_Evidence_200_Query_Research_Memo.docx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Salt_Basin_Platform_Interactive_Experience.html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Salt_Basin_Preloaded_L2_Scenario_Library_Translator.html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Salt_Basin_Product_Demo_Full_Experience.html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Salt_Basin_Prospect_Crystal_3D_Experience.html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Salt_Basin_Prospect_Experience_Accurate_Visual_Rebuilds.html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Salt_Basin_Prospect_Experience_NoJS_Clickable.html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Salt_Basin_Prospect_Experience_NoJS_Clickable_v2.html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Salt_Basin_Prospect_Immersive_Crystal_Operating_Thesis.html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Salt_Basin_Prospect_Immersive_Crystal_Operating_Thesis_Built_Out.html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Salt_Basin_Prospect_Operating_Thesis_Experience_Mobile.html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Salt_Basin_Prospect_Operating_Thesis_Experience_Mobile_v2.html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Salt_Basin_Prospect_Send_Package.zip</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Salt_Basin_Robust_Build.html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2026-07-10</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Salt_Basin_Scenario_Repository_Portfolio_v1.docx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Scenario &amp; metadata</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2026-07-15</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Salt_Basin_Variable_Config_and_3D_World_Spec.docx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Document</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Salt_Basin_Variable_Config_and_3D_World_Spec.pdf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Implementation</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Salt_Basin_Visual_Design_System_v1.pdf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2026-07-08</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Salt_Basin_White_Paper.pdf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2026-03-31</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Salt_Basin_Workbook_001A_Enterprise_Foundation_v2.xlsx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Salt_Basin_Workbook_001A_Enterprise_Foundation_v3.xlsx</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Workbook</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Salt_Basin_Workshop_Capture_Interactive_Prototype.html</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Salt_Basin_x_LoneTree_End_to_End_Thesis_Proposal_Extended.pdf</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Salt_Basin_x_LoneTree_End_to_End_Thesis_Proposal_Extended.pptx</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Artifact</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Thesis &amp; evidence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SBHOS_Interactive_Smart_Art.html</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Web / prototype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Adjacent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START_HERE_Salt_Basin_Prospect_Experience.pdf</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PDF</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Experience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2026-07-14</w:t>
            </w:r>
          </w:p>
        </w:tc>
      </w:tr>
      <w:tr>
        <w:trPr>
          <w:trHeight w:hRule="atLeast"/>
        </w:trPr>
        <w:tc>
          <w:tcPr>
            <w:tcW w:type="dxa" w:w="665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The Salt Basin Methodology blueprint.png</w:t>
            </w:r>
          </w:p>
        </w:tc>
        <w:tc>
          <w:tcPr>
            <w:tcW w:type="dxa" w:w="1275"/>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1"/>
              </w:rPr>
              <w:t>2026-07-09</w:t>
            </w:r>
          </w:p>
        </w:tc>
      </w:tr>
      <w:tr>
        <w:trPr>
          <w:trHeight w:hRule="atLeast"/>
        </w:trPr>
        <w:tc>
          <w:tcPr>
            <w:tcW w:type="dxa" w:w="665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The Salt Basin Methodology overview.png</w:t>
            </w:r>
          </w:p>
        </w:tc>
        <w:tc>
          <w:tcPr>
            <w:tcW w:type="dxa" w:w="1275"/>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Image</w:t>
            </w:r>
          </w:p>
        </w:tc>
        <w:tc>
          <w:tcPr>
            <w:tcW w:type="dxa" w:w="2408"/>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Visual reference</w:t>
            </w:r>
          </w:p>
        </w:tc>
        <w:tc>
          <w:tcPr>
            <w:tcW w:type="dxa" w:w="2692"/>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T3 • Reference</w:t>
            </w:r>
          </w:p>
        </w:tc>
        <w:tc>
          <w:tcPr>
            <w:tcW w:type="dxa" w:w="1133"/>
            <w:tcMar>
              <w:top w:w="34" w:type="dxa"/>
              <w:bottom w:w="34" w:type="dxa"/>
              <w:start w:w="55" w:type="dxa"/>
              <w:end w:w="55"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1"/>
              </w:rPr>
              <w:t>2026-07-09</w:t>
            </w:r>
          </w:p>
        </w:tc>
      </w:tr>
    </w:tbl>
    <w:p>
      <w:pPr>
        <w:keepNext w:val="0"/>
        <w:spacing w:before="0" w:after="40" w:line="259" w:lineRule="auto"/>
        <w:jc w:val="left"/>
      </w:pPr>
    </w:p>
    <w:p>
      <w:pPr>
        <w:keepNext/>
        <w:spacing w:before="20" w:after="40" w:line="259" w:lineRule="auto"/>
        <w:jc w:val="left"/>
      </w:pPr>
      <w:r>
        <w:rPr>
          <w:rFonts w:ascii="DejaVu Sans" w:hAnsi="DejaVu Sans"/>
          <w:b/>
          <w:i w:val="0"/>
          <w:color w:val="C4843A"/>
          <w:sz w:val="14"/>
        </w:rPr>
        <w:t>SCREEN SUMMARY</w:t>
      </w:r>
    </w:p>
    <w:p>
      <w:pPr>
        <w:keepNext w:val="0"/>
        <w:spacing w:before="0" w:after="40" w:line="259" w:lineRule="auto"/>
        <w:jc w:val="left"/>
      </w:pPr>
      <w:r>
        <w:rPr>
          <w:rFonts w:ascii="DejaVu Sans" w:hAnsi="DejaVu Sans"/>
          <w:b w:val="0"/>
          <w:i w:val="0"/>
          <w:color w:val="4A7C8E"/>
          <w:sz w:val="12"/>
        </w:rPr>
        <w:t>Adjacent reference: 39 • Experience: 20 • Implementation: 6 • Operating governance: 7 • Scenario &amp; metadata: 11 • Thesis &amp; evidence: 20 • Visual reference: 19</w:t>
      </w:r>
    </w:p>
    <w:p>
      <w:pPr>
        <w:keepNext w:val="0"/>
        <w:spacing w:before="0" w:after="40" w:line="259" w:lineRule="auto"/>
        <w:jc w:val="left"/>
      </w:pPr>
      <w:r>
        <w:rPr>
          <w:rFonts w:ascii="DejaVu Sans" w:hAnsi="DejaVu Sans"/>
          <w:b w:val="0"/>
          <w:i w:val="0"/>
          <w:color w:val="6D7785"/>
          <w:sz w:val="12"/>
        </w:rPr>
        <w:t>T1 • Current / governing: 9 • T2 • Supporting: 6 • T3 • Precursor / variant: 16 • T3 • Reference: 91</w:t>
      </w:r>
    </w:p>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The source register is a screened estate index, not a representation that every artifact was equally authoritative or exhaustively quoted.</w:t>
      </w:r>
    </w:p>
    <w:p>
      <w:pPr>
        <w:sectPr>
          <w:pgSz w:w="15840" w:h="12240" w:orient="landscape"/>
          <w:pgMar w:top="691" w:right="792" w:bottom="691" w:left="792" w:header="317" w:footer="317" w:gutter="0"/>
          <w:cols w:space="720"/>
          <w:docGrid w:linePitch="360"/>
        </w:sectPr>
      </w:pPr>
    </w:p>
    <w:p>
      <w:pPr>
        <w:keepNext/>
        <w:spacing w:before="20" w:after="20" w:line="259" w:lineRule="auto"/>
        <w:jc w:val="left"/>
      </w:pPr>
      <w:r>
        <w:rPr>
          <w:rFonts w:ascii="DejaVu Sans" w:hAnsi="DejaVu Sans"/>
          <w:b/>
          <w:i w:val="0"/>
          <w:color w:val="C4843A"/>
          <w:sz w:val="14"/>
        </w:rPr>
        <w:t>PORTFOLIO SECTION D</w:t>
      </w:r>
    </w:p>
    <w:p>
      <w:pPr>
        <w:keepNext/>
        <w:spacing w:before="20" w:after="40" w:line="240" w:lineRule="auto"/>
        <w:jc w:val="left"/>
      </w:pPr>
      <w:r>
        <w:rPr>
          <w:rFonts w:ascii="DejaVu Serif" w:hAnsi="DejaVu Serif"/>
          <w:b/>
          <w:i w:val="0"/>
          <w:color w:val="345A68"/>
          <w:sz w:val="30"/>
        </w:rPr>
        <w:t>Appendix D — Reference Stewardship</w:t>
      </w:r>
    </w:p>
    <w:p>
      <w:pPr>
        <w:keepNext w:val="0"/>
        <w:spacing w:before="0" w:after="100" w:line="259" w:lineRule="auto"/>
        <w:jc w:val="left"/>
      </w:pPr>
      <w:r>
        <w:rPr>
          <w:rFonts w:ascii="DejaVu Sans" w:hAnsi="DejaVu Sans"/>
          <w:b w:val="0"/>
          <w:i w:val="0"/>
          <w:color w:val="4A7C8E"/>
          <w:sz w:val="17"/>
        </w:rPr>
        <w:t>Keep this document cohesive by treating it as the narrative index to governed repository releases. Add evidence and decisions; do not allow the portfolio to become a parallel source of truth.</w:t>
      </w:r>
    </w:p>
    <w:tbl>
      <w:tblPr>
        <w:tblW w:type="dxa" w:w="10556"/>
        <w:tblLayout w:type="fixed"/>
        <w:tblLook w:firstColumn="1" w:firstRow="1" w:lastColumn="0" w:lastRow="0" w:noHBand="0" w:noVBand="1" w:val="04A0"/>
        <w:jc w:val="left"/>
        <w:tblInd w:type="dxa" w:w="80"/>
      </w:tblPr>
      <w:tblGrid>
        <w:gridCol w:w="2533"/>
        <w:gridCol w:w="8023"/>
      </w:tblGrid>
      <w:tr>
        <w:trPr>
          <w:trHeight w:hRule="atLeast"/>
          <w:tblHeader w:val="true"/>
        </w:trPr>
        <w:tc>
          <w:tcPr>
            <w:tcW w:type="dxa" w:w="253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ROLE</w:t>
            </w:r>
          </w:p>
        </w:tc>
        <w:tc>
          <w:tcPr>
            <w:tcW w:type="dxa" w:w="8023"/>
            <w:tcMar>
              <w:top w:w="55" w:type="dxa"/>
              <w:bottom w:w="55" w:type="dxa"/>
              <w:start w:w="80" w:type="dxa"/>
              <w:end w:w="80" w:type="dxa"/>
            </w:tcMar>
            <w:vAlign w:val="center"/>
            <w:shd w:fill="345A68" w:val="clear"/>
            <w:tcBorders>
              <w:bottom w:val="single" w:sz="9" w:space="0" w:color="C4843A"/>
            </w:tcBorders>
          </w:tcPr>
          <w:p>
            <w:pPr>
              <w:spacing w:before="0" w:after="0" w:line="247" w:lineRule="auto"/>
            </w:pPr>
            <w:r>
              <w:rPr>
                <w:rFonts w:ascii="DejaVu Sans" w:hAnsi="DejaVu Sans"/>
                <w:b/>
                <w:i w:val="0"/>
                <w:color w:val="FFFFFF"/>
                <w:sz w:val="13"/>
              </w:rPr>
              <w:t>STEWARDSHIP</w:t>
            </w:r>
          </w:p>
        </w:tc>
      </w:tr>
      <w:tr>
        <w:trPr>
          <w:trHeight w:hRule="atLeast"/>
        </w:trPr>
        <w:tc>
          <w:tcPr>
            <w:tcW w:type="dxa" w:w="25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Repository owner</w:t>
            </w:r>
          </w:p>
        </w:tc>
        <w:tc>
          <w:tcPr>
            <w:tcW w:type="dxa" w:w="80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Owns Scenario_IDs, dimensions, value codes, coverage tiers and release compatibility</w:t>
            </w:r>
          </w:p>
        </w:tc>
      </w:tr>
      <w:tr>
        <w:trPr>
          <w:trHeight w:hRule="atLeast"/>
        </w:trPr>
        <w:tc>
          <w:tcPr>
            <w:tcW w:type="dxa" w:w="25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Metadata/token owners</w:t>
            </w:r>
          </w:p>
        </w:tc>
        <w:tc>
          <w:tcPr>
            <w:tcW w:type="dxa" w:w="80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Own definitions, atom/molecule placement, evidence, validation, path treatment and review</w:t>
            </w:r>
          </w:p>
        </w:tc>
      </w:tr>
      <w:tr>
        <w:trPr>
          <w:trHeight w:hRule="atLeast"/>
        </w:trPr>
        <w:tc>
          <w:tcPr>
            <w:tcW w:type="dxa" w:w="25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Product/engineering</w:t>
            </w:r>
          </w:p>
        </w:tc>
        <w:tc>
          <w:tcPr>
            <w:tcW w:type="dxa" w:w="80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Own fixtures, generation rules, dependency graph, UI trace and performance</w:t>
            </w:r>
          </w:p>
        </w:tc>
      </w:tr>
      <w:tr>
        <w:trPr>
          <w:trHeight w:hRule="atLeast"/>
        </w:trPr>
        <w:tc>
          <w:tcPr>
            <w:tcW w:type="dxa" w:w="25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Finance/control</w:t>
            </w:r>
          </w:p>
        </w:tc>
        <w:tc>
          <w:tcPr>
            <w:tcW w:type="dxa" w:w="80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Own transaction rules, reconciliations, metric contracts, exceptions and close evidence</w:t>
            </w:r>
          </w:p>
        </w:tc>
      </w:tr>
      <w:tr>
        <w:trPr>
          <w:trHeight w:hRule="atLeast"/>
        </w:trPr>
        <w:tc>
          <w:tcPr>
            <w:tcW w:type="dxa" w:w="25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Security/privacy</w:t>
            </w:r>
          </w:p>
        </w:tc>
        <w:tc>
          <w:tcPr>
            <w:tcW w:type="dxa" w:w="80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Own agent envelopes, entitlements, retention, consent and action policies</w:t>
            </w:r>
          </w:p>
        </w:tc>
      </w:tr>
      <w:tr>
        <w:trPr>
          <w:trHeight w:hRule="atLeast"/>
        </w:trPr>
        <w:tc>
          <w:tcPr>
            <w:tcW w:type="dxa" w:w="253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Thesis/value owner</w:t>
            </w:r>
          </w:p>
        </w:tc>
        <w:tc>
          <w:tcPr>
            <w:tcW w:type="dxa" w:w="8023"/>
            <w:tcMar>
              <w:top w:w="55" w:type="dxa"/>
              <w:bottom w:w="55" w:type="dxa"/>
              <w:start w:w="80" w:type="dxa"/>
              <w:end w:w="80"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3"/>
              </w:rPr>
              <w:t>Own claims, drivers, counterfactuals, attribution, confidence and measured value</w:t>
            </w:r>
          </w:p>
        </w:tc>
      </w:tr>
      <w:tr>
        <w:trPr>
          <w:trHeight w:hRule="atLeast"/>
        </w:trPr>
        <w:tc>
          <w:tcPr>
            <w:tcW w:type="dxa" w:w="253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Release steward</w:t>
            </w:r>
          </w:p>
        </w:tc>
        <w:tc>
          <w:tcPr>
            <w:tcW w:type="dxa" w:w="8023"/>
            <w:tcMar>
              <w:top w:w="55" w:type="dxa"/>
              <w:bottom w:w="55" w:type="dxa"/>
              <w:start w:w="80" w:type="dxa"/>
              <w:end w:w="80"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3"/>
              </w:rPr>
              <w:t>Own proof pack, open gaps, approvals, version notes and next review</w:t>
            </w:r>
          </w:p>
        </w:tc>
      </w:tr>
    </w:tbl>
    <w:p>
      <w:pPr>
        <w:keepNext/>
        <w:spacing w:before="20" w:after="40" w:line="259" w:lineRule="auto"/>
        <w:jc w:val="left"/>
      </w:pPr>
      <w:r>
        <w:rPr>
          <w:rFonts w:ascii="DejaVu Sans" w:hAnsi="DejaVu Sans"/>
          <w:b/>
          <w:i w:val="0"/>
          <w:color w:val="C4843A"/>
          <w:sz w:val="14"/>
        </w:rPr>
        <w:t>DOCUMENT UPDATE RHYTHM</w:t>
      </w:r>
    </w:p>
    <w:tbl>
      <w:tblPr>
        <w:tblW w:type="dxa" w:w="10556"/>
        <w:tblLayout w:type="fixed"/>
        <w:tblLook w:firstColumn="1" w:firstRow="1" w:lastColumn="0" w:lastRow="0" w:noHBand="0" w:noVBand="1" w:val="04A0"/>
        <w:jc w:val="left"/>
        <w:tblInd w:type="dxa" w:w="86"/>
      </w:tblPr>
      <w:tblGrid>
        <w:gridCol w:w="2006"/>
        <w:gridCol w:w="3272"/>
        <w:gridCol w:w="2006"/>
        <w:gridCol w:w="3272"/>
      </w:tblGrid>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PER RELEASE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Coverage, code/rule changes, proof summary, gaps, approvals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PER QUARTER</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Metric/claim maturity, evidence freshness, roadmap and source authority</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ON INCIDENT</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Exception, correction, restatement, security or lineage learning</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ON EXPANSION</w:t>
            </w:r>
          </w:p>
        </w:tc>
        <w:tc>
          <w:tcPr>
            <w:tcW w:type="dxa" w:w="3272"/>
            <w:tcMar>
              <w:top w:w="58" w:type="dxa"/>
              <w:bottom w:w="58" w:type="dxa"/>
              <w:start w:w="86" w:type="dxa"/>
              <w:end w:w="86" w:type="dxa"/>
            </w:tcMar>
            <w:vAlign w:val="center"/>
            <w:shd w:fill="FFFFFF" w:val="clear"/>
            <w:tcBorders>
              <w:bottom w:val="single" w:sz="4" w:space="0" w:color="F1EBDD"/>
            </w:tcBorders>
          </w:tcPr>
          <w:p>
            <w:pPr>
              <w:spacing w:before="0" w:after="0" w:line="247" w:lineRule="auto"/>
            </w:pPr>
            <w:r>
              <w:rPr>
                <w:rFonts w:ascii="DejaVu Sans" w:hAnsi="DejaVu Sans"/>
                <w:b w:val="0"/>
                <w:i w:val="0"/>
                <w:color w:val="2B2A28"/>
                <w:sz w:val="14"/>
              </w:rPr>
              <w:t>New family brief, value definitions, fixtures, compatibility and rollout gate</w:t>
            </w:r>
          </w:p>
        </w:tc>
      </w:tr>
      <w:tr>
        <w:trPr>
          <w:trHeight w:hRule="atLeast"/>
        </w:trPr>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PRESERVE</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Prior editions and reproducible source references</w:t>
            </w:r>
          </w:p>
        </w:tc>
        <w:tc>
          <w:tcPr>
            <w:tcW w:type="dxa" w:w="2006"/>
            <w:tcMar>
              <w:top w:w="58" w:type="dxa"/>
              <w:bottom w:w="58" w:type="dxa"/>
              <w:start w:w="86" w:type="dxa"/>
              <w:end w:w="86" w:type="dxa"/>
            </w:tcMar>
            <w:vAlign w:val="center"/>
            <w:shd w:fill="345A68" w:val="clear"/>
            <w:tcBorders>
              <w:bottom w:val="single" w:sz="4" w:space="0" w:color="F1EBDD"/>
            </w:tcBorders>
          </w:tcPr>
          <w:p>
            <w:pPr>
              <w:spacing w:before="0" w:after="0" w:line="247" w:lineRule="auto"/>
            </w:pPr>
            <w:r>
              <w:rPr>
                <w:rFonts w:ascii="DejaVu Sans" w:hAnsi="DejaVu Sans"/>
                <w:b/>
                <w:i w:val="0"/>
                <w:color w:val="C4843A"/>
                <w:sz w:val="13"/>
              </w:rPr>
              <w:t>PUBLISH</w:t>
            </w:r>
          </w:p>
        </w:tc>
        <w:tc>
          <w:tcPr>
            <w:tcW w:type="dxa" w:w="3272"/>
            <w:tcMar>
              <w:top w:w="58" w:type="dxa"/>
              <w:bottom w:w="58" w:type="dxa"/>
              <w:start w:w="86" w:type="dxa"/>
              <w:end w:w="86" w:type="dxa"/>
            </w:tcMar>
            <w:vAlign w:val="center"/>
            <w:shd w:fill="F8F4EC" w:val="clear"/>
            <w:tcBorders>
              <w:bottom w:val="single" w:sz="4" w:space="0" w:color="F1EBDD"/>
            </w:tcBorders>
          </w:tcPr>
          <w:p>
            <w:pPr>
              <w:spacing w:before="0" w:after="0" w:line="247" w:lineRule="auto"/>
            </w:pPr>
            <w:r>
              <w:rPr>
                <w:rFonts w:ascii="DejaVu Sans" w:hAnsi="DejaVu Sans"/>
                <w:b w:val="0"/>
                <w:i w:val="0"/>
                <w:color w:val="2B2A28"/>
                <w:sz w:val="14"/>
              </w:rPr>
              <w:t>One current reference edition with explicit as-of date</w:t>
            </w:r>
          </w:p>
        </w:tc>
      </w:tr>
    </w:tbl>
    <w:tbl>
      <w:tblPr>
        <w:tblW w:type="dxa" w:w="10556"/>
        <w:jc w:val="left"/>
        <w:tblLayout w:type="fixed"/>
        <w:tblLook w:firstColumn="1" w:firstRow="1" w:lastColumn="0" w:lastRow="0" w:noHBand="0" w:noVBand="1" w:val="04A0"/>
        <w:tblInd w:type="dxa" w:w="105"/>
      </w:tblPr>
      <w:tblGrid>
        <w:gridCol w:w="10556"/>
      </w:tblGrid>
      <w:tr>
        <w:trPr/>
        <w:tc>
          <w:tcPr>
            <w:tcW w:type="dxa" w:w="10556"/>
            <w:shd w:fill="F8F4EC" w:val="clear"/>
            <w:tcBorders>
              <w:top w:val="single" w:sz="4" w:space="0" w:color="F1EBDD"/>
              <w:start w:val="single" w:sz="14" w:space="0" w:color="C4843A"/>
              <w:bottom w:val="single" w:sz="4" w:space="0" w:color="F1EBDD"/>
              <w:end w:val="single" w:sz="4" w:space="0" w:color="F1EBDD"/>
            </w:tcBorders>
            <w:tcMar>
              <w:top w:w="66" w:type="dxa"/>
              <w:bottom w:w="66" w:type="dxa"/>
              <w:start w:w="105" w:type="dxa"/>
              <w:end w:w="105" w:type="dxa"/>
            </w:tcMar>
          </w:tcPr>
          <w:p>
            <w:pPr>
              <w:spacing w:before="0" w:after="0"/>
            </w:pPr>
            <w:r>
              <w:rPr>
                <w:rFonts w:ascii="DejaVu Sans" w:hAnsi="DejaVu Sans"/>
              </w:rPr>
            </w:r>
            <w:r>
              <w:rPr>
                <w:rFonts w:ascii="DejaVu Sans" w:hAnsi="DejaVu Sans"/>
                <w:b/>
                <w:i w:val="0"/>
                <w:color w:val="C4843A"/>
                <w:sz w:val="14"/>
              </w:rPr>
              <w:t xml:space="preserve">COPYRIGHT AND USE  </w:t>
            </w:r>
            <w:r>
              <w:rPr>
                <w:rFonts w:ascii="DejaVu Sans" w:hAnsi="DejaVu Sans"/>
                <w:b w:val="0"/>
                <w:i w:val="0"/>
                <w:color w:val="2B2A28"/>
                <w:sz w:val="14"/>
              </w:rPr>
              <w:t>CONFIDENTIAL • PROPRIETARY • ILLUSTRATIVE. © 2026 Salt Basin Holdings / Martha Elizabeth Salter. All Rights Reserved. Worked scenarios, diagrams, values, valuation impacts, and operating examples are conceptual unless separately validated against governed production evidence.</w:t>
            </w:r>
          </w:p>
        </w:tc>
      </w:tr>
    </w:tbl>
    <w:p>
      <w:pPr>
        <w:keepNext w:val="0"/>
        <w:spacing w:before="40" w:after="0" w:line="240" w:lineRule="auto"/>
        <w:jc w:val="left"/>
      </w:pPr>
      <w:r>
        <w:rPr>
          <w:rFonts w:ascii="DejaVu Sans" w:hAnsi="DejaVu Sans"/>
          <w:b/>
          <w:i w:val="0"/>
          <w:color w:val="C4843A"/>
          <w:sz w:val="13"/>
        </w:rPr>
        <w:t xml:space="preserve">SOURCE NOTE  </w:t>
      </w:r>
      <w:r>
        <w:rPr>
          <w:rFonts w:ascii="DejaVu Sans" w:hAnsi="DejaVu Sans"/>
          <w:b w:val="0"/>
          <w:i w:val="0"/>
          <w:color w:val="6D7785"/>
          <w:sz w:val="13"/>
        </w:rPr>
        <w:t>Expanded portfolio prepared July 2026 as a cohesive, extensible reference to the Salt Basin scenario repository and surrounding source estate.</w:t>
      </w:r>
    </w:p>
    <w:sectPr w:rsidR="00FC693F" w:rsidRPr="0006063C" w:rsidSect="00034616">
      <w:pgSz w:w="12240" w:h="15840"/>
      <w:pgMar w:top="792" w:right="792" w:bottom="792" w:left="79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DejaVu Sans">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DejaVu Sans">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DejaVu Sans" w:hAnsi="DejaVu Sans"/>
        <w:color w:val="4A7C8E"/>
        <w:sz w:val="12"/>
      </w:rPr>
      <w:t>© 2026 Martha Elizabeth Salter. All Rights Reserved. • Confidential &amp; Proprietary • No reproduction, redistribution, adaptation, reverse engineering, public disclosure, or commercial use without prior written permission.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DejaVu Sans" w:hAnsi="DejaVu Sans"/>
      <w:color w:val="2B2A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A7C8E"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A7C8E"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7C8E"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B2A28"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7C8E"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B2A28"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7C8E"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7C8E" w:themeColor="accent1"/>
    </w:rPr>
  </w:style>
  <w:style w:type="paragraph" w:styleId="Title">
    <w:name w:val="Title"/>
    <w:basedOn w:val="Normal"/>
    <w:next w:val="Normal"/>
    <w:link w:val="TitleChar"/>
    <w:uiPriority w:val="10"/>
    <w:qFormat/>
    <w:rsid w:val="00FC693F"/>
    <w:pPr>
      <w:pBdr>
        <w:bottom w:val="single" w:sz="8" w:space="4" w:color="4A7C8E"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7C8E"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7C8E"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7C8E"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B2A28"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7C8E"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B2A28"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7C8E"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7C8E" w:themeColor="accent1"/>
      </w:pBdr>
      <w:spacing w:before="200" w:after="280"/>
      <w:ind w:left="936" w:right="936"/>
    </w:pPr>
    <w:rPr>
      <w:b/>
      <w:bCs/>
      <w:i/>
      <w:iCs/>
      <w:color w:val="4A7C8E" w:themeColor="accent1"/>
    </w:rPr>
  </w:style>
  <w:style w:type="character" w:customStyle="1" w:styleId="IntenseQuoteChar">
    <w:name w:val="Intense Quote Char"/>
    <w:basedOn w:val="DefaultParagraphFont"/>
    <w:link w:val="IntenseQuote"/>
    <w:uiPriority w:val="30"/>
    <w:rsid w:val="00FC693F"/>
    <w:rPr>
      <w:b/>
      <w:bCs/>
      <w:i/>
      <w:iCs/>
      <w:color w:val="4A7C8E"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7C8E" w:themeColor="accent1"/>
    </w:rPr>
  </w:style>
  <w:style w:type="character" w:styleId="SubtleReference">
    <w:name w:val="Subtle Reference"/>
    <w:basedOn w:val="DefaultParagraphFont"/>
    <w:uiPriority w:val="31"/>
    <w:qFormat/>
    <w:rsid w:val="00FC693F"/>
    <w:rPr>
      <w:smallCaps/>
      <w:color w:val="D98CA0" w:themeColor="accent2"/>
      <w:u w:val="single"/>
    </w:rPr>
  </w:style>
  <w:style w:type="character" w:styleId="IntenseReference">
    <w:name w:val="Intense Reference"/>
    <w:basedOn w:val="DefaultParagraphFont"/>
    <w:uiPriority w:val="32"/>
    <w:qFormat/>
    <w:rsid w:val="00FC693F"/>
    <w:rPr>
      <w:b/>
      <w:bCs/>
      <w:smallCaps/>
      <w:color w:val="D98CA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A7C8E" w:themeColor="accent1"/>
        <w:bottom w:val="single" w:sz="8" w:space="0" w:color="4A7C8E"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1"/>
          <w:left w:val="nil"/>
          <w:bottom w:val="single" w:sz="8" w:space="0" w:color="4A7C8E" w:themeColor="accent1"/>
          <w:right w:val="nil"/>
          <w:insideH w:val="nil"/>
          <w:insideV w:val="nil"/>
        </w:tcBorders>
      </w:tcPr>
    </w:tblStylePr>
    <w:tblStylePr w:type="lastRow">
      <w:pPr>
        <w:spacing w:before="0" w:after="0" w:line="240" w:lineRule="auto"/>
      </w:pPr>
      <w:rPr>
        <w:b/>
        <w:bCs/>
      </w:rPr>
      <w:tblPr/>
      <w:tcPr>
        <w:tcBorders>
          <w:top w:val="single" w:sz="8" w:space="0" w:color="4A7C8E" w:themeColor="accent1"/>
          <w:left w:val="nil"/>
          <w:bottom w:val="single" w:sz="8" w:space="0" w:color="4A7C8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DF0" w:themeFill="accent1" w:themeFillTint="3F"/>
      </w:tcPr>
    </w:tblStylePr>
    <w:tblStylePr w:type="band1Horz">
      <w:tblPr/>
      <w:tcPr>
        <w:tcBorders>
          <w:left w:val="nil"/>
          <w:right w:val="nil"/>
          <w:insideH w:val="nil"/>
          <w:insideV w:val="nil"/>
        </w:tcBorders>
        <w:shd w:val="clear" w:color="auto" w:fill="E2EDF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D98CA0" w:themeColor="accent2"/>
        <w:bottom w:val="single" w:sz="8" w:space="0" w:color="D98CA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98CA0" w:themeColor="accent2"/>
          <w:left w:val="nil"/>
          <w:bottom w:val="single" w:sz="8" w:space="0" w:color="D98CA0" w:themeColor="accent2"/>
          <w:right w:val="nil"/>
          <w:insideH w:val="nil"/>
          <w:insideV w:val="nil"/>
        </w:tcBorders>
      </w:tcPr>
    </w:tblStylePr>
    <w:tblStylePr w:type="lastRow">
      <w:pPr>
        <w:spacing w:before="0" w:after="0" w:line="240" w:lineRule="auto"/>
      </w:pPr>
      <w:rPr>
        <w:b/>
        <w:bCs/>
      </w:rPr>
      <w:tblPr/>
      <w:tcPr>
        <w:tcBorders>
          <w:top w:val="single" w:sz="8" w:space="0" w:color="D98CA0" w:themeColor="accent2"/>
          <w:left w:val="nil"/>
          <w:bottom w:val="single" w:sz="8" w:space="0" w:color="D98CA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E4" w:themeFill="accent2" w:themeFillTint="3F"/>
      </w:tcPr>
    </w:tblStylePr>
    <w:tblStylePr w:type="band1Horz">
      <w:tblPr/>
      <w:tcPr>
        <w:tcBorders>
          <w:left w:val="nil"/>
          <w:right w:val="nil"/>
          <w:insideH w:val="nil"/>
          <w:insideV w:val="nil"/>
        </w:tcBorders>
        <w:shd w:val="clear" w:color="auto" w:fill="F6DFE4"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4A7C8E" w:themeColor="accent3"/>
        <w:bottom w:val="single" w:sz="8" w:space="0" w:color="4A7C8E"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3"/>
          <w:left w:val="nil"/>
          <w:bottom w:val="single" w:sz="8" w:space="0" w:color="4A7C8E" w:themeColor="accent3"/>
          <w:right w:val="nil"/>
          <w:insideH w:val="nil"/>
          <w:insideV w:val="nil"/>
        </w:tcBorders>
      </w:tcPr>
    </w:tblStylePr>
    <w:tblStylePr w:type="lastRow">
      <w:pPr>
        <w:spacing w:before="0" w:after="0" w:line="240" w:lineRule="auto"/>
      </w:pPr>
      <w:rPr>
        <w:b/>
        <w:bCs/>
      </w:rPr>
      <w:tblPr/>
      <w:tcPr>
        <w:tcBorders>
          <w:top w:val="single" w:sz="8" w:space="0" w:color="4A7C8E" w:themeColor="accent3"/>
          <w:left w:val="nil"/>
          <w:bottom w:val="single" w:sz="8" w:space="0" w:color="4A7C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BDD" w:themeFill="accent3" w:themeFillTint="3F"/>
      </w:tcPr>
    </w:tblStylePr>
    <w:tblStylePr w:type="band1Horz">
      <w:tblPr/>
      <w:tcPr>
        <w:tcBorders>
          <w:left w:val="nil"/>
          <w:right w:val="nil"/>
          <w:insideH w:val="nil"/>
          <w:insideV w:val="nil"/>
        </w:tcBorders>
        <w:shd w:val="clear" w:color="auto" w:fill="F1EBDD"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D98CA0" w:themeColor="accent4"/>
        <w:bottom w:val="single" w:sz="8" w:space="0" w:color="D98CA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98CA0" w:themeColor="accent4"/>
          <w:left w:val="nil"/>
          <w:bottom w:val="single" w:sz="8" w:space="0" w:color="D98CA0" w:themeColor="accent4"/>
          <w:right w:val="nil"/>
          <w:insideH w:val="nil"/>
          <w:insideV w:val="nil"/>
        </w:tcBorders>
      </w:tcPr>
    </w:tblStylePr>
    <w:tblStylePr w:type="lastRow">
      <w:pPr>
        <w:spacing w:before="0" w:after="0" w:line="240" w:lineRule="auto"/>
      </w:pPr>
      <w:rPr>
        <w:b/>
        <w:bCs/>
      </w:rPr>
      <w:tblPr/>
      <w:tcPr>
        <w:tcBorders>
          <w:top w:val="single" w:sz="8" w:space="0" w:color="D98CA0" w:themeColor="accent4"/>
          <w:left w:val="nil"/>
          <w:bottom w:val="single" w:sz="8" w:space="0" w:color="D98C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1E7" w:themeFill="accent4" w:themeFillTint="3F"/>
      </w:tcPr>
    </w:tblStylePr>
    <w:tblStylePr w:type="band1Horz">
      <w:tblPr/>
      <w:tcPr>
        <w:tcBorders>
          <w:left w:val="nil"/>
          <w:right w:val="nil"/>
          <w:insideH w:val="nil"/>
          <w:insideV w:val="nil"/>
        </w:tcBorders>
        <w:shd w:val="clear" w:color="auto" w:fill="F2E1E7"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A7C8E" w:themeColor="accent5"/>
        <w:bottom w:val="single" w:sz="8" w:space="0" w:color="4A7C8E"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5"/>
          <w:left w:val="nil"/>
          <w:bottom w:val="single" w:sz="8" w:space="0" w:color="4A7C8E" w:themeColor="accent5"/>
          <w:right w:val="nil"/>
          <w:insideH w:val="nil"/>
          <w:insideV w:val="nil"/>
        </w:tcBorders>
      </w:tcPr>
    </w:tblStylePr>
    <w:tblStylePr w:type="lastRow">
      <w:pPr>
        <w:spacing w:before="0" w:after="0" w:line="240" w:lineRule="auto"/>
      </w:pPr>
      <w:rPr>
        <w:b/>
        <w:bCs/>
      </w:rPr>
      <w:tblPr/>
      <w:tcPr>
        <w:tcBorders>
          <w:top w:val="single" w:sz="8" w:space="0" w:color="4A7C8E" w:themeColor="accent5"/>
          <w:left w:val="nil"/>
          <w:bottom w:val="single" w:sz="8" w:space="0" w:color="4A7C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C4843A" w:themeColor="accent6"/>
        <w:bottom w:val="single" w:sz="8" w:space="0" w:color="C4843A"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4843A" w:themeColor="accent6"/>
          <w:left w:val="nil"/>
          <w:bottom w:val="single" w:sz="8" w:space="0" w:color="C4843A" w:themeColor="accent6"/>
          <w:right w:val="nil"/>
          <w:insideH w:val="nil"/>
          <w:insideV w:val="nil"/>
        </w:tcBorders>
      </w:tcPr>
    </w:tblStylePr>
    <w:tblStylePr w:type="lastRow">
      <w:pPr>
        <w:spacing w:before="0" w:after="0" w:line="240" w:lineRule="auto"/>
      </w:pPr>
      <w:rPr>
        <w:b/>
        <w:bCs/>
      </w:rPr>
      <w:tblPr/>
      <w:tcPr>
        <w:tcBorders>
          <w:top w:val="single" w:sz="8" w:space="0" w:color="C4843A" w:themeColor="accent6"/>
          <w:left w:val="nil"/>
          <w:bottom w:val="single" w:sz="8" w:space="0" w:color="C4843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1"/>
      </w:tcPr>
    </w:tblStylePr>
    <w:tblStylePr w:type="lastRow">
      <w:pPr>
        <w:spacing w:before="0" w:after="0" w:line="240" w:lineRule="auto"/>
      </w:pPr>
      <w:rPr>
        <w:b/>
        <w:bCs/>
      </w:rPr>
      <w:tblPr/>
      <w:tcPr>
        <w:tcBorders>
          <w:top w:val="double" w:sz="6" w:space="0" w:color="4A7C8E" w:themeColor="accent1"/>
          <w:left w:val="single" w:sz="8" w:space="0" w:color="4A7C8E" w:themeColor="accent1"/>
          <w:bottom w:val="single" w:sz="8" w:space="0" w:color="4A7C8E" w:themeColor="accent1"/>
          <w:right w:val="single" w:sz="8" w:space="0" w:color="4A7C8E" w:themeColor="accent1"/>
        </w:tcBorders>
      </w:tcPr>
    </w:tblStylePr>
    <w:tblStylePr w:type="firstCol">
      <w:rPr>
        <w:b/>
        <w:bCs/>
      </w:rPr>
    </w:tblStylePr>
    <w:tblStylePr w:type="lastCol">
      <w:rPr>
        <w:b/>
        <w:bCs/>
      </w:rPr>
    </w:tblStylePr>
    <w:tblStylePr w:type="band1Vert">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tblStylePr w:type="band1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98CA0" w:themeFill="accent2"/>
      </w:tcPr>
    </w:tblStylePr>
    <w:tblStylePr w:type="lastRow">
      <w:pPr>
        <w:spacing w:before="0" w:after="0" w:line="240" w:lineRule="auto"/>
      </w:pPr>
      <w:rPr>
        <w:b/>
        <w:bCs/>
      </w:rPr>
      <w:tblPr/>
      <w:tcPr>
        <w:tcBorders>
          <w:top w:val="double" w:sz="6" w:space="0" w:color="D98CA0" w:themeColor="accent2"/>
          <w:left w:val="single" w:sz="8" w:space="0" w:color="D98CA0" w:themeColor="accent2"/>
          <w:bottom w:val="single" w:sz="8" w:space="0" w:color="D98CA0" w:themeColor="accent2"/>
          <w:right w:val="single" w:sz="8" w:space="0" w:color="D98CA0" w:themeColor="accent2"/>
        </w:tcBorders>
      </w:tcPr>
    </w:tblStylePr>
    <w:tblStylePr w:type="firstCol">
      <w:rPr>
        <w:b/>
        <w:bCs/>
      </w:rPr>
    </w:tblStylePr>
    <w:tblStylePr w:type="lastCol">
      <w:rPr>
        <w:b/>
        <w:bCs/>
      </w:rPr>
    </w:tblStylePr>
    <w:tblStylePr w:type="band1Vert">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tblStylePr w:type="band1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3"/>
      </w:tcPr>
    </w:tblStylePr>
    <w:tblStylePr w:type="lastRow">
      <w:pPr>
        <w:spacing w:before="0" w:after="0" w:line="240" w:lineRule="auto"/>
      </w:pPr>
      <w:rPr>
        <w:b/>
        <w:bCs/>
      </w:rPr>
      <w:tblPr/>
      <w:tcPr>
        <w:tcBorders>
          <w:top w:val="double" w:sz="6" w:space="0" w:color="4A7C8E" w:themeColor="accent3"/>
          <w:left w:val="single" w:sz="8" w:space="0" w:color="4A7C8E" w:themeColor="accent3"/>
          <w:bottom w:val="single" w:sz="8" w:space="0" w:color="4A7C8E" w:themeColor="accent3"/>
          <w:right w:val="single" w:sz="8" w:space="0" w:color="4A7C8E" w:themeColor="accent3"/>
        </w:tcBorders>
      </w:tcPr>
    </w:tblStylePr>
    <w:tblStylePr w:type="firstCol">
      <w:rPr>
        <w:b/>
        <w:bCs/>
      </w:rPr>
    </w:tblStylePr>
    <w:tblStylePr w:type="lastCol">
      <w:rPr>
        <w:b/>
        <w:bCs/>
      </w:rPr>
    </w:tblStylePr>
    <w:tblStylePr w:type="band1Vert">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tblStylePr w:type="band1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98CA0" w:themeFill="accent4"/>
      </w:tcPr>
    </w:tblStylePr>
    <w:tblStylePr w:type="lastRow">
      <w:pPr>
        <w:spacing w:before="0" w:after="0" w:line="240" w:lineRule="auto"/>
      </w:pPr>
      <w:rPr>
        <w:b/>
        <w:bCs/>
      </w:rPr>
      <w:tblPr/>
      <w:tcPr>
        <w:tcBorders>
          <w:top w:val="double" w:sz="6" w:space="0" w:color="D98CA0" w:themeColor="accent4"/>
          <w:left w:val="single" w:sz="8" w:space="0" w:color="D98CA0" w:themeColor="accent4"/>
          <w:bottom w:val="single" w:sz="8" w:space="0" w:color="D98CA0" w:themeColor="accent4"/>
          <w:right w:val="single" w:sz="8" w:space="0" w:color="D98CA0" w:themeColor="accent4"/>
        </w:tcBorders>
      </w:tcPr>
    </w:tblStylePr>
    <w:tblStylePr w:type="firstCol">
      <w:rPr>
        <w:b/>
        <w:bCs/>
      </w:rPr>
    </w:tblStylePr>
    <w:tblStylePr w:type="lastCol">
      <w:rPr>
        <w:b/>
        <w:bCs/>
      </w:rPr>
    </w:tblStylePr>
    <w:tblStylePr w:type="band1Vert">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tblStylePr w:type="band1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5"/>
      </w:tcPr>
    </w:tblStylePr>
    <w:tblStylePr w:type="lastRow">
      <w:pPr>
        <w:spacing w:before="0" w:after="0" w:line="240" w:lineRule="auto"/>
      </w:pPr>
      <w:rPr>
        <w:b/>
        <w:bCs/>
      </w:rPr>
      <w:tblPr/>
      <w:tcPr>
        <w:tcBorders>
          <w:top w:val="double" w:sz="6" w:space="0" w:color="4A7C8E" w:themeColor="accent5"/>
          <w:left w:val="single" w:sz="8" w:space="0" w:color="4A7C8E" w:themeColor="accent5"/>
          <w:bottom w:val="single" w:sz="8" w:space="0" w:color="4A7C8E" w:themeColor="accent5"/>
          <w:right w:val="single" w:sz="8" w:space="0" w:color="4A7C8E" w:themeColor="accent5"/>
        </w:tcBorders>
      </w:tcPr>
    </w:tblStylePr>
    <w:tblStylePr w:type="firstCol">
      <w:rPr>
        <w:b/>
        <w:bCs/>
      </w:rPr>
    </w:tblStylePr>
    <w:tblStylePr w:type="lastCol">
      <w:rPr>
        <w:b/>
        <w:bCs/>
      </w:rPr>
    </w:tblStylePr>
    <w:tblStylePr w:type="band1Vert">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tblStylePr w:type="band1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843A" w:themeFill="accent6"/>
      </w:tcPr>
    </w:tblStylePr>
    <w:tblStylePr w:type="lastRow">
      <w:pPr>
        <w:spacing w:before="0" w:after="0" w:line="240" w:lineRule="auto"/>
      </w:pPr>
      <w:rPr>
        <w:b/>
        <w:bCs/>
      </w:rPr>
      <w:tblPr/>
      <w:tcPr>
        <w:tcBorders>
          <w:top w:val="double" w:sz="6" w:space="0" w:color="C4843A" w:themeColor="accent6"/>
          <w:left w:val="single" w:sz="8" w:space="0" w:color="C4843A" w:themeColor="accent6"/>
          <w:bottom w:val="single" w:sz="8" w:space="0" w:color="C4843A" w:themeColor="accent6"/>
          <w:right w:val="single" w:sz="8" w:space="0" w:color="C4843A" w:themeColor="accent6"/>
        </w:tcBorders>
      </w:tcPr>
    </w:tblStylePr>
    <w:tblStylePr w:type="firstCol">
      <w:rPr>
        <w:b/>
        <w:bCs/>
      </w:rPr>
    </w:tblStylePr>
    <w:tblStylePr w:type="lastCol">
      <w:rPr>
        <w:b/>
        <w:bCs/>
      </w:rPr>
    </w:tblStylePr>
    <w:tblStylePr w:type="band1Vert">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tblStylePr w:type="band1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insideH w:val="single" w:sz="8" w:space="0" w:color="4A7C8E" w:themeColor="accent1"/>
        <w:insideV w:val="single" w:sz="8" w:space="0" w:color="4A7C8E"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1"/>
          <w:left w:val="single" w:sz="8" w:space="0" w:color="4A7C8E" w:themeColor="accent1"/>
          <w:bottom w:val="single" w:sz="18" w:space="0" w:color="4A7C8E" w:themeColor="accent1"/>
          <w:right w:val="single" w:sz="8" w:space="0" w:color="4A7C8E" w:themeColor="accent1"/>
          <w:insideH w:val="nil"/>
          <w:insideV w:val="single" w:sz="8" w:space="0" w:color="4A7C8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1"/>
          <w:left w:val="single" w:sz="8" w:space="0" w:color="4A7C8E" w:themeColor="accent1"/>
          <w:bottom w:val="single" w:sz="8" w:space="0" w:color="4A7C8E" w:themeColor="accent1"/>
          <w:right w:val="single" w:sz="8" w:space="0" w:color="4A7C8E" w:themeColor="accent1"/>
          <w:insideH w:val="nil"/>
          <w:insideV w:val="single" w:sz="8" w:space="0" w:color="4A7C8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tblStylePr w:type="band1Vert">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shd w:val="clear" w:color="auto" w:fill="E2EDF0" w:themeFill="accent1" w:themeFillTint="3F"/>
      </w:tcPr>
    </w:tblStylePr>
    <w:tblStylePr w:type="band1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insideV w:val="single" w:sz="8" w:space="0" w:color="4A7C8E" w:themeColor="accent1"/>
        </w:tcBorders>
        <w:shd w:val="clear" w:color="auto" w:fill="E2EDF0" w:themeFill="accent1" w:themeFillTint="3F"/>
      </w:tcPr>
    </w:tblStylePr>
    <w:tblStylePr w:type="band2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insideV w:val="single" w:sz="8" w:space="0" w:color="4A7C8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insideH w:val="single" w:sz="8" w:space="0" w:color="D98CA0" w:themeColor="accent2"/>
        <w:insideV w:val="single" w:sz="8" w:space="0" w:color="D98CA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98CA0" w:themeColor="accent2"/>
          <w:left w:val="single" w:sz="8" w:space="0" w:color="D98CA0" w:themeColor="accent2"/>
          <w:bottom w:val="single" w:sz="18" w:space="0" w:color="D98CA0" w:themeColor="accent2"/>
          <w:right w:val="single" w:sz="8" w:space="0" w:color="D98CA0" w:themeColor="accent2"/>
          <w:insideH w:val="nil"/>
          <w:insideV w:val="single" w:sz="8" w:space="0" w:color="D98CA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8CA0" w:themeColor="accent2"/>
          <w:left w:val="single" w:sz="8" w:space="0" w:color="D98CA0" w:themeColor="accent2"/>
          <w:bottom w:val="single" w:sz="8" w:space="0" w:color="D98CA0" w:themeColor="accent2"/>
          <w:right w:val="single" w:sz="8" w:space="0" w:color="D98CA0" w:themeColor="accent2"/>
          <w:insideH w:val="nil"/>
          <w:insideV w:val="single" w:sz="8" w:space="0" w:color="D98CA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tblStylePr w:type="band1Vert">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shd w:val="clear" w:color="auto" w:fill="F6DFE4" w:themeFill="accent2" w:themeFillTint="3F"/>
      </w:tcPr>
    </w:tblStylePr>
    <w:tblStylePr w:type="band1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insideV w:val="single" w:sz="8" w:space="0" w:color="D98CA0" w:themeColor="accent2"/>
        </w:tcBorders>
        <w:shd w:val="clear" w:color="auto" w:fill="F6DFE4" w:themeFill="accent2" w:themeFillTint="3F"/>
      </w:tcPr>
    </w:tblStylePr>
    <w:tblStylePr w:type="band2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insideV w:val="single" w:sz="8" w:space="0" w:color="D98CA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insideH w:val="single" w:sz="8" w:space="0" w:color="4A7C8E" w:themeColor="accent3"/>
        <w:insideV w:val="single" w:sz="8" w:space="0" w:color="4A7C8E"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3"/>
          <w:left w:val="single" w:sz="8" w:space="0" w:color="4A7C8E" w:themeColor="accent3"/>
          <w:bottom w:val="single" w:sz="18" w:space="0" w:color="4A7C8E" w:themeColor="accent3"/>
          <w:right w:val="single" w:sz="8" w:space="0" w:color="4A7C8E" w:themeColor="accent3"/>
          <w:insideH w:val="nil"/>
          <w:insideV w:val="single" w:sz="8" w:space="0" w:color="4A7C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3"/>
          <w:left w:val="single" w:sz="8" w:space="0" w:color="4A7C8E" w:themeColor="accent3"/>
          <w:bottom w:val="single" w:sz="8" w:space="0" w:color="4A7C8E" w:themeColor="accent3"/>
          <w:right w:val="single" w:sz="8" w:space="0" w:color="4A7C8E" w:themeColor="accent3"/>
          <w:insideH w:val="nil"/>
          <w:insideV w:val="single" w:sz="8" w:space="0" w:color="4A7C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tblStylePr w:type="band1Vert">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shd w:val="clear" w:color="auto" w:fill="F1EBDD" w:themeFill="accent3" w:themeFillTint="3F"/>
      </w:tcPr>
    </w:tblStylePr>
    <w:tblStylePr w:type="band1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insideV w:val="single" w:sz="8" w:space="0" w:color="4A7C8E" w:themeColor="accent3"/>
        </w:tcBorders>
        <w:shd w:val="clear" w:color="auto" w:fill="F1EBDD" w:themeFill="accent3" w:themeFillTint="3F"/>
      </w:tcPr>
    </w:tblStylePr>
    <w:tblStylePr w:type="band2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insideV w:val="single" w:sz="8" w:space="0" w:color="4A7C8E"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insideH w:val="single" w:sz="8" w:space="0" w:color="D98CA0" w:themeColor="accent4"/>
        <w:insideV w:val="single" w:sz="8" w:space="0" w:color="D98CA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98CA0" w:themeColor="accent4"/>
          <w:left w:val="single" w:sz="8" w:space="0" w:color="D98CA0" w:themeColor="accent4"/>
          <w:bottom w:val="single" w:sz="18" w:space="0" w:color="D98CA0" w:themeColor="accent4"/>
          <w:right w:val="single" w:sz="8" w:space="0" w:color="D98CA0" w:themeColor="accent4"/>
          <w:insideH w:val="nil"/>
          <w:insideV w:val="single" w:sz="8" w:space="0" w:color="D98C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8CA0" w:themeColor="accent4"/>
          <w:left w:val="single" w:sz="8" w:space="0" w:color="D98CA0" w:themeColor="accent4"/>
          <w:bottom w:val="single" w:sz="8" w:space="0" w:color="D98CA0" w:themeColor="accent4"/>
          <w:right w:val="single" w:sz="8" w:space="0" w:color="D98CA0" w:themeColor="accent4"/>
          <w:insideH w:val="nil"/>
          <w:insideV w:val="single" w:sz="8" w:space="0" w:color="D98C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tblStylePr w:type="band1Vert">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shd w:val="clear" w:color="auto" w:fill="F2E1E7" w:themeFill="accent4" w:themeFillTint="3F"/>
      </w:tcPr>
    </w:tblStylePr>
    <w:tblStylePr w:type="band1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insideV w:val="single" w:sz="8" w:space="0" w:color="D98CA0" w:themeColor="accent4"/>
        </w:tcBorders>
        <w:shd w:val="clear" w:color="auto" w:fill="F2E1E7" w:themeFill="accent4" w:themeFillTint="3F"/>
      </w:tcPr>
    </w:tblStylePr>
    <w:tblStylePr w:type="band2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insideV w:val="single" w:sz="8" w:space="0" w:color="D98CA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insideH w:val="single" w:sz="8" w:space="0" w:color="4A7C8E" w:themeColor="accent5"/>
        <w:insideV w:val="single" w:sz="8" w:space="0" w:color="4A7C8E"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5"/>
          <w:left w:val="single" w:sz="8" w:space="0" w:color="4A7C8E" w:themeColor="accent5"/>
          <w:bottom w:val="single" w:sz="18" w:space="0" w:color="4A7C8E" w:themeColor="accent5"/>
          <w:right w:val="single" w:sz="8" w:space="0" w:color="4A7C8E" w:themeColor="accent5"/>
          <w:insideH w:val="nil"/>
          <w:insideV w:val="single" w:sz="8" w:space="0" w:color="4A7C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5"/>
          <w:left w:val="single" w:sz="8" w:space="0" w:color="4A7C8E" w:themeColor="accent5"/>
          <w:bottom w:val="single" w:sz="8" w:space="0" w:color="4A7C8E" w:themeColor="accent5"/>
          <w:right w:val="single" w:sz="8" w:space="0" w:color="4A7C8E" w:themeColor="accent5"/>
          <w:insideH w:val="nil"/>
          <w:insideV w:val="single" w:sz="8" w:space="0" w:color="4A7C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tblStylePr w:type="band1Vert">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shd w:val="clear" w:color="auto" w:fill="D2EAF1" w:themeFill="accent5" w:themeFillTint="3F"/>
      </w:tcPr>
    </w:tblStylePr>
    <w:tblStylePr w:type="band1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insideV w:val="single" w:sz="8" w:space="0" w:color="4A7C8E" w:themeColor="accent5"/>
        </w:tcBorders>
        <w:shd w:val="clear" w:color="auto" w:fill="D2EAF1" w:themeFill="accent5" w:themeFillTint="3F"/>
      </w:tcPr>
    </w:tblStylePr>
    <w:tblStylePr w:type="band2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insideV w:val="single" w:sz="8" w:space="0" w:color="4A7C8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insideH w:val="single" w:sz="8" w:space="0" w:color="C4843A" w:themeColor="accent6"/>
        <w:insideV w:val="single" w:sz="8" w:space="0" w:color="C4843A"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4843A" w:themeColor="accent6"/>
          <w:left w:val="single" w:sz="8" w:space="0" w:color="C4843A" w:themeColor="accent6"/>
          <w:bottom w:val="single" w:sz="18" w:space="0" w:color="C4843A" w:themeColor="accent6"/>
          <w:right w:val="single" w:sz="8" w:space="0" w:color="C4843A" w:themeColor="accent6"/>
          <w:insideH w:val="nil"/>
          <w:insideV w:val="single" w:sz="8" w:space="0" w:color="C4843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843A" w:themeColor="accent6"/>
          <w:left w:val="single" w:sz="8" w:space="0" w:color="C4843A" w:themeColor="accent6"/>
          <w:bottom w:val="single" w:sz="8" w:space="0" w:color="C4843A" w:themeColor="accent6"/>
          <w:right w:val="single" w:sz="8" w:space="0" w:color="C4843A" w:themeColor="accent6"/>
          <w:insideH w:val="nil"/>
          <w:insideV w:val="single" w:sz="8" w:space="0" w:color="C4843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tblStylePr w:type="band1Vert">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shd w:val="clear" w:color="auto" w:fill="FDE4D0" w:themeFill="accent6" w:themeFillTint="3F"/>
      </w:tcPr>
    </w:tblStylePr>
    <w:tblStylePr w:type="band1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insideV w:val="single" w:sz="8" w:space="0" w:color="C4843A" w:themeColor="accent6"/>
        </w:tcBorders>
        <w:shd w:val="clear" w:color="auto" w:fill="FDE4D0" w:themeFill="accent6" w:themeFillTint="3F"/>
      </w:tcPr>
    </w:tblStylePr>
    <w:tblStylePr w:type="band2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insideV w:val="single" w:sz="8" w:space="0" w:color="C4843A"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single" w:sz="8" w:space="0" w:color="2B2A28"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single" w:sz="8" w:space="0" w:color="4A7C8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nil"/>
          <w:insideV w:val="nil"/>
        </w:tcBorders>
        <w:shd w:val="clear" w:color="auto" w:fill="4A7C8E" w:themeFill="accent1"/>
      </w:tcPr>
    </w:tblStylePr>
    <w:tblStylePr w:type="lastRow">
      <w:pPr>
        <w:spacing w:before="0" w:after="0" w:line="240" w:lineRule="auto"/>
      </w:pPr>
      <w:rPr>
        <w:b/>
        <w:bCs/>
      </w:rPr>
      <w:tblPr/>
      <w:tcPr>
        <w:tcBorders>
          <w:top w:val="double" w:sz="6"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2EDF0" w:themeFill="accent1" w:themeFillTint="3F"/>
      </w:tcPr>
    </w:tblStylePr>
    <w:tblStylePr w:type="band1Horz">
      <w:tblPr/>
      <w:tcPr>
        <w:tcBorders>
          <w:insideH w:val="nil"/>
          <w:insideV w:val="nil"/>
        </w:tcBorders>
        <w:shd w:val="clear" w:color="auto" w:fill="E2ED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single" w:sz="8" w:space="0" w:color="D98CA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nil"/>
          <w:insideV w:val="nil"/>
        </w:tcBorders>
        <w:shd w:val="clear" w:color="auto" w:fill="D98CA0" w:themeFill="accent2"/>
      </w:tcPr>
    </w:tblStylePr>
    <w:tblStylePr w:type="lastRow">
      <w:pPr>
        <w:spacing w:before="0" w:after="0" w:line="240" w:lineRule="auto"/>
      </w:pPr>
      <w:rPr>
        <w:b/>
        <w:bCs/>
      </w:rPr>
      <w:tblPr/>
      <w:tcPr>
        <w:tcBorders>
          <w:top w:val="double" w:sz="6"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E4" w:themeFill="accent2" w:themeFillTint="3F"/>
      </w:tcPr>
    </w:tblStylePr>
    <w:tblStylePr w:type="band1Horz">
      <w:tblPr/>
      <w:tcPr>
        <w:tcBorders>
          <w:insideH w:val="nil"/>
          <w:insideV w:val="nil"/>
        </w:tcBorders>
        <w:shd w:val="clear" w:color="auto" w:fill="F6DFE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single" w:sz="8" w:space="0" w:color="4A7C8E"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nil"/>
          <w:insideV w:val="nil"/>
        </w:tcBorders>
        <w:shd w:val="clear" w:color="auto" w:fill="4A7C8E" w:themeFill="accent3"/>
      </w:tcPr>
    </w:tblStylePr>
    <w:tblStylePr w:type="lastRow">
      <w:pPr>
        <w:spacing w:before="0" w:after="0" w:line="240" w:lineRule="auto"/>
      </w:pPr>
      <w:rPr>
        <w:b/>
        <w:bCs/>
      </w:rPr>
      <w:tblPr/>
      <w:tcPr>
        <w:tcBorders>
          <w:top w:val="double" w:sz="6"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EBDD" w:themeFill="accent3" w:themeFillTint="3F"/>
      </w:tcPr>
    </w:tblStylePr>
    <w:tblStylePr w:type="band1Horz">
      <w:tblPr/>
      <w:tcPr>
        <w:tcBorders>
          <w:insideH w:val="nil"/>
          <w:insideV w:val="nil"/>
        </w:tcBorders>
        <w:shd w:val="clear" w:color="auto" w:fill="F1EBD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single" w:sz="8" w:space="0" w:color="D98CA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nil"/>
          <w:insideV w:val="nil"/>
        </w:tcBorders>
        <w:shd w:val="clear" w:color="auto" w:fill="D98CA0" w:themeFill="accent4"/>
      </w:tcPr>
    </w:tblStylePr>
    <w:tblStylePr w:type="lastRow">
      <w:pPr>
        <w:spacing w:before="0" w:after="0" w:line="240" w:lineRule="auto"/>
      </w:pPr>
      <w:rPr>
        <w:b/>
        <w:bCs/>
      </w:rPr>
      <w:tblPr/>
      <w:tcPr>
        <w:tcBorders>
          <w:top w:val="double" w:sz="6"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E1E7" w:themeFill="accent4" w:themeFillTint="3F"/>
      </w:tcPr>
    </w:tblStylePr>
    <w:tblStylePr w:type="band1Horz">
      <w:tblPr/>
      <w:tcPr>
        <w:tcBorders>
          <w:insideH w:val="nil"/>
          <w:insideV w:val="nil"/>
        </w:tcBorders>
        <w:shd w:val="clear" w:color="auto" w:fill="F2E1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single" w:sz="8" w:space="0" w:color="4A7C8E"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nil"/>
          <w:insideV w:val="nil"/>
        </w:tcBorders>
        <w:shd w:val="clear" w:color="auto" w:fill="4A7C8E" w:themeFill="accent5"/>
      </w:tcPr>
    </w:tblStylePr>
    <w:tblStylePr w:type="lastRow">
      <w:pPr>
        <w:spacing w:before="0" w:after="0" w:line="240" w:lineRule="auto"/>
      </w:pPr>
      <w:rPr>
        <w:b/>
        <w:bCs/>
      </w:rPr>
      <w:tblPr/>
      <w:tcPr>
        <w:tcBorders>
          <w:top w:val="double" w:sz="6"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single" w:sz="8" w:space="0" w:color="C4843A"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nil"/>
          <w:insideV w:val="nil"/>
        </w:tcBorders>
        <w:shd w:val="clear" w:color="auto" w:fill="C4843A" w:themeFill="accent6"/>
      </w:tcPr>
    </w:tblStylePr>
    <w:tblStylePr w:type="lastRow">
      <w:pPr>
        <w:spacing w:before="0" w:after="0" w:line="240" w:lineRule="auto"/>
      </w:pPr>
      <w:rPr>
        <w:b/>
        <w:bCs/>
      </w:rPr>
      <w:tblPr/>
      <w:tcPr>
        <w:tcBorders>
          <w:top w:val="double" w:sz="6"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1"/>
      </w:tcPr>
    </w:tblStylePr>
    <w:tblStylePr w:type="lastCol">
      <w:rPr>
        <w:b/>
        <w:bCs/>
        <w:color w:val="FFFFFF" w:themeColor="background1"/>
      </w:rPr>
      <w:tblPr/>
      <w:tcPr>
        <w:tcBorders>
          <w:left w:val="nil"/>
          <w:right w:val="nil"/>
          <w:insideH w:val="nil"/>
          <w:insideV w:val="nil"/>
        </w:tcBorders>
        <w:shd w:val="clear" w:color="auto" w:fill="4A7C8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8CA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8CA0" w:themeFill="accent2"/>
      </w:tcPr>
    </w:tblStylePr>
    <w:tblStylePr w:type="lastCol">
      <w:rPr>
        <w:b/>
        <w:bCs/>
        <w:color w:val="FFFFFF" w:themeColor="background1"/>
      </w:rPr>
      <w:tblPr/>
      <w:tcPr>
        <w:tcBorders>
          <w:left w:val="nil"/>
          <w:right w:val="nil"/>
          <w:insideH w:val="nil"/>
          <w:insideV w:val="nil"/>
        </w:tcBorders>
        <w:shd w:val="clear" w:color="auto" w:fill="D98CA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3"/>
      </w:tcPr>
    </w:tblStylePr>
    <w:tblStylePr w:type="lastCol">
      <w:rPr>
        <w:b/>
        <w:bCs/>
        <w:color w:val="FFFFFF" w:themeColor="background1"/>
      </w:rPr>
      <w:tblPr/>
      <w:tcPr>
        <w:tcBorders>
          <w:left w:val="nil"/>
          <w:right w:val="nil"/>
          <w:insideH w:val="nil"/>
          <w:insideV w:val="nil"/>
        </w:tcBorders>
        <w:shd w:val="clear" w:color="auto" w:fill="4A7C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8C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8CA0" w:themeFill="accent4"/>
      </w:tcPr>
    </w:tblStylePr>
    <w:tblStylePr w:type="lastCol">
      <w:rPr>
        <w:b/>
        <w:bCs/>
        <w:color w:val="FFFFFF" w:themeColor="background1"/>
      </w:rPr>
      <w:tblPr/>
      <w:tcPr>
        <w:tcBorders>
          <w:left w:val="nil"/>
          <w:right w:val="nil"/>
          <w:insideH w:val="nil"/>
          <w:insideV w:val="nil"/>
        </w:tcBorders>
        <w:shd w:val="clear" w:color="auto" w:fill="D98C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5"/>
      </w:tcPr>
    </w:tblStylePr>
    <w:tblStylePr w:type="lastCol">
      <w:rPr>
        <w:b/>
        <w:bCs/>
        <w:color w:val="FFFFFF" w:themeColor="background1"/>
      </w:rPr>
      <w:tblPr/>
      <w:tcPr>
        <w:tcBorders>
          <w:left w:val="nil"/>
          <w:right w:val="nil"/>
          <w:insideH w:val="nil"/>
          <w:insideV w:val="nil"/>
        </w:tcBorders>
        <w:shd w:val="clear" w:color="auto" w:fill="4A7C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843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843A" w:themeFill="accent6"/>
      </w:tcPr>
    </w:tblStylePr>
    <w:tblStylePr w:type="lastCol">
      <w:rPr>
        <w:b/>
        <w:bCs/>
        <w:color w:val="FFFFFF" w:themeColor="background1"/>
      </w:rPr>
      <w:tblPr/>
      <w:tcPr>
        <w:tcBorders>
          <w:left w:val="nil"/>
          <w:right w:val="nil"/>
          <w:insideH w:val="nil"/>
          <w:insideV w:val="nil"/>
        </w:tcBorders>
        <w:shd w:val="clear" w:color="auto" w:fill="C4843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1"/>
        <w:bottom w:val="single" w:sz="8" w:space="0" w:color="4A7C8E"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1"/>
        </w:tcBorders>
      </w:tcPr>
    </w:tblStylePr>
    <w:tblStylePr w:type="lastRow">
      <w:rPr>
        <w:b/>
        <w:bCs/>
        <w:color w:val="1F497D" w:themeColor="text2"/>
      </w:rPr>
      <w:tblPr/>
      <w:tcPr>
        <w:tcBorders>
          <w:top w:val="single" w:sz="8" w:space="0" w:color="4A7C8E" w:themeColor="accent1"/>
          <w:bottom w:val="single" w:sz="8" w:space="0" w:color="4A7C8E" w:themeColor="accent1"/>
        </w:tcBorders>
      </w:tcPr>
    </w:tblStylePr>
    <w:tblStylePr w:type="firstCol">
      <w:rPr>
        <w:b/>
        <w:bCs/>
      </w:rPr>
    </w:tblStylePr>
    <w:tblStylePr w:type="lastCol">
      <w:rPr>
        <w:b/>
        <w:bCs/>
      </w:rPr>
      <w:tblPr/>
      <w:tcPr>
        <w:tcBorders>
          <w:top w:val="single" w:sz="8" w:space="0" w:color="4A7C8E" w:themeColor="accent1"/>
          <w:bottom w:val="single" w:sz="8" w:space="0" w:color="4A7C8E" w:themeColor="accent1"/>
        </w:tcBorders>
      </w:tcPr>
    </w:tblStylePr>
    <w:tblStylePr w:type="band1Vert">
      <w:tblPr/>
      <w:tcPr>
        <w:shd w:val="clear" w:color="auto" w:fill="E2EDF0" w:themeFill="accent1" w:themeFillTint="3F"/>
      </w:tcPr>
    </w:tblStylePr>
    <w:tblStylePr w:type="band1Horz">
      <w:tblPr/>
      <w:tcPr>
        <w:shd w:val="clear" w:color="auto" w:fill="E2ED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98CA0" w:themeColor="accent2"/>
        <w:bottom w:val="single" w:sz="8" w:space="0" w:color="D98CA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98CA0" w:themeColor="accent2"/>
        </w:tcBorders>
      </w:tcPr>
    </w:tblStylePr>
    <w:tblStylePr w:type="lastRow">
      <w:rPr>
        <w:b/>
        <w:bCs/>
        <w:color w:val="1F497D" w:themeColor="text2"/>
      </w:rPr>
      <w:tblPr/>
      <w:tcPr>
        <w:tcBorders>
          <w:top w:val="single" w:sz="8" w:space="0" w:color="D98CA0" w:themeColor="accent2"/>
          <w:bottom w:val="single" w:sz="8" w:space="0" w:color="D98CA0" w:themeColor="accent2"/>
        </w:tcBorders>
      </w:tcPr>
    </w:tblStylePr>
    <w:tblStylePr w:type="firstCol">
      <w:rPr>
        <w:b/>
        <w:bCs/>
      </w:rPr>
    </w:tblStylePr>
    <w:tblStylePr w:type="lastCol">
      <w:rPr>
        <w:b/>
        <w:bCs/>
      </w:rPr>
      <w:tblPr/>
      <w:tcPr>
        <w:tcBorders>
          <w:top w:val="single" w:sz="8" w:space="0" w:color="D98CA0" w:themeColor="accent2"/>
          <w:bottom w:val="single" w:sz="8" w:space="0" w:color="D98CA0" w:themeColor="accent2"/>
        </w:tcBorders>
      </w:tcPr>
    </w:tblStylePr>
    <w:tblStylePr w:type="band1Vert">
      <w:tblPr/>
      <w:tcPr>
        <w:shd w:val="clear" w:color="auto" w:fill="F6DFE4" w:themeFill="accent2" w:themeFillTint="3F"/>
      </w:tcPr>
    </w:tblStylePr>
    <w:tblStylePr w:type="band1Horz">
      <w:tblPr/>
      <w:tcPr>
        <w:shd w:val="clear" w:color="auto" w:fill="F6DFE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3"/>
        <w:bottom w:val="single" w:sz="8" w:space="0" w:color="4A7C8E"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3"/>
        </w:tcBorders>
      </w:tcPr>
    </w:tblStylePr>
    <w:tblStylePr w:type="lastRow">
      <w:rPr>
        <w:b/>
        <w:bCs/>
        <w:color w:val="1F497D" w:themeColor="text2"/>
      </w:rPr>
      <w:tblPr/>
      <w:tcPr>
        <w:tcBorders>
          <w:top w:val="single" w:sz="8" w:space="0" w:color="4A7C8E" w:themeColor="accent3"/>
          <w:bottom w:val="single" w:sz="8" w:space="0" w:color="4A7C8E" w:themeColor="accent3"/>
        </w:tcBorders>
      </w:tcPr>
    </w:tblStylePr>
    <w:tblStylePr w:type="firstCol">
      <w:rPr>
        <w:b/>
        <w:bCs/>
      </w:rPr>
    </w:tblStylePr>
    <w:tblStylePr w:type="lastCol">
      <w:rPr>
        <w:b/>
        <w:bCs/>
      </w:rPr>
      <w:tblPr/>
      <w:tcPr>
        <w:tcBorders>
          <w:top w:val="single" w:sz="8" w:space="0" w:color="4A7C8E" w:themeColor="accent3"/>
          <w:bottom w:val="single" w:sz="8" w:space="0" w:color="4A7C8E" w:themeColor="accent3"/>
        </w:tcBorders>
      </w:tcPr>
    </w:tblStylePr>
    <w:tblStylePr w:type="band1Vert">
      <w:tblPr/>
      <w:tcPr>
        <w:shd w:val="clear" w:color="auto" w:fill="F1EBDD" w:themeFill="accent3" w:themeFillTint="3F"/>
      </w:tcPr>
    </w:tblStylePr>
    <w:tblStylePr w:type="band1Horz">
      <w:tblPr/>
      <w:tcPr>
        <w:shd w:val="clear" w:color="auto" w:fill="F1EBDD"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98CA0" w:themeColor="accent4"/>
        <w:bottom w:val="single" w:sz="8" w:space="0" w:color="D98CA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98CA0" w:themeColor="accent4"/>
        </w:tcBorders>
      </w:tcPr>
    </w:tblStylePr>
    <w:tblStylePr w:type="lastRow">
      <w:rPr>
        <w:b/>
        <w:bCs/>
        <w:color w:val="1F497D" w:themeColor="text2"/>
      </w:rPr>
      <w:tblPr/>
      <w:tcPr>
        <w:tcBorders>
          <w:top w:val="single" w:sz="8" w:space="0" w:color="D98CA0" w:themeColor="accent4"/>
          <w:bottom w:val="single" w:sz="8" w:space="0" w:color="D98CA0" w:themeColor="accent4"/>
        </w:tcBorders>
      </w:tcPr>
    </w:tblStylePr>
    <w:tblStylePr w:type="firstCol">
      <w:rPr>
        <w:b/>
        <w:bCs/>
      </w:rPr>
    </w:tblStylePr>
    <w:tblStylePr w:type="lastCol">
      <w:rPr>
        <w:b/>
        <w:bCs/>
      </w:rPr>
      <w:tblPr/>
      <w:tcPr>
        <w:tcBorders>
          <w:top w:val="single" w:sz="8" w:space="0" w:color="D98CA0" w:themeColor="accent4"/>
          <w:bottom w:val="single" w:sz="8" w:space="0" w:color="D98CA0" w:themeColor="accent4"/>
        </w:tcBorders>
      </w:tcPr>
    </w:tblStylePr>
    <w:tblStylePr w:type="band1Vert">
      <w:tblPr/>
      <w:tcPr>
        <w:shd w:val="clear" w:color="auto" w:fill="F2E1E7" w:themeFill="accent4" w:themeFillTint="3F"/>
      </w:tcPr>
    </w:tblStylePr>
    <w:tblStylePr w:type="band1Horz">
      <w:tblPr/>
      <w:tcPr>
        <w:shd w:val="clear" w:color="auto" w:fill="F2E1E7"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5"/>
        <w:bottom w:val="single" w:sz="8" w:space="0" w:color="4A7C8E"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5"/>
        </w:tcBorders>
      </w:tcPr>
    </w:tblStylePr>
    <w:tblStylePr w:type="lastRow">
      <w:rPr>
        <w:b/>
        <w:bCs/>
        <w:color w:val="1F497D" w:themeColor="text2"/>
      </w:rPr>
      <w:tblPr/>
      <w:tcPr>
        <w:tcBorders>
          <w:top w:val="single" w:sz="8" w:space="0" w:color="4A7C8E" w:themeColor="accent5"/>
          <w:bottom w:val="single" w:sz="8" w:space="0" w:color="4A7C8E" w:themeColor="accent5"/>
        </w:tcBorders>
      </w:tcPr>
    </w:tblStylePr>
    <w:tblStylePr w:type="firstCol">
      <w:rPr>
        <w:b/>
        <w:bCs/>
      </w:rPr>
    </w:tblStylePr>
    <w:tblStylePr w:type="lastCol">
      <w:rPr>
        <w:b/>
        <w:bCs/>
      </w:rPr>
      <w:tblPr/>
      <w:tcPr>
        <w:tcBorders>
          <w:top w:val="single" w:sz="8" w:space="0" w:color="4A7C8E" w:themeColor="accent5"/>
          <w:bottom w:val="single" w:sz="8" w:space="0" w:color="4A7C8E"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4843A" w:themeColor="accent6"/>
        <w:bottom w:val="single" w:sz="8" w:space="0" w:color="C4843A"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4843A" w:themeColor="accent6"/>
        </w:tcBorders>
      </w:tcPr>
    </w:tblStylePr>
    <w:tblStylePr w:type="lastRow">
      <w:rPr>
        <w:b/>
        <w:bCs/>
        <w:color w:val="1F497D" w:themeColor="text2"/>
      </w:rPr>
      <w:tblPr/>
      <w:tcPr>
        <w:tcBorders>
          <w:top w:val="single" w:sz="8" w:space="0" w:color="C4843A" w:themeColor="accent6"/>
          <w:bottom w:val="single" w:sz="8" w:space="0" w:color="C4843A" w:themeColor="accent6"/>
        </w:tcBorders>
      </w:tcPr>
    </w:tblStylePr>
    <w:tblStylePr w:type="firstCol">
      <w:rPr>
        <w:b/>
        <w:bCs/>
      </w:rPr>
    </w:tblStylePr>
    <w:tblStylePr w:type="lastCol">
      <w:rPr>
        <w:b/>
        <w:bCs/>
      </w:rPr>
      <w:tblPr/>
      <w:tcPr>
        <w:tcBorders>
          <w:top w:val="single" w:sz="8" w:space="0" w:color="C4843A" w:themeColor="accent6"/>
          <w:bottom w:val="single" w:sz="8" w:space="0" w:color="C4843A"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1"/>
          <w:right w:val="nil"/>
          <w:insideH w:val="nil"/>
          <w:insideV w:val="nil"/>
        </w:tcBorders>
        <w:shd w:val="clear" w:color="auto" w:fill="FFFFFF" w:themeFill="background1"/>
      </w:tcPr>
    </w:tblStylePr>
    <w:tblStylePr w:type="lastRow">
      <w:tblPr/>
      <w:tcPr>
        <w:tcBorders>
          <w:top w:val="single" w:sz="8" w:space="0" w:color="4A7C8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1"/>
          <w:insideH w:val="nil"/>
          <w:insideV w:val="nil"/>
        </w:tcBorders>
        <w:shd w:val="clear" w:color="auto" w:fill="FFFFFF" w:themeFill="background1"/>
      </w:tcPr>
    </w:tblStylePr>
    <w:tblStylePr w:type="lastCol">
      <w:tblPr/>
      <w:tcPr>
        <w:tcBorders>
          <w:top w:val="nil"/>
          <w:left w:val="single" w:sz="8" w:space="0" w:color="4A7C8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DF0" w:themeFill="accent1" w:themeFillTint="3F"/>
      </w:tcPr>
    </w:tblStylePr>
    <w:tblStylePr w:type="band1Horz">
      <w:tblPr/>
      <w:tcPr>
        <w:tcBorders>
          <w:top w:val="nil"/>
          <w:bottom w:val="nil"/>
          <w:insideH w:val="nil"/>
          <w:insideV w:val="nil"/>
        </w:tcBorders>
        <w:shd w:val="clear" w:color="auto" w:fill="E2ED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tblPr/>
      <w:tcPr>
        <w:tcBorders>
          <w:top w:val="single" w:sz="8" w:space="0" w:color="D98CA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8CA0" w:themeColor="accent2"/>
          <w:insideH w:val="nil"/>
          <w:insideV w:val="nil"/>
        </w:tcBorders>
        <w:shd w:val="clear" w:color="auto" w:fill="FFFFFF" w:themeFill="background1"/>
      </w:tcPr>
    </w:tblStylePr>
    <w:tblStylePr w:type="lastCol">
      <w:tblPr/>
      <w:tcPr>
        <w:tcBorders>
          <w:top w:val="nil"/>
          <w:left w:val="single" w:sz="8" w:space="0" w:color="D98CA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E4" w:themeFill="accent2" w:themeFillTint="3F"/>
      </w:tcPr>
    </w:tblStylePr>
    <w:tblStylePr w:type="band1Horz">
      <w:tblPr/>
      <w:tcPr>
        <w:tcBorders>
          <w:top w:val="nil"/>
          <w:bottom w:val="nil"/>
          <w:insideH w:val="nil"/>
          <w:insideV w:val="nil"/>
        </w:tcBorders>
        <w:shd w:val="clear" w:color="auto" w:fill="F6DFE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3"/>
          <w:right w:val="nil"/>
          <w:insideH w:val="nil"/>
          <w:insideV w:val="nil"/>
        </w:tcBorders>
        <w:shd w:val="clear" w:color="auto" w:fill="FFFFFF" w:themeFill="background1"/>
      </w:tcPr>
    </w:tblStylePr>
    <w:tblStylePr w:type="lastRow">
      <w:tblPr/>
      <w:tcPr>
        <w:tcBorders>
          <w:top w:val="single" w:sz="8" w:space="0" w:color="4A7C8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3"/>
          <w:insideH w:val="nil"/>
          <w:insideV w:val="nil"/>
        </w:tcBorders>
        <w:shd w:val="clear" w:color="auto" w:fill="FFFFFF" w:themeFill="background1"/>
      </w:tcPr>
    </w:tblStylePr>
    <w:tblStylePr w:type="lastCol">
      <w:tblPr/>
      <w:tcPr>
        <w:tcBorders>
          <w:top w:val="nil"/>
          <w:left w:val="single" w:sz="8" w:space="0" w:color="4A7C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BDD" w:themeFill="accent3" w:themeFillTint="3F"/>
      </w:tcPr>
    </w:tblStylePr>
    <w:tblStylePr w:type="band1Horz">
      <w:tblPr/>
      <w:tcPr>
        <w:tcBorders>
          <w:top w:val="nil"/>
          <w:bottom w:val="nil"/>
          <w:insideH w:val="nil"/>
          <w:insideV w:val="nil"/>
        </w:tcBorders>
        <w:shd w:val="clear" w:color="auto" w:fill="F1EBD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D98CA0" w:themeColor="accent4"/>
          <w:right w:val="nil"/>
          <w:insideH w:val="nil"/>
          <w:insideV w:val="nil"/>
        </w:tcBorders>
        <w:shd w:val="clear" w:color="auto" w:fill="FFFFFF" w:themeFill="background1"/>
      </w:tcPr>
    </w:tblStylePr>
    <w:tblStylePr w:type="lastRow">
      <w:tblPr/>
      <w:tcPr>
        <w:tcBorders>
          <w:top w:val="single" w:sz="8" w:space="0" w:color="D98CA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8CA0" w:themeColor="accent4"/>
          <w:insideH w:val="nil"/>
          <w:insideV w:val="nil"/>
        </w:tcBorders>
        <w:shd w:val="clear" w:color="auto" w:fill="FFFFFF" w:themeFill="background1"/>
      </w:tcPr>
    </w:tblStylePr>
    <w:tblStylePr w:type="lastCol">
      <w:tblPr/>
      <w:tcPr>
        <w:tcBorders>
          <w:top w:val="nil"/>
          <w:left w:val="single" w:sz="8" w:space="0" w:color="D98C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1E7" w:themeFill="accent4" w:themeFillTint="3F"/>
      </w:tcPr>
    </w:tblStylePr>
    <w:tblStylePr w:type="band1Horz">
      <w:tblPr/>
      <w:tcPr>
        <w:tcBorders>
          <w:top w:val="nil"/>
          <w:bottom w:val="nil"/>
          <w:insideH w:val="nil"/>
          <w:insideV w:val="nil"/>
        </w:tcBorders>
        <w:shd w:val="clear" w:color="auto" w:fill="F2E1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5"/>
          <w:right w:val="nil"/>
          <w:insideH w:val="nil"/>
          <w:insideV w:val="nil"/>
        </w:tcBorders>
        <w:shd w:val="clear" w:color="auto" w:fill="FFFFFF" w:themeFill="background1"/>
      </w:tcPr>
    </w:tblStylePr>
    <w:tblStylePr w:type="lastRow">
      <w:tblPr/>
      <w:tcPr>
        <w:tcBorders>
          <w:top w:val="single" w:sz="8" w:space="0" w:color="4A7C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5"/>
          <w:insideH w:val="nil"/>
          <w:insideV w:val="nil"/>
        </w:tcBorders>
        <w:shd w:val="clear" w:color="auto" w:fill="FFFFFF" w:themeFill="background1"/>
      </w:tcPr>
    </w:tblStylePr>
    <w:tblStylePr w:type="lastCol">
      <w:tblPr/>
      <w:tcPr>
        <w:tcBorders>
          <w:top w:val="nil"/>
          <w:left w:val="single" w:sz="8" w:space="0" w:color="4A7C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C4843A" w:themeColor="accent6"/>
          <w:right w:val="nil"/>
          <w:insideH w:val="nil"/>
          <w:insideV w:val="nil"/>
        </w:tcBorders>
        <w:shd w:val="clear" w:color="auto" w:fill="FFFFFF" w:themeFill="background1"/>
      </w:tcPr>
    </w:tblStylePr>
    <w:tblStylePr w:type="lastRow">
      <w:tblPr/>
      <w:tcPr>
        <w:tcBorders>
          <w:top w:val="single" w:sz="8" w:space="0" w:color="C4843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843A" w:themeColor="accent6"/>
          <w:insideH w:val="nil"/>
          <w:insideV w:val="nil"/>
        </w:tcBorders>
        <w:shd w:val="clear" w:color="auto" w:fill="FFFFFF" w:themeFill="background1"/>
      </w:tcPr>
    </w:tblStylePr>
    <w:tblStylePr w:type="lastCol">
      <w:tblPr/>
      <w:tcPr>
        <w:tcBorders>
          <w:top w:val="nil"/>
          <w:left w:val="single" w:sz="8" w:space="0" w:color="C4843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single" w:sz="8" w:space="0" w:color="2B2A28" w:themeColor="text1" w:themeTint="BF"/>
        <w:insideV w:val="single" w:sz="8" w:space="0" w:color="2B2A28"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2B2A28"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single" w:sz="8" w:space="0" w:color="4A7C8E" w:themeColor="accent1" w:themeTint="BF"/>
        <w:insideV w:val="single" w:sz="8" w:space="0" w:color="4A7C8E" w:themeColor="accent1" w:themeTint="BF"/>
      </w:tblBorders>
      <w:tblCellMar>
        <w:top w:w="0" w:type="dxa"/>
        <w:left w:w="108" w:type="dxa"/>
        <w:bottom w:w="0" w:type="dxa"/>
        <w:right w:w="108" w:type="dxa"/>
      </w:tblCellMar>
    </w:tblPr>
    <w:tcPr>
      <w:shd w:val="clear" w:color="auto" w:fill="E2EDF0" w:themeFill="accent1" w:themeFillTint="3F"/>
    </w:tcPr>
    <w:tblStylePr w:type="firstRow">
      <w:rPr>
        <w:b/>
        <w:bCs/>
      </w:rPr>
    </w:tblStylePr>
    <w:tblStylePr w:type="lastRow">
      <w:rPr>
        <w:b/>
        <w:bCs/>
      </w:rPr>
      <w:tblPr/>
      <w:tcPr>
        <w:tcBorders>
          <w:top w:val="single" w:sz="18" w:space="0" w:color="4A7C8E"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single" w:sz="8" w:space="0" w:color="D98CA0" w:themeColor="accent2" w:themeTint="BF"/>
        <w:insideV w:val="single" w:sz="8" w:space="0" w:color="D98CA0" w:themeColor="accent2" w:themeTint="BF"/>
      </w:tblBorders>
      <w:tblCellMar>
        <w:top w:w="0" w:type="dxa"/>
        <w:left w:w="108" w:type="dxa"/>
        <w:bottom w:w="0" w:type="dxa"/>
        <w:right w:w="108" w:type="dxa"/>
      </w:tblCellMar>
    </w:tblPr>
    <w:tcPr>
      <w:shd w:val="clear" w:color="auto" w:fill="F6DFE4" w:themeFill="accent2" w:themeFillTint="3F"/>
    </w:tcPr>
    <w:tblStylePr w:type="firstRow">
      <w:rPr>
        <w:b/>
        <w:bCs/>
      </w:rPr>
    </w:tblStylePr>
    <w:tblStylePr w:type="lastRow">
      <w:rPr>
        <w:b/>
        <w:bCs/>
      </w:rPr>
      <w:tblPr/>
      <w:tcPr>
        <w:tcBorders>
          <w:top w:val="single" w:sz="18" w:space="0" w:color="D98CA0"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single" w:sz="8" w:space="0" w:color="4A7C8E" w:themeColor="accent3" w:themeTint="BF"/>
        <w:insideV w:val="single" w:sz="8" w:space="0" w:color="4A7C8E" w:themeColor="accent3" w:themeTint="BF"/>
      </w:tblBorders>
      <w:tblCellMar>
        <w:top w:w="0" w:type="dxa"/>
        <w:left w:w="108" w:type="dxa"/>
        <w:bottom w:w="0" w:type="dxa"/>
        <w:right w:w="108" w:type="dxa"/>
      </w:tblCellMar>
    </w:tblPr>
    <w:tcPr>
      <w:shd w:val="clear" w:color="auto" w:fill="F1EBDD" w:themeFill="accent3" w:themeFillTint="3F"/>
    </w:tcPr>
    <w:tblStylePr w:type="firstRow">
      <w:rPr>
        <w:b/>
        <w:bCs/>
      </w:rPr>
    </w:tblStylePr>
    <w:tblStylePr w:type="lastRow">
      <w:rPr>
        <w:b/>
        <w:bCs/>
      </w:rPr>
      <w:tblPr/>
      <w:tcPr>
        <w:tcBorders>
          <w:top w:val="single" w:sz="18" w:space="0" w:color="4A7C8E"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single" w:sz="8" w:space="0" w:color="D98CA0" w:themeColor="accent4" w:themeTint="BF"/>
        <w:insideV w:val="single" w:sz="8" w:space="0" w:color="D98CA0" w:themeColor="accent4" w:themeTint="BF"/>
      </w:tblBorders>
      <w:tblCellMar>
        <w:top w:w="0" w:type="dxa"/>
        <w:left w:w="108" w:type="dxa"/>
        <w:bottom w:w="0" w:type="dxa"/>
        <w:right w:w="108" w:type="dxa"/>
      </w:tblCellMar>
    </w:tblPr>
    <w:tcPr>
      <w:shd w:val="clear" w:color="auto" w:fill="F2E1E7" w:themeFill="accent4" w:themeFillTint="3F"/>
    </w:tcPr>
    <w:tblStylePr w:type="firstRow">
      <w:rPr>
        <w:b/>
        <w:bCs/>
      </w:rPr>
    </w:tblStylePr>
    <w:tblStylePr w:type="lastRow">
      <w:rPr>
        <w:b/>
        <w:bCs/>
      </w:rPr>
      <w:tblPr/>
      <w:tcPr>
        <w:tcBorders>
          <w:top w:val="single" w:sz="18" w:space="0" w:color="D98CA0"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single" w:sz="8" w:space="0" w:color="4A7C8E" w:themeColor="accent5" w:themeTint="BF"/>
        <w:insideV w:val="single" w:sz="8" w:space="0" w:color="4A7C8E"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A7C8E"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single" w:sz="8" w:space="0" w:color="C4843A" w:themeColor="accent6" w:themeTint="BF"/>
        <w:insideV w:val="single" w:sz="8" w:space="0" w:color="C4843A"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C4843A"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insideH w:val="single" w:sz="8" w:space="0" w:color="4A7C8E" w:themeColor="accent1"/>
        <w:insideV w:val="single" w:sz="8" w:space="0" w:color="4A7C8E" w:themeColor="accent1"/>
      </w:tblBorders>
      <w:tblCellMar>
        <w:top w:w="0" w:type="dxa"/>
        <w:left w:w="108" w:type="dxa"/>
        <w:bottom w:w="0" w:type="dxa"/>
        <w:right w:w="108" w:type="dxa"/>
      </w:tblCellMar>
    </w:tblPr>
    <w:tcPr>
      <w:shd w:val="clear" w:color="auto" w:fill="E2EDF0"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A7C8E" w:themeColor="accent1"/>
          <w:insideV w:val="single" w:sz="6" w:space="0" w:color="4A7C8E"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insideH w:val="single" w:sz="8" w:space="0" w:color="D98CA0" w:themeColor="accent2"/>
        <w:insideV w:val="single" w:sz="8" w:space="0" w:color="D98CA0" w:themeColor="accent2"/>
      </w:tblBorders>
      <w:tblCellMar>
        <w:top w:w="0" w:type="dxa"/>
        <w:left w:w="108" w:type="dxa"/>
        <w:bottom w:w="0" w:type="dxa"/>
        <w:right w:w="108" w:type="dxa"/>
      </w:tblCellMar>
    </w:tblPr>
    <w:tcPr>
      <w:shd w:val="clear" w:color="auto" w:fill="F6DFE4"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D98CA0" w:themeColor="accent2"/>
          <w:insideV w:val="single" w:sz="6" w:space="0" w:color="D98CA0"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insideH w:val="single" w:sz="8" w:space="0" w:color="4A7C8E" w:themeColor="accent3"/>
        <w:insideV w:val="single" w:sz="8" w:space="0" w:color="4A7C8E" w:themeColor="accent3"/>
      </w:tblBorders>
      <w:tblCellMar>
        <w:top w:w="0" w:type="dxa"/>
        <w:left w:w="108" w:type="dxa"/>
        <w:bottom w:w="0" w:type="dxa"/>
        <w:right w:w="108" w:type="dxa"/>
      </w:tblCellMar>
    </w:tblPr>
    <w:tcPr>
      <w:shd w:val="clear" w:color="auto" w:fill="F1EBDD"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4A7C8E" w:themeColor="accent3"/>
          <w:insideV w:val="single" w:sz="6" w:space="0" w:color="4A7C8E"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insideH w:val="single" w:sz="8" w:space="0" w:color="D98CA0" w:themeColor="accent4"/>
        <w:insideV w:val="single" w:sz="8" w:space="0" w:color="D98CA0" w:themeColor="accent4"/>
      </w:tblBorders>
      <w:tblCellMar>
        <w:top w:w="0" w:type="dxa"/>
        <w:left w:w="108" w:type="dxa"/>
        <w:bottom w:w="0" w:type="dxa"/>
        <w:right w:w="108" w:type="dxa"/>
      </w:tblCellMar>
    </w:tblPr>
    <w:tcPr>
      <w:shd w:val="clear" w:color="auto" w:fill="F2E1E7"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D98CA0" w:themeColor="accent4"/>
          <w:insideV w:val="single" w:sz="6" w:space="0" w:color="D98CA0"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insideH w:val="single" w:sz="8" w:space="0" w:color="4A7C8E" w:themeColor="accent5"/>
        <w:insideV w:val="single" w:sz="8" w:space="0" w:color="4A7C8E"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A7C8E" w:themeColor="accent5"/>
          <w:insideV w:val="single" w:sz="6" w:space="0" w:color="4A7C8E"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insideH w:val="single" w:sz="8" w:space="0" w:color="C4843A" w:themeColor="accent6"/>
        <w:insideV w:val="single" w:sz="8" w:space="0" w:color="C4843A"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C4843A" w:themeColor="accent6"/>
          <w:insideV w:val="single" w:sz="6" w:space="0" w:color="C4843A"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2ED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DFE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8CA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8CA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8CA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8CA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1EBD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E1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8C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8C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8C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8C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843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843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843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843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98CA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98C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4843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4A7C8E" w:themeColor="accent1"/>
        <w:bottom w:val="single" w:sz="4" w:space="0" w:color="4A7C8E" w:themeColor="accent1"/>
        <w:right w:val="single" w:sz="4" w:space="0" w:color="4A7C8E"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D98CA0" w:themeColor="accent2"/>
        <w:bottom w:val="single" w:sz="4" w:space="0" w:color="D98CA0" w:themeColor="accent2"/>
        <w:right w:val="single" w:sz="4" w:space="0" w:color="D98CA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4"/>
        <w:left w:val="single" w:sz="4" w:space="0" w:color="4A7C8E" w:themeColor="accent3"/>
        <w:bottom w:val="single" w:sz="4" w:space="0" w:color="4A7C8E" w:themeColor="accent3"/>
        <w:right w:val="single" w:sz="4" w:space="0" w:color="4A7C8E"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D98C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A7C8E" w:themeColor="accent3"/>
        <w:left w:val="single" w:sz="4" w:space="0" w:color="D98CA0" w:themeColor="accent4"/>
        <w:bottom w:val="single" w:sz="4" w:space="0" w:color="D98CA0" w:themeColor="accent4"/>
        <w:right w:val="single" w:sz="4" w:space="0" w:color="D98CA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4A7C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4843A" w:themeColor="accent6"/>
        <w:left w:val="single" w:sz="4" w:space="0" w:color="4A7C8E" w:themeColor="accent5"/>
        <w:bottom w:val="single" w:sz="4" w:space="0" w:color="4A7C8E" w:themeColor="accent5"/>
        <w:right w:val="single" w:sz="4" w:space="0" w:color="4A7C8E"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C4843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A7C8E" w:themeColor="accent5"/>
        <w:left w:val="single" w:sz="4" w:space="0" w:color="C4843A" w:themeColor="accent6"/>
        <w:bottom w:val="single" w:sz="4" w:space="0" w:color="C4843A" w:themeColor="accent6"/>
        <w:right w:val="single" w:sz="4" w:space="0" w:color="C4843A"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A7C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DF0"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E4"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BDD"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1E7"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7C8E"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7C8E"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7C8E"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B2A28"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7C8E"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B2A28"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7C8E"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7C8E" w:themeColor="accent1"/>
    </w:rPr>
  </w:style>
  <w:style w:type="paragraph" w:styleId="Title">
    <w:name w:val="Title"/>
    <w:basedOn w:val="Normal"/>
    <w:next w:val="Normal"/>
    <w:link w:val="TitleChar"/>
    <w:uiPriority w:val="10"/>
    <w:qFormat/>
    <w:rsid w:val="00FC693F"/>
    <w:pPr>
      <w:pBdr>
        <w:bottom w:val="single" w:sz="8" w:space="4" w:color="4A7C8E"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7C8E"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7C8E"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7C8E"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B2A28"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7C8E"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B2A28"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7C8E"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7C8E" w:themeColor="accent1"/>
      </w:pBdr>
      <w:spacing w:before="200" w:after="280"/>
      <w:ind w:left="936" w:right="936"/>
    </w:pPr>
    <w:rPr>
      <w:b/>
      <w:bCs/>
      <w:i/>
      <w:iCs/>
      <w:color w:val="4A7C8E" w:themeColor="accent1"/>
    </w:rPr>
  </w:style>
  <w:style w:type="character" w:customStyle="1" w:styleId="IntenseQuoteChar">
    <w:name w:val="Intense Quote Char"/>
    <w:basedOn w:val="DefaultParagraphFont"/>
    <w:link w:val="IntenseQuote"/>
    <w:uiPriority w:val="30"/>
    <w:rsid w:val="00FC693F"/>
    <w:rPr>
      <w:b/>
      <w:bCs/>
      <w:i/>
      <w:iCs/>
      <w:color w:val="4A7C8E"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7C8E" w:themeColor="accent1"/>
    </w:rPr>
  </w:style>
  <w:style w:type="character" w:styleId="SubtleReference">
    <w:name w:val="Subtle Reference"/>
    <w:basedOn w:val="DefaultParagraphFont"/>
    <w:uiPriority w:val="31"/>
    <w:qFormat/>
    <w:rsid w:val="00FC693F"/>
    <w:rPr>
      <w:smallCaps/>
      <w:color w:val="D98CA0" w:themeColor="accent2"/>
      <w:u w:val="single"/>
    </w:rPr>
  </w:style>
  <w:style w:type="character" w:styleId="IntenseReference">
    <w:name w:val="Intense Reference"/>
    <w:basedOn w:val="DefaultParagraphFont"/>
    <w:uiPriority w:val="32"/>
    <w:qFormat/>
    <w:rsid w:val="00FC693F"/>
    <w:rPr>
      <w:b/>
      <w:bCs/>
      <w:smallCaps/>
      <w:color w:val="D98CA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A7C8E" w:themeColor="accent1"/>
        <w:bottom w:val="single" w:sz="8" w:space="0" w:color="4A7C8E"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1"/>
          <w:left w:val="nil"/>
          <w:bottom w:val="single" w:sz="8" w:space="0" w:color="4A7C8E" w:themeColor="accent1"/>
          <w:right w:val="nil"/>
          <w:insideH w:val="nil"/>
          <w:insideV w:val="nil"/>
        </w:tcBorders>
      </w:tcPr>
    </w:tblStylePr>
    <w:tblStylePr w:type="lastRow">
      <w:pPr>
        <w:spacing w:before="0" w:after="0" w:line="240" w:lineRule="auto"/>
      </w:pPr>
      <w:rPr>
        <w:b/>
        <w:bCs/>
      </w:rPr>
      <w:tblPr/>
      <w:tcPr>
        <w:tcBorders>
          <w:top w:val="single" w:sz="8" w:space="0" w:color="4A7C8E" w:themeColor="accent1"/>
          <w:left w:val="nil"/>
          <w:bottom w:val="single" w:sz="8" w:space="0" w:color="4A7C8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DF0" w:themeFill="accent1" w:themeFillTint="3F"/>
      </w:tcPr>
    </w:tblStylePr>
    <w:tblStylePr w:type="band1Horz">
      <w:tblPr/>
      <w:tcPr>
        <w:tcBorders>
          <w:left w:val="nil"/>
          <w:right w:val="nil"/>
          <w:insideH w:val="nil"/>
          <w:insideV w:val="nil"/>
        </w:tcBorders>
        <w:shd w:val="clear" w:color="auto" w:fill="E2EDF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D98CA0" w:themeColor="accent2"/>
        <w:bottom w:val="single" w:sz="8" w:space="0" w:color="D98CA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98CA0" w:themeColor="accent2"/>
          <w:left w:val="nil"/>
          <w:bottom w:val="single" w:sz="8" w:space="0" w:color="D98CA0" w:themeColor="accent2"/>
          <w:right w:val="nil"/>
          <w:insideH w:val="nil"/>
          <w:insideV w:val="nil"/>
        </w:tcBorders>
      </w:tcPr>
    </w:tblStylePr>
    <w:tblStylePr w:type="lastRow">
      <w:pPr>
        <w:spacing w:before="0" w:after="0" w:line="240" w:lineRule="auto"/>
      </w:pPr>
      <w:rPr>
        <w:b/>
        <w:bCs/>
      </w:rPr>
      <w:tblPr/>
      <w:tcPr>
        <w:tcBorders>
          <w:top w:val="single" w:sz="8" w:space="0" w:color="D98CA0" w:themeColor="accent2"/>
          <w:left w:val="nil"/>
          <w:bottom w:val="single" w:sz="8" w:space="0" w:color="D98CA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E4" w:themeFill="accent2" w:themeFillTint="3F"/>
      </w:tcPr>
    </w:tblStylePr>
    <w:tblStylePr w:type="band1Horz">
      <w:tblPr/>
      <w:tcPr>
        <w:tcBorders>
          <w:left w:val="nil"/>
          <w:right w:val="nil"/>
          <w:insideH w:val="nil"/>
          <w:insideV w:val="nil"/>
        </w:tcBorders>
        <w:shd w:val="clear" w:color="auto" w:fill="F6DFE4"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4A7C8E" w:themeColor="accent3"/>
        <w:bottom w:val="single" w:sz="8" w:space="0" w:color="4A7C8E"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3"/>
          <w:left w:val="nil"/>
          <w:bottom w:val="single" w:sz="8" w:space="0" w:color="4A7C8E" w:themeColor="accent3"/>
          <w:right w:val="nil"/>
          <w:insideH w:val="nil"/>
          <w:insideV w:val="nil"/>
        </w:tcBorders>
      </w:tcPr>
    </w:tblStylePr>
    <w:tblStylePr w:type="lastRow">
      <w:pPr>
        <w:spacing w:before="0" w:after="0" w:line="240" w:lineRule="auto"/>
      </w:pPr>
      <w:rPr>
        <w:b/>
        <w:bCs/>
      </w:rPr>
      <w:tblPr/>
      <w:tcPr>
        <w:tcBorders>
          <w:top w:val="single" w:sz="8" w:space="0" w:color="4A7C8E" w:themeColor="accent3"/>
          <w:left w:val="nil"/>
          <w:bottom w:val="single" w:sz="8" w:space="0" w:color="4A7C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BDD" w:themeFill="accent3" w:themeFillTint="3F"/>
      </w:tcPr>
    </w:tblStylePr>
    <w:tblStylePr w:type="band1Horz">
      <w:tblPr/>
      <w:tcPr>
        <w:tcBorders>
          <w:left w:val="nil"/>
          <w:right w:val="nil"/>
          <w:insideH w:val="nil"/>
          <w:insideV w:val="nil"/>
        </w:tcBorders>
        <w:shd w:val="clear" w:color="auto" w:fill="F1EBDD"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D98CA0" w:themeColor="accent4"/>
        <w:bottom w:val="single" w:sz="8" w:space="0" w:color="D98CA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98CA0" w:themeColor="accent4"/>
          <w:left w:val="nil"/>
          <w:bottom w:val="single" w:sz="8" w:space="0" w:color="D98CA0" w:themeColor="accent4"/>
          <w:right w:val="nil"/>
          <w:insideH w:val="nil"/>
          <w:insideV w:val="nil"/>
        </w:tcBorders>
      </w:tcPr>
    </w:tblStylePr>
    <w:tblStylePr w:type="lastRow">
      <w:pPr>
        <w:spacing w:before="0" w:after="0" w:line="240" w:lineRule="auto"/>
      </w:pPr>
      <w:rPr>
        <w:b/>
        <w:bCs/>
      </w:rPr>
      <w:tblPr/>
      <w:tcPr>
        <w:tcBorders>
          <w:top w:val="single" w:sz="8" w:space="0" w:color="D98CA0" w:themeColor="accent4"/>
          <w:left w:val="nil"/>
          <w:bottom w:val="single" w:sz="8" w:space="0" w:color="D98C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1E7" w:themeFill="accent4" w:themeFillTint="3F"/>
      </w:tcPr>
    </w:tblStylePr>
    <w:tblStylePr w:type="band1Horz">
      <w:tblPr/>
      <w:tcPr>
        <w:tcBorders>
          <w:left w:val="nil"/>
          <w:right w:val="nil"/>
          <w:insideH w:val="nil"/>
          <w:insideV w:val="nil"/>
        </w:tcBorders>
        <w:shd w:val="clear" w:color="auto" w:fill="F2E1E7"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A7C8E" w:themeColor="accent5"/>
        <w:bottom w:val="single" w:sz="8" w:space="0" w:color="4A7C8E"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7C8E" w:themeColor="accent5"/>
          <w:left w:val="nil"/>
          <w:bottom w:val="single" w:sz="8" w:space="0" w:color="4A7C8E" w:themeColor="accent5"/>
          <w:right w:val="nil"/>
          <w:insideH w:val="nil"/>
          <w:insideV w:val="nil"/>
        </w:tcBorders>
      </w:tcPr>
    </w:tblStylePr>
    <w:tblStylePr w:type="lastRow">
      <w:pPr>
        <w:spacing w:before="0" w:after="0" w:line="240" w:lineRule="auto"/>
      </w:pPr>
      <w:rPr>
        <w:b/>
        <w:bCs/>
      </w:rPr>
      <w:tblPr/>
      <w:tcPr>
        <w:tcBorders>
          <w:top w:val="single" w:sz="8" w:space="0" w:color="4A7C8E" w:themeColor="accent5"/>
          <w:left w:val="nil"/>
          <w:bottom w:val="single" w:sz="8" w:space="0" w:color="4A7C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C4843A" w:themeColor="accent6"/>
        <w:bottom w:val="single" w:sz="8" w:space="0" w:color="C4843A"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4843A" w:themeColor="accent6"/>
          <w:left w:val="nil"/>
          <w:bottom w:val="single" w:sz="8" w:space="0" w:color="C4843A" w:themeColor="accent6"/>
          <w:right w:val="nil"/>
          <w:insideH w:val="nil"/>
          <w:insideV w:val="nil"/>
        </w:tcBorders>
      </w:tcPr>
    </w:tblStylePr>
    <w:tblStylePr w:type="lastRow">
      <w:pPr>
        <w:spacing w:before="0" w:after="0" w:line="240" w:lineRule="auto"/>
      </w:pPr>
      <w:rPr>
        <w:b/>
        <w:bCs/>
      </w:rPr>
      <w:tblPr/>
      <w:tcPr>
        <w:tcBorders>
          <w:top w:val="single" w:sz="8" w:space="0" w:color="C4843A" w:themeColor="accent6"/>
          <w:left w:val="nil"/>
          <w:bottom w:val="single" w:sz="8" w:space="0" w:color="C4843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1"/>
      </w:tcPr>
    </w:tblStylePr>
    <w:tblStylePr w:type="lastRow">
      <w:pPr>
        <w:spacing w:before="0" w:after="0" w:line="240" w:lineRule="auto"/>
      </w:pPr>
      <w:rPr>
        <w:b/>
        <w:bCs/>
      </w:rPr>
      <w:tblPr/>
      <w:tcPr>
        <w:tcBorders>
          <w:top w:val="double" w:sz="6" w:space="0" w:color="4A7C8E" w:themeColor="accent1"/>
          <w:left w:val="single" w:sz="8" w:space="0" w:color="4A7C8E" w:themeColor="accent1"/>
          <w:bottom w:val="single" w:sz="8" w:space="0" w:color="4A7C8E" w:themeColor="accent1"/>
          <w:right w:val="single" w:sz="8" w:space="0" w:color="4A7C8E" w:themeColor="accent1"/>
        </w:tcBorders>
      </w:tcPr>
    </w:tblStylePr>
    <w:tblStylePr w:type="firstCol">
      <w:rPr>
        <w:b/>
        <w:bCs/>
      </w:rPr>
    </w:tblStylePr>
    <w:tblStylePr w:type="lastCol">
      <w:rPr>
        <w:b/>
        <w:bCs/>
      </w:rPr>
    </w:tblStylePr>
    <w:tblStylePr w:type="band1Vert">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tblStylePr w:type="band1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98CA0" w:themeFill="accent2"/>
      </w:tcPr>
    </w:tblStylePr>
    <w:tblStylePr w:type="lastRow">
      <w:pPr>
        <w:spacing w:before="0" w:after="0" w:line="240" w:lineRule="auto"/>
      </w:pPr>
      <w:rPr>
        <w:b/>
        <w:bCs/>
      </w:rPr>
      <w:tblPr/>
      <w:tcPr>
        <w:tcBorders>
          <w:top w:val="double" w:sz="6" w:space="0" w:color="D98CA0" w:themeColor="accent2"/>
          <w:left w:val="single" w:sz="8" w:space="0" w:color="D98CA0" w:themeColor="accent2"/>
          <w:bottom w:val="single" w:sz="8" w:space="0" w:color="D98CA0" w:themeColor="accent2"/>
          <w:right w:val="single" w:sz="8" w:space="0" w:color="D98CA0" w:themeColor="accent2"/>
        </w:tcBorders>
      </w:tcPr>
    </w:tblStylePr>
    <w:tblStylePr w:type="firstCol">
      <w:rPr>
        <w:b/>
        <w:bCs/>
      </w:rPr>
    </w:tblStylePr>
    <w:tblStylePr w:type="lastCol">
      <w:rPr>
        <w:b/>
        <w:bCs/>
      </w:rPr>
    </w:tblStylePr>
    <w:tblStylePr w:type="band1Vert">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tblStylePr w:type="band1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3"/>
      </w:tcPr>
    </w:tblStylePr>
    <w:tblStylePr w:type="lastRow">
      <w:pPr>
        <w:spacing w:before="0" w:after="0" w:line="240" w:lineRule="auto"/>
      </w:pPr>
      <w:rPr>
        <w:b/>
        <w:bCs/>
      </w:rPr>
      <w:tblPr/>
      <w:tcPr>
        <w:tcBorders>
          <w:top w:val="double" w:sz="6" w:space="0" w:color="4A7C8E" w:themeColor="accent3"/>
          <w:left w:val="single" w:sz="8" w:space="0" w:color="4A7C8E" w:themeColor="accent3"/>
          <w:bottom w:val="single" w:sz="8" w:space="0" w:color="4A7C8E" w:themeColor="accent3"/>
          <w:right w:val="single" w:sz="8" w:space="0" w:color="4A7C8E" w:themeColor="accent3"/>
        </w:tcBorders>
      </w:tcPr>
    </w:tblStylePr>
    <w:tblStylePr w:type="firstCol">
      <w:rPr>
        <w:b/>
        <w:bCs/>
      </w:rPr>
    </w:tblStylePr>
    <w:tblStylePr w:type="lastCol">
      <w:rPr>
        <w:b/>
        <w:bCs/>
      </w:rPr>
    </w:tblStylePr>
    <w:tblStylePr w:type="band1Vert">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tblStylePr w:type="band1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98CA0" w:themeFill="accent4"/>
      </w:tcPr>
    </w:tblStylePr>
    <w:tblStylePr w:type="lastRow">
      <w:pPr>
        <w:spacing w:before="0" w:after="0" w:line="240" w:lineRule="auto"/>
      </w:pPr>
      <w:rPr>
        <w:b/>
        <w:bCs/>
      </w:rPr>
      <w:tblPr/>
      <w:tcPr>
        <w:tcBorders>
          <w:top w:val="double" w:sz="6" w:space="0" w:color="D98CA0" w:themeColor="accent4"/>
          <w:left w:val="single" w:sz="8" w:space="0" w:color="D98CA0" w:themeColor="accent4"/>
          <w:bottom w:val="single" w:sz="8" w:space="0" w:color="D98CA0" w:themeColor="accent4"/>
          <w:right w:val="single" w:sz="8" w:space="0" w:color="D98CA0" w:themeColor="accent4"/>
        </w:tcBorders>
      </w:tcPr>
    </w:tblStylePr>
    <w:tblStylePr w:type="firstCol">
      <w:rPr>
        <w:b/>
        <w:bCs/>
      </w:rPr>
    </w:tblStylePr>
    <w:tblStylePr w:type="lastCol">
      <w:rPr>
        <w:b/>
        <w:bCs/>
      </w:rPr>
    </w:tblStylePr>
    <w:tblStylePr w:type="band1Vert">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tblStylePr w:type="band1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7C8E" w:themeFill="accent5"/>
      </w:tcPr>
    </w:tblStylePr>
    <w:tblStylePr w:type="lastRow">
      <w:pPr>
        <w:spacing w:before="0" w:after="0" w:line="240" w:lineRule="auto"/>
      </w:pPr>
      <w:rPr>
        <w:b/>
        <w:bCs/>
      </w:rPr>
      <w:tblPr/>
      <w:tcPr>
        <w:tcBorders>
          <w:top w:val="double" w:sz="6" w:space="0" w:color="4A7C8E" w:themeColor="accent5"/>
          <w:left w:val="single" w:sz="8" w:space="0" w:color="4A7C8E" w:themeColor="accent5"/>
          <w:bottom w:val="single" w:sz="8" w:space="0" w:color="4A7C8E" w:themeColor="accent5"/>
          <w:right w:val="single" w:sz="8" w:space="0" w:color="4A7C8E" w:themeColor="accent5"/>
        </w:tcBorders>
      </w:tcPr>
    </w:tblStylePr>
    <w:tblStylePr w:type="firstCol">
      <w:rPr>
        <w:b/>
        <w:bCs/>
      </w:rPr>
    </w:tblStylePr>
    <w:tblStylePr w:type="lastCol">
      <w:rPr>
        <w:b/>
        <w:bCs/>
      </w:rPr>
    </w:tblStylePr>
    <w:tblStylePr w:type="band1Vert">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tblStylePr w:type="band1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843A" w:themeFill="accent6"/>
      </w:tcPr>
    </w:tblStylePr>
    <w:tblStylePr w:type="lastRow">
      <w:pPr>
        <w:spacing w:before="0" w:after="0" w:line="240" w:lineRule="auto"/>
      </w:pPr>
      <w:rPr>
        <w:b/>
        <w:bCs/>
      </w:rPr>
      <w:tblPr/>
      <w:tcPr>
        <w:tcBorders>
          <w:top w:val="double" w:sz="6" w:space="0" w:color="C4843A" w:themeColor="accent6"/>
          <w:left w:val="single" w:sz="8" w:space="0" w:color="C4843A" w:themeColor="accent6"/>
          <w:bottom w:val="single" w:sz="8" w:space="0" w:color="C4843A" w:themeColor="accent6"/>
          <w:right w:val="single" w:sz="8" w:space="0" w:color="C4843A" w:themeColor="accent6"/>
        </w:tcBorders>
      </w:tcPr>
    </w:tblStylePr>
    <w:tblStylePr w:type="firstCol">
      <w:rPr>
        <w:b/>
        <w:bCs/>
      </w:rPr>
    </w:tblStylePr>
    <w:tblStylePr w:type="lastCol">
      <w:rPr>
        <w:b/>
        <w:bCs/>
      </w:rPr>
    </w:tblStylePr>
    <w:tblStylePr w:type="band1Vert">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tblStylePr w:type="band1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insideH w:val="single" w:sz="8" w:space="0" w:color="4A7C8E" w:themeColor="accent1"/>
        <w:insideV w:val="single" w:sz="8" w:space="0" w:color="4A7C8E"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1"/>
          <w:left w:val="single" w:sz="8" w:space="0" w:color="4A7C8E" w:themeColor="accent1"/>
          <w:bottom w:val="single" w:sz="18" w:space="0" w:color="4A7C8E" w:themeColor="accent1"/>
          <w:right w:val="single" w:sz="8" w:space="0" w:color="4A7C8E" w:themeColor="accent1"/>
          <w:insideH w:val="nil"/>
          <w:insideV w:val="single" w:sz="8" w:space="0" w:color="4A7C8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1"/>
          <w:left w:val="single" w:sz="8" w:space="0" w:color="4A7C8E" w:themeColor="accent1"/>
          <w:bottom w:val="single" w:sz="8" w:space="0" w:color="4A7C8E" w:themeColor="accent1"/>
          <w:right w:val="single" w:sz="8" w:space="0" w:color="4A7C8E" w:themeColor="accent1"/>
          <w:insideH w:val="nil"/>
          <w:insideV w:val="single" w:sz="8" w:space="0" w:color="4A7C8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tcPr>
    </w:tblStylePr>
    <w:tblStylePr w:type="band1Vert">
      <w:tblPr/>
      <w:tcPr>
        <w:tcBorders>
          <w:top w:val="single" w:sz="8" w:space="0" w:color="4A7C8E" w:themeColor="accent1"/>
          <w:left w:val="single" w:sz="8" w:space="0" w:color="4A7C8E" w:themeColor="accent1"/>
          <w:bottom w:val="single" w:sz="8" w:space="0" w:color="4A7C8E" w:themeColor="accent1"/>
          <w:right w:val="single" w:sz="8" w:space="0" w:color="4A7C8E" w:themeColor="accent1"/>
        </w:tcBorders>
        <w:shd w:val="clear" w:color="auto" w:fill="E2EDF0" w:themeFill="accent1" w:themeFillTint="3F"/>
      </w:tcPr>
    </w:tblStylePr>
    <w:tblStylePr w:type="band1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insideV w:val="single" w:sz="8" w:space="0" w:color="4A7C8E" w:themeColor="accent1"/>
        </w:tcBorders>
        <w:shd w:val="clear" w:color="auto" w:fill="E2EDF0" w:themeFill="accent1" w:themeFillTint="3F"/>
      </w:tcPr>
    </w:tblStylePr>
    <w:tblStylePr w:type="band2Horz">
      <w:tblPr/>
      <w:tcPr>
        <w:tcBorders>
          <w:top w:val="single" w:sz="8" w:space="0" w:color="4A7C8E" w:themeColor="accent1"/>
          <w:left w:val="single" w:sz="8" w:space="0" w:color="4A7C8E" w:themeColor="accent1"/>
          <w:bottom w:val="single" w:sz="8" w:space="0" w:color="4A7C8E" w:themeColor="accent1"/>
          <w:right w:val="single" w:sz="8" w:space="0" w:color="4A7C8E" w:themeColor="accent1"/>
          <w:insideV w:val="single" w:sz="8" w:space="0" w:color="4A7C8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insideH w:val="single" w:sz="8" w:space="0" w:color="D98CA0" w:themeColor="accent2"/>
        <w:insideV w:val="single" w:sz="8" w:space="0" w:color="D98CA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98CA0" w:themeColor="accent2"/>
          <w:left w:val="single" w:sz="8" w:space="0" w:color="D98CA0" w:themeColor="accent2"/>
          <w:bottom w:val="single" w:sz="18" w:space="0" w:color="D98CA0" w:themeColor="accent2"/>
          <w:right w:val="single" w:sz="8" w:space="0" w:color="D98CA0" w:themeColor="accent2"/>
          <w:insideH w:val="nil"/>
          <w:insideV w:val="single" w:sz="8" w:space="0" w:color="D98CA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8CA0" w:themeColor="accent2"/>
          <w:left w:val="single" w:sz="8" w:space="0" w:color="D98CA0" w:themeColor="accent2"/>
          <w:bottom w:val="single" w:sz="8" w:space="0" w:color="D98CA0" w:themeColor="accent2"/>
          <w:right w:val="single" w:sz="8" w:space="0" w:color="D98CA0" w:themeColor="accent2"/>
          <w:insideH w:val="nil"/>
          <w:insideV w:val="single" w:sz="8" w:space="0" w:color="D98CA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tcPr>
    </w:tblStylePr>
    <w:tblStylePr w:type="band1Vert">
      <w:tblPr/>
      <w:tcPr>
        <w:tcBorders>
          <w:top w:val="single" w:sz="8" w:space="0" w:color="D98CA0" w:themeColor="accent2"/>
          <w:left w:val="single" w:sz="8" w:space="0" w:color="D98CA0" w:themeColor="accent2"/>
          <w:bottom w:val="single" w:sz="8" w:space="0" w:color="D98CA0" w:themeColor="accent2"/>
          <w:right w:val="single" w:sz="8" w:space="0" w:color="D98CA0" w:themeColor="accent2"/>
        </w:tcBorders>
        <w:shd w:val="clear" w:color="auto" w:fill="F6DFE4" w:themeFill="accent2" w:themeFillTint="3F"/>
      </w:tcPr>
    </w:tblStylePr>
    <w:tblStylePr w:type="band1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insideV w:val="single" w:sz="8" w:space="0" w:color="D98CA0" w:themeColor="accent2"/>
        </w:tcBorders>
        <w:shd w:val="clear" w:color="auto" w:fill="F6DFE4" w:themeFill="accent2" w:themeFillTint="3F"/>
      </w:tcPr>
    </w:tblStylePr>
    <w:tblStylePr w:type="band2Horz">
      <w:tblPr/>
      <w:tcPr>
        <w:tcBorders>
          <w:top w:val="single" w:sz="8" w:space="0" w:color="D98CA0" w:themeColor="accent2"/>
          <w:left w:val="single" w:sz="8" w:space="0" w:color="D98CA0" w:themeColor="accent2"/>
          <w:bottom w:val="single" w:sz="8" w:space="0" w:color="D98CA0" w:themeColor="accent2"/>
          <w:right w:val="single" w:sz="8" w:space="0" w:color="D98CA0" w:themeColor="accent2"/>
          <w:insideV w:val="single" w:sz="8" w:space="0" w:color="D98CA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insideH w:val="single" w:sz="8" w:space="0" w:color="4A7C8E" w:themeColor="accent3"/>
        <w:insideV w:val="single" w:sz="8" w:space="0" w:color="4A7C8E"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3"/>
          <w:left w:val="single" w:sz="8" w:space="0" w:color="4A7C8E" w:themeColor="accent3"/>
          <w:bottom w:val="single" w:sz="18" w:space="0" w:color="4A7C8E" w:themeColor="accent3"/>
          <w:right w:val="single" w:sz="8" w:space="0" w:color="4A7C8E" w:themeColor="accent3"/>
          <w:insideH w:val="nil"/>
          <w:insideV w:val="single" w:sz="8" w:space="0" w:color="4A7C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3"/>
          <w:left w:val="single" w:sz="8" w:space="0" w:color="4A7C8E" w:themeColor="accent3"/>
          <w:bottom w:val="single" w:sz="8" w:space="0" w:color="4A7C8E" w:themeColor="accent3"/>
          <w:right w:val="single" w:sz="8" w:space="0" w:color="4A7C8E" w:themeColor="accent3"/>
          <w:insideH w:val="nil"/>
          <w:insideV w:val="single" w:sz="8" w:space="0" w:color="4A7C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tcPr>
    </w:tblStylePr>
    <w:tblStylePr w:type="band1Vert">
      <w:tblPr/>
      <w:tcPr>
        <w:tcBorders>
          <w:top w:val="single" w:sz="8" w:space="0" w:color="4A7C8E" w:themeColor="accent3"/>
          <w:left w:val="single" w:sz="8" w:space="0" w:color="4A7C8E" w:themeColor="accent3"/>
          <w:bottom w:val="single" w:sz="8" w:space="0" w:color="4A7C8E" w:themeColor="accent3"/>
          <w:right w:val="single" w:sz="8" w:space="0" w:color="4A7C8E" w:themeColor="accent3"/>
        </w:tcBorders>
        <w:shd w:val="clear" w:color="auto" w:fill="F1EBDD" w:themeFill="accent3" w:themeFillTint="3F"/>
      </w:tcPr>
    </w:tblStylePr>
    <w:tblStylePr w:type="band1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insideV w:val="single" w:sz="8" w:space="0" w:color="4A7C8E" w:themeColor="accent3"/>
        </w:tcBorders>
        <w:shd w:val="clear" w:color="auto" w:fill="F1EBDD" w:themeFill="accent3" w:themeFillTint="3F"/>
      </w:tcPr>
    </w:tblStylePr>
    <w:tblStylePr w:type="band2Horz">
      <w:tblPr/>
      <w:tcPr>
        <w:tcBorders>
          <w:top w:val="single" w:sz="8" w:space="0" w:color="4A7C8E" w:themeColor="accent3"/>
          <w:left w:val="single" w:sz="8" w:space="0" w:color="4A7C8E" w:themeColor="accent3"/>
          <w:bottom w:val="single" w:sz="8" w:space="0" w:color="4A7C8E" w:themeColor="accent3"/>
          <w:right w:val="single" w:sz="8" w:space="0" w:color="4A7C8E" w:themeColor="accent3"/>
          <w:insideV w:val="single" w:sz="8" w:space="0" w:color="4A7C8E"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insideH w:val="single" w:sz="8" w:space="0" w:color="D98CA0" w:themeColor="accent4"/>
        <w:insideV w:val="single" w:sz="8" w:space="0" w:color="D98CA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98CA0" w:themeColor="accent4"/>
          <w:left w:val="single" w:sz="8" w:space="0" w:color="D98CA0" w:themeColor="accent4"/>
          <w:bottom w:val="single" w:sz="18" w:space="0" w:color="D98CA0" w:themeColor="accent4"/>
          <w:right w:val="single" w:sz="8" w:space="0" w:color="D98CA0" w:themeColor="accent4"/>
          <w:insideH w:val="nil"/>
          <w:insideV w:val="single" w:sz="8" w:space="0" w:color="D98C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8CA0" w:themeColor="accent4"/>
          <w:left w:val="single" w:sz="8" w:space="0" w:color="D98CA0" w:themeColor="accent4"/>
          <w:bottom w:val="single" w:sz="8" w:space="0" w:color="D98CA0" w:themeColor="accent4"/>
          <w:right w:val="single" w:sz="8" w:space="0" w:color="D98CA0" w:themeColor="accent4"/>
          <w:insideH w:val="nil"/>
          <w:insideV w:val="single" w:sz="8" w:space="0" w:color="D98C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tcPr>
    </w:tblStylePr>
    <w:tblStylePr w:type="band1Vert">
      <w:tblPr/>
      <w:tcPr>
        <w:tcBorders>
          <w:top w:val="single" w:sz="8" w:space="0" w:color="D98CA0" w:themeColor="accent4"/>
          <w:left w:val="single" w:sz="8" w:space="0" w:color="D98CA0" w:themeColor="accent4"/>
          <w:bottom w:val="single" w:sz="8" w:space="0" w:color="D98CA0" w:themeColor="accent4"/>
          <w:right w:val="single" w:sz="8" w:space="0" w:color="D98CA0" w:themeColor="accent4"/>
        </w:tcBorders>
        <w:shd w:val="clear" w:color="auto" w:fill="F2E1E7" w:themeFill="accent4" w:themeFillTint="3F"/>
      </w:tcPr>
    </w:tblStylePr>
    <w:tblStylePr w:type="band1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insideV w:val="single" w:sz="8" w:space="0" w:color="D98CA0" w:themeColor="accent4"/>
        </w:tcBorders>
        <w:shd w:val="clear" w:color="auto" w:fill="F2E1E7" w:themeFill="accent4" w:themeFillTint="3F"/>
      </w:tcPr>
    </w:tblStylePr>
    <w:tblStylePr w:type="band2Horz">
      <w:tblPr/>
      <w:tcPr>
        <w:tcBorders>
          <w:top w:val="single" w:sz="8" w:space="0" w:color="D98CA0" w:themeColor="accent4"/>
          <w:left w:val="single" w:sz="8" w:space="0" w:color="D98CA0" w:themeColor="accent4"/>
          <w:bottom w:val="single" w:sz="8" w:space="0" w:color="D98CA0" w:themeColor="accent4"/>
          <w:right w:val="single" w:sz="8" w:space="0" w:color="D98CA0" w:themeColor="accent4"/>
          <w:insideV w:val="single" w:sz="8" w:space="0" w:color="D98CA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insideH w:val="single" w:sz="8" w:space="0" w:color="4A7C8E" w:themeColor="accent5"/>
        <w:insideV w:val="single" w:sz="8" w:space="0" w:color="4A7C8E"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7C8E" w:themeColor="accent5"/>
          <w:left w:val="single" w:sz="8" w:space="0" w:color="4A7C8E" w:themeColor="accent5"/>
          <w:bottom w:val="single" w:sz="18" w:space="0" w:color="4A7C8E" w:themeColor="accent5"/>
          <w:right w:val="single" w:sz="8" w:space="0" w:color="4A7C8E" w:themeColor="accent5"/>
          <w:insideH w:val="nil"/>
          <w:insideV w:val="single" w:sz="8" w:space="0" w:color="4A7C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7C8E" w:themeColor="accent5"/>
          <w:left w:val="single" w:sz="8" w:space="0" w:color="4A7C8E" w:themeColor="accent5"/>
          <w:bottom w:val="single" w:sz="8" w:space="0" w:color="4A7C8E" w:themeColor="accent5"/>
          <w:right w:val="single" w:sz="8" w:space="0" w:color="4A7C8E" w:themeColor="accent5"/>
          <w:insideH w:val="nil"/>
          <w:insideV w:val="single" w:sz="8" w:space="0" w:color="4A7C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tcPr>
    </w:tblStylePr>
    <w:tblStylePr w:type="band1Vert">
      <w:tblPr/>
      <w:tcPr>
        <w:tcBorders>
          <w:top w:val="single" w:sz="8" w:space="0" w:color="4A7C8E" w:themeColor="accent5"/>
          <w:left w:val="single" w:sz="8" w:space="0" w:color="4A7C8E" w:themeColor="accent5"/>
          <w:bottom w:val="single" w:sz="8" w:space="0" w:color="4A7C8E" w:themeColor="accent5"/>
          <w:right w:val="single" w:sz="8" w:space="0" w:color="4A7C8E" w:themeColor="accent5"/>
        </w:tcBorders>
        <w:shd w:val="clear" w:color="auto" w:fill="D2EAF1" w:themeFill="accent5" w:themeFillTint="3F"/>
      </w:tcPr>
    </w:tblStylePr>
    <w:tblStylePr w:type="band1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insideV w:val="single" w:sz="8" w:space="0" w:color="4A7C8E" w:themeColor="accent5"/>
        </w:tcBorders>
        <w:shd w:val="clear" w:color="auto" w:fill="D2EAF1" w:themeFill="accent5" w:themeFillTint="3F"/>
      </w:tcPr>
    </w:tblStylePr>
    <w:tblStylePr w:type="band2Horz">
      <w:tblPr/>
      <w:tcPr>
        <w:tcBorders>
          <w:top w:val="single" w:sz="8" w:space="0" w:color="4A7C8E" w:themeColor="accent5"/>
          <w:left w:val="single" w:sz="8" w:space="0" w:color="4A7C8E" w:themeColor="accent5"/>
          <w:bottom w:val="single" w:sz="8" w:space="0" w:color="4A7C8E" w:themeColor="accent5"/>
          <w:right w:val="single" w:sz="8" w:space="0" w:color="4A7C8E" w:themeColor="accent5"/>
          <w:insideV w:val="single" w:sz="8" w:space="0" w:color="4A7C8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insideH w:val="single" w:sz="8" w:space="0" w:color="C4843A" w:themeColor="accent6"/>
        <w:insideV w:val="single" w:sz="8" w:space="0" w:color="C4843A"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4843A" w:themeColor="accent6"/>
          <w:left w:val="single" w:sz="8" w:space="0" w:color="C4843A" w:themeColor="accent6"/>
          <w:bottom w:val="single" w:sz="18" w:space="0" w:color="C4843A" w:themeColor="accent6"/>
          <w:right w:val="single" w:sz="8" w:space="0" w:color="C4843A" w:themeColor="accent6"/>
          <w:insideH w:val="nil"/>
          <w:insideV w:val="single" w:sz="8" w:space="0" w:color="C4843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843A" w:themeColor="accent6"/>
          <w:left w:val="single" w:sz="8" w:space="0" w:color="C4843A" w:themeColor="accent6"/>
          <w:bottom w:val="single" w:sz="8" w:space="0" w:color="C4843A" w:themeColor="accent6"/>
          <w:right w:val="single" w:sz="8" w:space="0" w:color="C4843A" w:themeColor="accent6"/>
          <w:insideH w:val="nil"/>
          <w:insideV w:val="single" w:sz="8" w:space="0" w:color="C4843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tcPr>
    </w:tblStylePr>
    <w:tblStylePr w:type="band1Vert">
      <w:tblPr/>
      <w:tcPr>
        <w:tcBorders>
          <w:top w:val="single" w:sz="8" w:space="0" w:color="C4843A" w:themeColor="accent6"/>
          <w:left w:val="single" w:sz="8" w:space="0" w:color="C4843A" w:themeColor="accent6"/>
          <w:bottom w:val="single" w:sz="8" w:space="0" w:color="C4843A" w:themeColor="accent6"/>
          <w:right w:val="single" w:sz="8" w:space="0" w:color="C4843A" w:themeColor="accent6"/>
        </w:tcBorders>
        <w:shd w:val="clear" w:color="auto" w:fill="FDE4D0" w:themeFill="accent6" w:themeFillTint="3F"/>
      </w:tcPr>
    </w:tblStylePr>
    <w:tblStylePr w:type="band1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insideV w:val="single" w:sz="8" w:space="0" w:color="C4843A" w:themeColor="accent6"/>
        </w:tcBorders>
        <w:shd w:val="clear" w:color="auto" w:fill="FDE4D0" w:themeFill="accent6" w:themeFillTint="3F"/>
      </w:tcPr>
    </w:tblStylePr>
    <w:tblStylePr w:type="band2Horz">
      <w:tblPr/>
      <w:tcPr>
        <w:tcBorders>
          <w:top w:val="single" w:sz="8" w:space="0" w:color="C4843A" w:themeColor="accent6"/>
          <w:left w:val="single" w:sz="8" w:space="0" w:color="C4843A" w:themeColor="accent6"/>
          <w:bottom w:val="single" w:sz="8" w:space="0" w:color="C4843A" w:themeColor="accent6"/>
          <w:right w:val="single" w:sz="8" w:space="0" w:color="C4843A" w:themeColor="accent6"/>
          <w:insideV w:val="single" w:sz="8" w:space="0" w:color="C4843A"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single" w:sz="8" w:space="0" w:color="2B2A28"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single" w:sz="8" w:space="0" w:color="4A7C8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nil"/>
          <w:insideV w:val="nil"/>
        </w:tcBorders>
        <w:shd w:val="clear" w:color="auto" w:fill="4A7C8E" w:themeFill="accent1"/>
      </w:tcPr>
    </w:tblStylePr>
    <w:tblStylePr w:type="lastRow">
      <w:pPr>
        <w:spacing w:before="0" w:after="0" w:line="240" w:lineRule="auto"/>
      </w:pPr>
      <w:rPr>
        <w:b/>
        <w:bCs/>
      </w:rPr>
      <w:tblPr/>
      <w:tcPr>
        <w:tcBorders>
          <w:top w:val="double" w:sz="6"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2EDF0" w:themeFill="accent1" w:themeFillTint="3F"/>
      </w:tcPr>
    </w:tblStylePr>
    <w:tblStylePr w:type="band1Horz">
      <w:tblPr/>
      <w:tcPr>
        <w:tcBorders>
          <w:insideH w:val="nil"/>
          <w:insideV w:val="nil"/>
        </w:tcBorders>
        <w:shd w:val="clear" w:color="auto" w:fill="E2ED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single" w:sz="8" w:space="0" w:color="D98CA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nil"/>
          <w:insideV w:val="nil"/>
        </w:tcBorders>
        <w:shd w:val="clear" w:color="auto" w:fill="D98CA0" w:themeFill="accent2"/>
      </w:tcPr>
    </w:tblStylePr>
    <w:tblStylePr w:type="lastRow">
      <w:pPr>
        <w:spacing w:before="0" w:after="0" w:line="240" w:lineRule="auto"/>
      </w:pPr>
      <w:rPr>
        <w:b/>
        <w:bCs/>
      </w:rPr>
      <w:tblPr/>
      <w:tcPr>
        <w:tcBorders>
          <w:top w:val="double" w:sz="6"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E4" w:themeFill="accent2" w:themeFillTint="3F"/>
      </w:tcPr>
    </w:tblStylePr>
    <w:tblStylePr w:type="band1Horz">
      <w:tblPr/>
      <w:tcPr>
        <w:tcBorders>
          <w:insideH w:val="nil"/>
          <w:insideV w:val="nil"/>
        </w:tcBorders>
        <w:shd w:val="clear" w:color="auto" w:fill="F6DFE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single" w:sz="8" w:space="0" w:color="4A7C8E"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nil"/>
          <w:insideV w:val="nil"/>
        </w:tcBorders>
        <w:shd w:val="clear" w:color="auto" w:fill="4A7C8E" w:themeFill="accent3"/>
      </w:tcPr>
    </w:tblStylePr>
    <w:tblStylePr w:type="lastRow">
      <w:pPr>
        <w:spacing w:before="0" w:after="0" w:line="240" w:lineRule="auto"/>
      </w:pPr>
      <w:rPr>
        <w:b/>
        <w:bCs/>
      </w:rPr>
      <w:tblPr/>
      <w:tcPr>
        <w:tcBorders>
          <w:top w:val="double" w:sz="6"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EBDD" w:themeFill="accent3" w:themeFillTint="3F"/>
      </w:tcPr>
    </w:tblStylePr>
    <w:tblStylePr w:type="band1Horz">
      <w:tblPr/>
      <w:tcPr>
        <w:tcBorders>
          <w:insideH w:val="nil"/>
          <w:insideV w:val="nil"/>
        </w:tcBorders>
        <w:shd w:val="clear" w:color="auto" w:fill="F1EBD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single" w:sz="8" w:space="0" w:color="D98CA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nil"/>
          <w:insideV w:val="nil"/>
        </w:tcBorders>
        <w:shd w:val="clear" w:color="auto" w:fill="D98CA0" w:themeFill="accent4"/>
      </w:tcPr>
    </w:tblStylePr>
    <w:tblStylePr w:type="lastRow">
      <w:pPr>
        <w:spacing w:before="0" w:after="0" w:line="240" w:lineRule="auto"/>
      </w:pPr>
      <w:rPr>
        <w:b/>
        <w:bCs/>
      </w:rPr>
      <w:tblPr/>
      <w:tcPr>
        <w:tcBorders>
          <w:top w:val="double" w:sz="6"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E1E7" w:themeFill="accent4" w:themeFillTint="3F"/>
      </w:tcPr>
    </w:tblStylePr>
    <w:tblStylePr w:type="band1Horz">
      <w:tblPr/>
      <w:tcPr>
        <w:tcBorders>
          <w:insideH w:val="nil"/>
          <w:insideV w:val="nil"/>
        </w:tcBorders>
        <w:shd w:val="clear" w:color="auto" w:fill="F2E1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single" w:sz="8" w:space="0" w:color="4A7C8E"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nil"/>
          <w:insideV w:val="nil"/>
        </w:tcBorders>
        <w:shd w:val="clear" w:color="auto" w:fill="4A7C8E" w:themeFill="accent5"/>
      </w:tcPr>
    </w:tblStylePr>
    <w:tblStylePr w:type="lastRow">
      <w:pPr>
        <w:spacing w:before="0" w:after="0" w:line="240" w:lineRule="auto"/>
      </w:pPr>
      <w:rPr>
        <w:b/>
        <w:bCs/>
      </w:rPr>
      <w:tblPr/>
      <w:tcPr>
        <w:tcBorders>
          <w:top w:val="double" w:sz="6"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single" w:sz="8" w:space="0" w:color="C4843A"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nil"/>
          <w:insideV w:val="nil"/>
        </w:tcBorders>
        <w:shd w:val="clear" w:color="auto" w:fill="C4843A" w:themeFill="accent6"/>
      </w:tcPr>
    </w:tblStylePr>
    <w:tblStylePr w:type="lastRow">
      <w:pPr>
        <w:spacing w:before="0" w:after="0" w:line="240" w:lineRule="auto"/>
      </w:pPr>
      <w:rPr>
        <w:b/>
        <w:bCs/>
      </w:rPr>
      <w:tblPr/>
      <w:tcPr>
        <w:tcBorders>
          <w:top w:val="double" w:sz="6"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1"/>
      </w:tcPr>
    </w:tblStylePr>
    <w:tblStylePr w:type="lastCol">
      <w:rPr>
        <w:b/>
        <w:bCs/>
        <w:color w:val="FFFFFF" w:themeColor="background1"/>
      </w:rPr>
      <w:tblPr/>
      <w:tcPr>
        <w:tcBorders>
          <w:left w:val="nil"/>
          <w:right w:val="nil"/>
          <w:insideH w:val="nil"/>
          <w:insideV w:val="nil"/>
        </w:tcBorders>
        <w:shd w:val="clear" w:color="auto" w:fill="4A7C8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8CA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8CA0" w:themeFill="accent2"/>
      </w:tcPr>
    </w:tblStylePr>
    <w:tblStylePr w:type="lastCol">
      <w:rPr>
        <w:b/>
        <w:bCs/>
        <w:color w:val="FFFFFF" w:themeColor="background1"/>
      </w:rPr>
      <w:tblPr/>
      <w:tcPr>
        <w:tcBorders>
          <w:left w:val="nil"/>
          <w:right w:val="nil"/>
          <w:insideH w:val="nil"/>
          <w:insideV w:val="nil"/>
        </w:tcBorders>
        <w:shd w:val="clear" w:color="auto" w:fill="D98CA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3"/>
      </w:tcPr>
    </w:tblStylePr>
    <w:tblStylePr w:type="lastCol">
      <w:rPr>
        <w:b/>
        <w:bCs/>
        <w:color w:val="FFFFFF" w:themeColor="background1"/>
      </w:rPr>
      <w:tblPr/>
      <w:tcPr>
        <w:tcBorders>
          <w:left w:val="nil"/>
          <w:right w:val="nil"/>
          <w:insideH w:val="nil"/>
          <w:insideV w:val="nil"/>
        </w:tcBorders>
        <w:shd w:val="clear" w:color="auto" w:fill="4A7C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8C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8CA0" w:themeFill="accent4"/>
      </w:tcPr>
    </w:tblStylePr>
    <w:tblStylePr w:type="lastCol">
      <w:rPr>
        <w:b/>
        <w:bCs/>
        <w:color w:val="FFFFFF" w:themeColor="background1"/>
      </w:rPr>
      <w:tblPr/>
      <w:tcPr>
        <w:tcBorders>
          <w:left w:val="nil"/>
          <w:right w:val="nil"/>
          <w:insideH w:val="nil"/>
          <w:insideV w:val="nil"/>
        </w:tcBorders>
        <w:shd w:val="clear" w:color="auto" w:fill="D98C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7C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7C8E" w:themeFill="accent5"/>
      </w:tcPr>
    </w:tblStylePr>
    <w:tblStylePr w:type="lastCol">
      <w:rPr>
        <w:b/>
        <w:bCs/>
        <w:color w:val="FFFFFF" w:themeColor="background1"/>
      </w:rPr>
      <w:tblPr/>
      <w:tcPr>
        <w:tcBorders>
          <w:left w:val="nil"/>
          <w:right w:val="nil"/>
          <w:insideH w:val="nil"/>
          <w:insideV w:val="nil"/>
        </w:tcBorders>
        <w:shd w:val="clear" w:color="auto" w:fill="4A7C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843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843A" w:themeFill="accent6"/>
      </w:tcPr>
    </w:tblStylePr>
    <w:tblStylePr w:type="lastCol">
      <w:rPr>
        <w:b/>
        <w:bCs/>
        <w:color w:val="FFFFFF" w:themeColor="background1"/>
      </w:rPr>
      <w:tblPr/>
      <w:tcPr>
        <w:tcBorders>
          <w:left w:val="nil"/>
          <w:right w:val="nil"/>
          <w:insideH w:val="nil"/>
          <w:insideV w:val="nil"/>
        </w:tcBorders>
        <w:shd w:val="clear" w:color="auto" w:fill="C4843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1"/>
        <w:bottom w:val="single" w:sz="8" w:space="0" w:color="4A7C8E"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1"/>
        </w:tcBorders>
      </w:tcPr>
    </w:tblStylePr>
    <w:tblStylePr w:type="lastRow">
      <w:rPr>
        <w:b/>
        <w:bCs/>
        <w:color w:val="1F497D" w:themeColor="text2"/>
      </w:rPr>
      <w:tblPr/>
      <w:tcPr>
        <w:tcBorders>
          <w:top w:val="single" w:sz="8" w:space="0" w:color="4A7C8E" w:themeColor="accent1"/>
          <w:bottom w:val="single" w:sz="8" w:space="0" w:color="4A7C8E" w:themeColor="accent1"/>
        </w:tcBorders>
      </w:tcPr>
    </w:tblStylePr>
    <w:tblStylePr w:type="firstCol">
      <w:rPr>
        <w:b/>
        <w:bCs/>
      </w:rPr>
    </w:tblStylePr>
    <w:tblStylePr w:type="lastCol">
      <w:rPr>
        <w:b/>
        <w:bCs/>
      </w:rPr>
      <w:tblPr/>
      <w:tcPr>
        <w:tcBorders>
          <w:top w:val="single" w:sz="8" w:space="0" w:color="4A7C8E" w:themeColor="accent1"/>
          <w:bottom w:val="single" w:sz="8" w:space="0" w:color="4A7C8E" w:themeColor="accent1"/>
        </w:tcBorders>
      </w:tcPr>
    </w:tblStylePr>
    <w:tblStylePr w:type="band1Vert">
      <w:tblPr/>
      <w:tcPr>
        <w:shd w:val="clear" w:color="auto" w:fill="E2EDF0" w:themeFill="accent1" w:themeFillTint="3F"/>
      </w:tcPr>
    </w:tblStylePr>
    <w:tblStylePr w:type="band1Horz">
      <w:tblPr/>
      <w:tcPr>
        <w:shd w:val="clear" w:color="auto" w:fill="E2ED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98CA0" w:themeColor="accent2"/>
        <w:bottom w:val="single" w:sz="8" w:space="0" w:color="D98CA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98CA0" w:themeColor="accent2"/>
        </w:tcBorders>
      </w:tcPr>
    </w:tblStylePr>
    <w:tblStylePr w:type="lastRow">
      <w:rPr>
        <w:b/>
        <w:bCs/>
        <w:color w:val="1F497D" w:themeColor="text2"/>
      </w:rPr>
      <w:tblPr/>
      <w:tcPr>
        <w:tcBorders>
          <w:top w:val="single" w:sz="8" w:space="0" w:color="D98CA0" w:themeColor="accent2"/>
          <w:bottom w:val="single" w:sz="8" w:space="0" w:color="D98CA0" w:themeColor="accent2"/>
        </w:tcBorders>
      </w:tcPr>
    </w:tblStylePr>
    <w:tblStylePr w:type="firstCol">
      <w:rPr>
        <w:b/>
        <w:bCs/>
      </w:rPr>
    </w:tblStylePr>
    <w:tblStylePr w:type="lastCol">
      <w:rPr>
        <w:b/>
        <w:bCs/>
      </w:rPr>
      <w:tblPr/>
      <w:tcPr>
        <w:tcBorders>
          <w:top w:val="single" w:sz="8" w:space="0" w:color="D98CA0" w:themeColor="accent2"/>
          <w:bottom w:val="single" w:sz="8" w:space="0" w:color="D98CA0" w:themeColor="accent2"/>
        </w:tcBorders>
      </w:tcPr>
    </w:tblStylePr>
    <w:tblStylePr w:type="band1Vert">
      <w:tblPr/>
      <w:tcPr>
        <w:shd w:val="clear" w:color="auto" w:fill="F6DFE4" w:themeFill="accent2" w:themeFillTint="3F"/>
      </w:tcPr>
    </w:tblStylePr>
    <w:tblStylePr w:type="band1Horz">
      <w:tblPr/>
      <w:tcPr>
        <w:shd w:val="clear" w:color="auto" w:fill="F6DFE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3"/>
        <w:bottom w:val="single" w:sz="8" w:space="0" w:color="4A7C8E"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3"/>
        </w:tcBorders>
      </w:tcPr>
    </w:tblStylePr>
    <w:tblStylePr w:type="lastRow">
      <w:rPr>
        <w:b/>
        <w:bCs/>
        <w:color w:val="1F497D" w:themeColor="text2"/>
      </w:rPr>
      <w:tblPr/>
      <w:tcPr>
        <w:tcBorders>
          <w:top w:val="single" w:sz="8" w:space="0" w:color="4A7C8E" w:themeColor="accent3"/>
          <w:bottom w:val="single" w:sz="8" w:space="0" w:color="4A7C8E" w:themeColor="accent3"/>
        </w:tcBorders>
      </w:tcPr>
    </w:tblStylePr>
    <w:tblStylePr w:type="firstCol">
      <w:rPr>
        <w:b/>
        <w:bCs/>
      </w:rPr>
    </w:tblStylePr>
    <w:tblStylePr w:type="lastCol">
      <w:rPr>
        <w:b/>
        <w:bCs/>
      </w:rPr>
      <w:tblPr/>
      <w:tcPr>
        <w:tcBorders>
          <w:top w:val="single" w:sz="8" w:space="0" w:color="4A7C8E" w:themeColor="accent3"/>
          <w:bottom w:val="single" w:sz="8" w:space="0" w:color="4A7C8E" w:themeColor="accent3"/>
        </w:tcBorders>
      </w:tcPr>
    </w:tblStylePr>
    <w:tblStylePr w:type="band1Vert">
      <w:tblPr/>
      <w:tcPr>
        <w:shd w:val="clear" w:color="auto" w:fill="F1EBDD" w:themeFill="accent3" w:themeFillTint="3F"/>
      </w:tcPr>
    </w:tblStylePr>
    <w:tblStylePr w:type="band1Horz">
      <w:tblPr/>
      <w:tcPr>
        <w:shd w:val="clear" w:color="auto" w:fill="F1EBDD"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98CA0" w:themeColor="accent4"/>
        <w:bottom w:val="single" w:sz="8" w:space="0" w:color="D98CA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98CA0" w:themeColor="accent4"/>
        </w:tcBorders>
      </w:tcPr>
    </w:tblStylePr>
    <w:tblStylePr w:type="lastRow">
      <w:rPr>
        <w:b/>
        <w:bCs/>
        <w:color w:val="1F497D" w:themeColor="text2"/>
      </w:rPr>
      <w:tblPr/>
      <w:tcPr>
        <w:tcBorders>
          <w:top w:val="single" w:sz="8" w:space="0" w:color="D98CA0" w:themeColor="accent4"/>
          <w:bottom w:val="single" w:sz="8" w:space="0" w:color="D98CA0" w:themeColor="accent4"/>
        </w:tcBorders>
      </w:tcPr>
    </w:tblStylePr>
    <w:tblStylePr w:type="firstCol">
      <w:rPr>
        <w:b/>
        <w:bCs/>
      </w:rPr>
    </w:tblStylePr>
    <w:tblStylePr w:type="lastCol">
      <w:rPr>
        <w:b/>
        <w:bCs/>
      </w:rPr>
      <w:tblPr/>
      <w:tcPr>
        <w:tcBorders>
          <w:top w:val="single" w:sz="8" w:space="0" w:color="D98CA0" w:themeColor="accent4"/>
          <w:bottom w:val="single" w:sz="8" w:space="0" w:color="D98CA0" w:themeColor="accent4"/>
        </w:tcBorders>
      </w:tcPr>
    </w:tblStylePr>
    <w:tblStylePr w:type="band1Vert">
      <w:tblPr/>
      <w:tcPr>
        <w:shd w:val="clear" w:color="auto" w:fill="F2E1E7" w:themeFill="accent4" w:themeFillTint="3F"/>
      </w:tcPr>
    </w:tblStylePr>
    <w:tblStylePr w:type="band1Horz">
      <w:tblPr/>
      <w:tcPr>
        <w:shd w:val="clear" w:color="auto" w:fill="F2E1E7"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A7C8E" w:themeColor="accent5"/>
        <w:bottom w:val="single" w:sz="8" w:space="0" w:color="4A7C8E"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7C8E" w:themeColor="accent5"/>
        </w:tcBorders>
      </w:tcPr>
    </w:tblStylePr>
    <w:tblStylePr w:type="lastRow">
      <w:rPr>
        <w:b/>
        <w:bCs/>
        <w:color w:val="1F497D" w:themeColor="text2"/>
      </w:rPr>
      <w:tblPr/>
      <w:tcPr>
        <w:tcBorders>
          <w:top w:val="single" w:sz="8" w:space="0" w:color="4A7C8E" w:themeColor="accent5"/>
          <w:bottom w:val="single" w:sz="8" w:space="0" w:color="4A7C8E" w:themeColor="accent5"/>
        </w:tcBorders>
      </w:tcPr>
    </w:tblStylePr>
    <w:tblStylePr w:type="firstCol">
      <w:rPr>
        <w:b/>
        <w:bCs/>
      </w:rPr>
    </w:tblStylePr>
    <w:tblStylePr w:type="lastCol">
      <w:rPr>
        <w:b/>
        <w:bCs/>
      </w:rPr>
      <w:tblPr/>
      <w:tcPr>
        <w:tcBorders>
          <w:top w:val="single" w:sz="8" w:space="0" w:color="4A7C8E" w:themeColor="accent5"/>
          <w:bottom w:val="single" w:sz="8" w:space="0" w:color="4A7C8E"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4843A" w:themeColor="accent6"/>
        <w:bottom w:val="single" w:sz="8" w:space="0" w:color="C4843A"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4843A" w:themeColor="accent6"/>
        </w:tcBorders>
      </w:tcPr>
    </w:tblStylePr>
    <w:tblStylePr w:type="lastRow">
      <w:rPr>
        <w:b/>
        <w:bCs/>
        <w:color w:val="1F497D" w:themeColor="text2"/>
      </w:rPr>
      <w:tblPr/>
      <w:tcPr>
        <w:tcBorders>
          <w:top w:val="single" w:sz="8" w:space="0" w:color="C4843A" w:themeColor="accent6"/>
          <w:bottom w:val="single" w:sz="8" w:space="0" w:color="C4843A" w:themeColor="accent6"/>
        </w:tcBorders>
      </w:tcPr>
    </w:tblStylePr>
    <w:tblStylePr w:type="firstCol">
      <w:rPr>
        <w:b/>
        <w:bCs/>
      </w:rPr>
    </w:tblStylePr>
    <w:tblStylePr w:type="lastCol">
      <w:rPr>
        <w:b/>
        <w:bCs/>
      </w:rPr>
      <w:tblPr/>
      <w:tcPr>
        <w:tcBorders>
          <w:top w:val="single" w:sz="8" w:space="0" w:color="C4843A" w:themeColor="accent6"/>
          <w:bottom w:val="single" w:sz="8" w:space="0" w:color="C4843A"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1"/>
          <w:right w:val="nil"/>
          <w:insideH w:val="nil"/>
          <w:insideV w:val="nil"/>
        </w:tcBorders>
        <w:shd w:val="clear" w:color="auto" w:fill="FFFFFF" w:themeFill="background1"/>
      </w:tcPr>
    </w:tblStylePr>
    <w:tblStylePr w:type="lastRow">
      <w:tblPr/>
      <w:tcPr>
        <w:tcBorders>
          <w:top w:val="single" w:sz="8" w:space="0" w:color="4A7C8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1"/>
          <w:insideH w:val="nil"/>
          <w:insideV w:val="nil"/>
        </w:tcBorders>
        <w:shd w:val="clear" w:color="auto" w:fill="FFFFFF" w:themeFill="background1"/>
      </w:tcPr>
    </w:tblStylePr>
    <w:tblStylePr w:type="lastCol">
      <w:tblPr/>
      <w:tcPr>
        <w:tcBorders>
          <w:top w:val="nil"/>
          <w:left w:val="single" w:sz="8" w:space="0" w:color="4A7C8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DF0" w:themeFill="accent1" w:themeFillTint="3F"/>
      </w:tcPr>
    </w:tblStylePr>
    <w:tblStylePr w:type="band1Horz">
      <w:tblPr/>
      <w:tcPr>
        <w:tcBorders>
          <w:top w:val="nil"/>
          <w:bottom w:val="nil"/>
          <w:insideH w:val="nil"/>
          <w:insideV w:val="nil"/>
        </w:tcBorders>
        <w:shd w:val="clear" w:color="auto" w:fill="E2ED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tblPr/>
      <w:tcPr>
        <w:tcBorders>
          <w:top w:val="single" w:sz="8" w:space="0" w:color="D98CA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8CA0" w:themeColor="accent2"/>
          <w:insideH w:val="nil"/>
          <w:insideV w:val="nil"/>
        </w:tcBorders>
        <w:shd w:val="clear" w:color="auto" w:fill="FFFFFF" w:themeFill="background1"/>
      </w:tcPr>
    </w:tblStylePr>
    <w:tblStylePr w:type="lastCol">
      <w:tblPr/>
      <w:tcPr>
        <w:tcBorders>
          <w:top w:val="nil"/>
          <w:left w:val="single" w:sz="8" w:space="0" w:color="D98CA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E4" w:themeFill="accent2" w:themeFillTint="3F"/>
      </w:tcPr>
    </w:tblStylePr>
    <w:tblStylePr w:type="band1Horz">
      <w:tblPr/>
      <w:tcPr>
        <w:tcBorders>
          <w:top w:val="nil"/>
          <w:bottom w:val="nil"/>
          <w:insideH w:val="nil"/>
          <w:insideV w:val="nil"/>
        </w:tcBorders>
        <w:shd w:val="clear" w:color="auto" w:fill="F6DFE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3"/>
          <w:right w:val="nil"/>
          <w:insideH w:val="nil"/>
          <w:insideV w:val="nil"/>
        </w:tcBorders>
        <w:shd w:val="clear" w:color="auto" w:fill="FFFFFF" w:themeFill="background1"/>
      </w:tcPr>
    </w:tblStylePr>
    <w:tblStylePr w:type="lastRow">
      <w:tblPr/>
      <w:tcPr>
        <w:tcBorders>
          <w:top w:val="single" w:sz="8" w:space="0" w:color="4A7C8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3"/>
          <w:insideH w:val="nil"/>
          <w:insideV w:val="nil"/>
        </w:tcBorders>
        <w:shd w:val="clear" w:color="auto" w:fill="FFFFFF" w:themeFill="background1"/>
      </w:tcPr>
    </w:tblStylePr>
    <w:tblStylePr w:type="lastCol">
      <w:tblPr/>
      <w:tcPr>
        <w:tcBorders>
          <w:top w:val="nil"/>
          <w:left w:val="single" w:sz="8" w:space="0" w:color="4A7C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BDD" w:themeFill="accent3" w:themeFillTint="3F"/>
      </w:tcPr>
    </w:tblStylePr>
    <w:tblStylePr w:type="band1Horz">
      <w:tblPr/>
      <w:tcPr>
        <w:tcBorders>
          <w:top w:val="nil"/>
          <w:bottom w:val="nil"/>
          <w:insideH w:val="nil"/>
          <w:insideV w:val="nil"/>
        </w:tcBorders>
        <w:shd w:val="clear" w:color="auto" w:fill="F1EBD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D98CA0" w:themeColor="accent4"/>
          <w:right w:val="nil"/>
          <w:insideH w:val="nil"/>
          <w:insideV w:val="nil"/>
        </w:tcBorders>
        <w:shd w:val="clear" w:color="auto" w:fill="FFFFFF" w:themeFill="background1"/>
      </w:tcPr>
    </w:tblStylePr>
    <w:tblStylePr w:type="lastRow">
      <w:tblPr/>
      <w:tcPr>
        <w:tcBorders>
          <w:top w:val="single" w:sz="8" w:space="0" w:color="D98CA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8CA0" w:themeColor="accent4"/>
          <w:insideH w:val="nil"/>
          <w:insideV w:val="nil"/>
        </w:tcBorders>
        <w:shd w:val="clear" w:color="auto" w:fill="FFFFFF" w:themeFill="background1"/>
      </w:tcPr>
    </w:tblStylePr>
    <w:tblStylePr w:type="lastCol">
      <w:tblPr/>
      <w:tcPr>
        <w:tcBorders>
          <w:top w:val="nil"/>
          <w:left w:val="single" w:sz="8" w:space="0" w:color="D98C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1E7" w:themeFill="accent4" w:themeFillTint="3F"/>
      </w:tcPr>
    </w:tblStylePr>
    <w:tblStylePr w:type="band1Horz">
      <w:tblPr/>
      <w:tcPr>
        <w:tcBorders>
          <w:top w:val="nil"/>
          <w:bottom w:val="nil"/>
          <w:insideH w:val="nil"/>
          <w:insideV w:val="nil"/>
        </w:tcBorders>
        <w:shd w:val="clear" w:color="auto" w:fill="F2E1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A7C8E" w:themeColor="accent5"/>
          <w:right w:val="nil"/>
          <w:insideH w:val="nil"/>
          <w:insideV w:val="nil"/>
        </w:tcBorders>
        <w:shd w:val="clear" w:color="auto" w:fill="FFFFFF" w:themeFill="background1"/>
      </w:tcPr>
    </w:tblStylePr>
    <w:tblStylePr w:type="lastRow">
      <w:tblPr/>
      <w:tcPr>
        <w:tcBorders>
          <w:top w:val="single" w:sz="8" w:space="0" w:color="4A7C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7C8E" w:themeColor="accent5"/>
          <w:insideH w:val="nil"/>
          <w:insideV w:val="nil"/>
        </w:tcBorders>
        <w:shd w:val="clear" w:color="auto" w:fill="FFFFFF" w:themeFill="background1"/>
      </w:tcPr>
    </w:tblStylePr>
    <w:tblStylePr w:type="lastCol">
      <w:tblPr/>
      <w:tcPr>
        <w:tcBorders>
          <w:top w:val="nil"/>
          <w:left w:val="single" w:sz="8" w:space="0" w:color="4A7C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C4843A" w:themeColor="accent6"/>
          <w:right w:val="nil"/>
          <w:insideH w:val="nil"/>
          <w:insideV w:val="nil"/>
        </w:tcBorders>
        <w:shd w:val="clear" w:color="auto" w:fill="FFFFFF" w:themeFill="background1"/>
      </w:tcPr>
    </w:tblStylePr>
    <w:tblStylePr w:type="lastRow">
      <w:tblPr/>
      <w:tcPr>
        <w:tcBorders>
          <w:top w:val="single" w:sz="8" w:space="0" w:color="C4843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843A" w:themeColor="accent6"/>
          <w:insideH w:val="nil"/>
          <w:insideV w:val="nil"/>
        </w:tcBorders>
        <w:shd w:val="clear" w:color="auto" w:fill="FFFFFF" w:themeFill="background1"/>
      </w:tcPr>
    </w:tblStylePr>
    <w:tblStylePr w:type="lastCol">
      <w:tblPr/>
      <w:tcPr>
        <w:tcBorders>
          <w:top w:val="nil"/>
          <w:left w:val="single" w:sz="8" w:space="0" w:color="C4843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2B2A28" w:themeColor="text1" w:themeTint="BF"/>
        <w:left w:val="single" w:sz="8" w:space="0" w:color="2B2A28" w:themeColor="text1" w:themeTint="BF"/>
        <w:bottom w:val="single" w:sz="8" w:space="0" w:color="2B2A28" w:themeColor="text1" w:themeTint="BF"/>
        <w:right w:val="single" w:sz="8" w:space="0" w:color="2B2A28" w:themeColor="text1" w:themeTint="BF"/>
        <w:insideH w:val="single" w:sz="8" w:space="0" w:color="2B2A28" w:themeColor="text1" w:themeTint="BF"/>
        <w:insideV w:val="single" w:sz="8" w:space="0" w:color="2B2A28"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2B2A28"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4A7C8E" w:themeColor="accent1" w:themeTint="BF"/>
        <w:left w:val="single" w:sz="8" w:space="0" w:color="4A7C8E" w:themeColor="accent1" w:themeTint="BF"/>
        <w:bottom w:val="single" w:sz="8" w:space="0" w:color="4A7C8E" w:themeColor="accent1" w:themeTint="BF"/>
        <w:right w:val="single" w:sz="8" w:space="0" w:color="4A7C8E" w:themeColor="accent1" w:themeTint="BF"/>
        <w:insideH w:val="single" w:sz="8" w:space="0" w:color="4A7C8E" w:themeColor="accent1" w:themeTint="BF"/>
        <w:insideV w:val="single" w:sz="8" w:space="0" w:color="4A7C8E" w:themeColor="accent1" w:themeTint="BF"/>
      </w:tblBorders>
      <w:tblCellMar>
        <w:top w:w="0" w:type="dxa"/>
        <w:left w:w="108" w:type="dxa"/>
        <w:bottom w:w="0" w:type="dxa"/>
        <w:right w:w="108" w:type="dxa"/>
      </w:tblCellMar>
    </w:tblPr>
    <w:tcPr>
      <w:shd w:val="clear" w:color="auto" w:fill="E2EDF0" w:themeFill="accent1" w:themeFillTint="3F"/>
    </w:tcPr>
    <w:tblStylePr w:type="firstRow">
      <w:rPr>
        <w:b/>
        <w:bCs/>
      </w:rPr>
    </w:tblStylePr>
    <w:tblStylePr w:type="lastRow">
      <w:rPr>
        <w:b/>
        <w:bCs/>
      </w:rPr>
      <w:tblPr/>
      <w:tcPr>
        <w:tcBorders>
          <w:top w:val="single" w:sz="18" w:space="0" w:color="4A7C8E"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D98CA0" w:themeColor="accent2" w:themeTint="BF"/>
        <w:left w:val="single" w:sz="8" w:space="0" w:color="D98CA0" w:themeColor="accent2" w:themeTint="BF"/>
        <w:bottom w:val="single" w:sz="8" w:space="0" w:color="D98CA0" w:themeColor="accent2" w:themeTint="BF"/>
        <w:right w:val="single" w:sz="8" w:space="0" w:color="D98CA0" w:themeColor="accent2" w:themeTint="BF"/>
        <w:insideH w:val="single" w:sz="8" w:space="0" w:color="D98CA0" w:themeColor="accent2" w:themeTint="BF"/>
        <w:insideV w:val="single" w:sz="8" w:space="0" w:color="D98CA0" w:themeColor="accent2" w:themeTint="BF"/>
      </w:tblBorders>
      <w:tblCellMar>
        <w:top w:w="0" w:type="dxa"/>
        <w:left w:w="108" w:type="dxa"/>
        <w:bottom w:w="0" w:type="dxa"/>
        <w:right w:w="108" w:type="dxa"/>
      </w:tblCellMar>
    </w:tblPr>
    <w:tcPr>
      <w:shd w:val="clear" w:color="auto" w:fill="F6DFE4" w:themeFill="accent2" w:themeFillTint="3F"/>
    </w:tcPr>
    <w:tblStylePr w:type="firstRow">
      <w:rPr>
        <w:b/>
        <w:bCs/>
      </w:rPr>
    </w:tblStylePr>
    <w:tblStylePr w:type="lastRow">
      <w:rPr>
        <w:b/>
        <w:bCs/>
      </w:rPr>
      <w:tblPr/>
      <w:tcPr>
        <w:tcBorders>
          <w:top w:val="single" w:sz="18" w:space="0" w:color="D98CA0"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4A7C8E" w:themeColor="accent3" w:themeTint="BF"/>
        <w:left w:val="single" w:sz="8" w:space="0" w:color="4A7C8E" w:themeColor="accent3" w:themeTint="BF"/>
        <w:bottom w:val="single" w:sz="8" w:space="0" w:color="4A7C8E" w:themeColor="accent3" w:themeTint="BF"/>
        <w:right w:val="single" w:sz="8" w:space="0" w:color="4A7C8E" w:themeColor="accent3" w:themeTint="BF"/>
        <w:insideH w:val="single" w:sz="8" w:space="0" w:color="4A7C8E" w:themeColor="accent3" w:themeTint="BF"/>
        <w:insideV w:val="single" w:sz="8" w:space="0" w:color="4A7C8E" w:themeColor="accent3" w:themeTint="BF"/>
      </w:tblBorders>
      <w:tblCellMar>
        <w:top w:w="0" w:type="dxa"/>
        <w:left w:w="108" w:type="dxa"/>
        <w:bottom w:w="0" w:type="dxa"/>
        <w:right w:w="108" w:type="dxa"/>
      </w:tblCellMar>
    </w:tblPr>
    <w:tcPr>
      <w:shd w:val="clear" w:color="auto" w:fill="F1EBDD" w:themeFill="accent3" w:themeFillTint="3F"/>
    </w:tcPr>
    <w:tblStylePr w:type="firstRow">
      <w:rPr>
        <w:b/>
        <w:bCs/>
      </w:rPr>
    </w:tblStylePr>
    <w:tblStylePr w:type="lastRow">
      <w:rPr>
        <w:b/>
        <w:bCs/>
      </w:rPr>
      <w:tblPr/>
      <w:tcPr>
        <w:tcBorders>
          <w:top w:val="single" w:sz="18" w:space="0" w:color="4A7C8E"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D98CA0" w:themeColor="accent4" w:themeTint="BF"/>
        <w:left w:val="single" w:sz="8" w:space="0" w:color="D98CA0" w:themeColor="accent4" w:themeTint="BF"/>
        <w:bottom w:val="single" w:sz="8" w:space="0" w:color="D98CA0" w:themeColor="accent4" w:themeTint="BF"/>
        <w:right w:val="single" w:sz="8" w:space="0" w:color="D98CA0" w:themeColor="accent4" w:themeTint="BF"/>
        <w:insideH w:val="single" w:sz="8" w:space="0" w:color="D98CA0" w:themeColor="accent4" w:themeTint="BF"/>
        <w:insideV w:val="single" w:sz="8" w:space="0" w:color="D98CA0" w:themeColor="accent4" w:themeTint="BF"/>
      </w:tblBorders>
      <w:tblCellMar>
        <w:top w:w="0" w:type="dxa"/>
        <w:left w:w="108" w:type="dxa"/>
        <w:bottom w:w="0" w:type="dxa"/>
        <w:right w:w="108" w:type="dxa"/>
      </w:tblCellMar>
    </w:tblPr>
    <w:tcPr>
      <w:shd w:val="clear" w:color="auto" w:fill="F2E1E7" w:themeFill="accent4" w:themeFillTint="3F"/>
    </w:tcPr>
    <w:tblStylePr w:type="firstRow">
      <w:rPr>
        <w:b/>
        <w:bCs/>
      </w:rPr>
    </w:tblStylePr>
    <w:tblStylePr w:type="lastRow">
      <w:rPr>
        <w:b/>
        <w:bCs/>
      </w:rPr>
      <w:tblPr/>
      <w:tcPr>
        <w:tcBorders>
          <w:top w:val="single" w:sz="18" w:space="0" w:color="D98CA0"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4A7C8E" w:themeColor="accent5" w:themeTint="BF"/>
        <w:left w:val="single" w:sz="8" w:space="0" w:color="4A7C8E" w:themeColor="accent5" w:themeTint="BF"/>
        <w:bottom w:val="single" w:sz="8" w:space="0" w:color="4A7C8E" w:themeColor="accent5" w:themeTint="BF"/>
        <w:right w:val="single" w:sz="8" w:space="0" w:color="4A7C8E" w:themeColor="accent5" w:themeTint="BF"/>
        <w:insideH w:val="single" w:sz="8" w:space="0" w:color="4A7C8E" w:themeColor="accent5" w:themeTint="BF"/>
        <w:insideV w:val="single" w:sz="8" w:space="0" w:color="4A7C8E"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A7C8E"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4843A" w:themeColor="accent6" w:themeTint="BF"/>
        <w:left w:val="single" w:sz="8" w:space="0" w:color="C4843A" w:themeColor="accent6" w:themeTint="BF"/>
        <w:bottom w:val="single" w:sz="8" w:space="0" w:color="C4843A" w:themeColor="accent6" w:themeTint="BF"/>
        <w:right w:val="single" w:sz="8" w:space="0" w:color="C4843A" w:themeColor="accent6" w:themeTint="BF"/>
        <w:insideH w:val="single" w:sz="8" w:space="0" w:color="C4843A" w:themeColor="accent6" w:themeTint="BF"/>
        <w:insideV w:val="single" w:sz="8" w:space="0" w:color="C4843A"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C4843A"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1"/>
        <w:left w:val="single" w:sz="8" w:space="0" w:color="4A7C8E" w:themeColor="accent1"/>
        <w:bottom w:val="single" w:sz="8" w:space="0" w:color="4A7C8E" w:themeColor="accent1"/>
        <w:right w:val="single" w:sz="8" w:space="0" w:color="4A7C8E" w:themeColor="accent1"/>
        <w:insideH w:val="single" w:sz="8" w:space="0" w:color="4A7C8E" w:themeColor="accent1"/>
        <w:insideV w:val="single" w:sz="8" w:space="0" w:color="4A7C8E" w:themeColor="accent1"/>
      </w:tblBorders>
      <w:tblCellMar>
        <w:top w:w="0" w:type="dxa"/>
        <w:left w:w="108" w:type="dxa"/>
        <w:bottom w:w="0" w:type="dxa"/>
        <w:right w:w="108" w:type="dxa"/>
      </w:tblCellMar>
    </w:tblPr>
    <w:tcPr>
      <w:shd w:val="clear" w:color="auto" w:fill="E2EDF0"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A7C8E" w:themeColor="accent1"/>
          <w:insideV w:val="single" w:sz="6" w:space="0" w:color="4A7C8E"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2"/>
        <w:left w:val="single" w:sz="8" w:space="0" w:color="D98CA0" w:themeColor="accent2"/>
        <w:bottom w:val="single" w:sz="8" w:space="0" w:color="D98CA0" w:themeColor="accent2"/>
        <w:right w:val="single" w:sz="8" w:space="0" w:color="D98CA0" w:themeColor="accent2"/>
        <w:insideH w:val="single" w:sz="8" w:space="0" w:color="D98CA0" w:themeColor="accent2"/>
        <w:insideV w:val="single" w:sz="8" w:space="0" w:color="D98CA0" w:themeColor="accent2"/>
      </w:tblBorders>
      <w:tblCellMar>
        <w:top w:w="0" w:type="dxa"/>
        <w:left w:w="108" w:type="dxa"/>
        <w:bottom w:w="0" w:type="dxa"/>
        <w:right w:w="108" w:type="dxa"/>
      </w:tblCellMar>
    </w:tblPr>
    <w:tcPr>
      <w:shd w:val="clear" w:color="auto" w:fill="F6DFE4"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D98CA0" w:themeColor="accent2"/>
          <w:insideV w:val="single" w:sz="6" w:space="0" w:color="D98CA0"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3"/>
        <w:left w:val="single" w:sz="8" w:space="0" w:color="4A7C8E" w:themeColor="accent3"/>
        <w:bottom w:val="single" w:sz="8" w:space="0" w:color="4A7C8E" w:themeColor="accent3"/>
        <w:right w:val="single" w:sz="8" w:space="0" w:color="4A7C8E" w:themeColor="accent3"/>
        <w:insideH w:val="single" w:sz="8" w:space="0" w:color="4A7C8E" w:themeColor="accent3"/>
        <w:insideV w:val="single" w:sz="8" w:space="0" w:color="4A7C8E" w:themeColor="accent3"/>
      </w:tblBorders>
      <w:tblCellMar>
        <w:top w:w="0" w:type="dxa"/>
        <w:left w:w="108" w:type="dxa"/>
        <w:bottom w:w="0" w:type="dxa"/>
        <w:right w:w="108" w:type="dxa"/>
      </w:tblCellMar>
    </w:tblPr>
    <w:tcPr>
      <w:shd w:val="clear" w:color="auto" w:fill="F1EBDD"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4A7C8E" w:themeColor="accent3"/>
          <w:insideV w:val="single" w:sz="6" w:space="0" w:color="4A7C8E"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98CA0" w:themeColor="accent4"/>
        <w:left w:val="single" w:sz="8" w:space="0" w:color="D98CA0" w:themeColor="accent4"/>
        <w:bottom w:val="single" w:sz="8" w:space="0" w:color="D98CA0" w:themeColor="accent4"/>
        <w:right w:val="single" w:sz="8" w:space="0" w:color="D98CA0" w:themeColor="accent4"/>
        <w:insideH w:val="single" w:sz="8" w:space="0" w:color="D98CA0" w:themeColor="accent4"/>
        <w:insideV w:val="single" w:sz="8" w:space="0" w:color="D98CA0" w:themeColor="accent4"/>
      </w:tblBorders>
      <w:tblCellMar>
        <w:top w:w="0" w:type="dxa"/>
        <w:left w:w="108" w:type="dxa"/>
        <w:bottom w:w="0" w:type="dxa"/>
        <w:right w:w="108" w:type="dxa"/>
      </w:tblCellMar>
    </w:tblPr>
    <w:tcPr>
      <w:shd w:val="clear" w:color="auto" w:fill="F2E1E7"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D98CA0" w:themeColor="accent4"/>
          <w:insideV w:val="single" w:sz="6" w:space="0" w:color="D98CA0"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7C8E" w:themeColor="accent5"/>
        <w:left w:val="single" w:sz="8" w:space="0" w:color="4A7C8E" w:themeColor="accent5"/>
        <w:bottom w:val="single" w:sz="8" w:space="0" w:color="4A7C8E" w:themeColor="accent5"/>
        <w:right w:val="single" w:sz="8" w:space="0" w:color="4A7C8E" w:themeColor="accent5"/>
        <w:insideH w:val="single" w:sz="8" w:space="0" w:color="4A7C8E" w:themeColor="accent5"/>
        <w:insideV w:val="single" w:sz="8" w:space="0" w:color="4A7C8E"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A7C8E" w:themeColor="accent5"/>
          <w:insideV w:val="single" w:sz="6" w:space="0" w:color="4A7C8E"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4843A" w:themeColor="accent6"/>
        <w:left w:val="single" w:sz="8" w:space="0" w:color="C4843A" w:themeColor="accent6"/>
        <w:bottom w:val="single" w:sz="8" w:space="0" w:color="C4843A" w:themeColor="accent6"/>
        <w:right w:val="single" w:sz="8" w:space="0" w:color="C4843A" w:themeColor="accent6"/>
        <w:insideH w:val="single" w:sz="8" w:space="0" w:color="C4843A" w:themeColor="accent6"/>
        <w:insideV w:val="single" w:sz="8" w:space="0" w:color="C4843A"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C4843A" w:themeColor="accent6"/>
          <w:insideV w:val="single" w:sz="6" w:space="0" w:color="C4843A"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2ED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DFE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8CA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8CA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8CA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8CA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1EBD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E1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8C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8C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8C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8C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7C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7C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7C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7C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843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843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843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843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98CA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98C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7C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4843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4A7C8E" w:themeColor="accent1"/>
        <w:bottom w:val="single" w:sz="4" w:space="0" w:color="4A7C8E" w:themeColor="accent1"/>
        <w:right w:val="single" w:sz="4" w:space="0" w:color="4A7C8E"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2"/>
        <w:left w:val="single" w:sz="4" w:space="0" w:color="D98CA0" w:themeColor="accent2"/>
        <w:bottom w:val="single" w:sz="4" w:space="0" w:color="D98CA0" w:themeColor="accent2"/>
        <w:right w:val="single" w:sz="4" w:space="0" w:color="D98CA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D98C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D98CA0" w:themeColor="accent4"/>
        <w:left w:val="single" w:sz="4" w:space="0" w:color="4A7C8E" w:themeColor="accent3"/>
        <w:bottom w:val="single" w:sz="4" w:space="0" w:color="4A7C8E" w:themeColor="accent3"/>
        <w:right w:val="single" w:sz="4" w:space="0" w:color="4A7C8E"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D98C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A7C8E" w:themeColor="accent3"/>
        <w:left w:val="single" w:sz="4" w:space="0" w:color="D98CA0" w:themeColor="accent4"/>
        <w:bottom w:val="single" w:sz="4" w:space="0" w:color="D98CA0" w:themeColor="accent4"/>
        <w:right w:val="single" w:sz="4" w:space="0" w:color="D98CA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4A7C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4843A" w:themeColor="accent6"/>
        <w:left w:val="single" w:sz="4" w:space="0" w:color="4A7C8E" w:themeColor="accent5"/>
        <w:bottom w:val="single" w:sz="4" w:space="0" w:color="4A7C8E" w:themeColor="accent5"/>
        <w:right w:val="single" w:sz="4" w:space="0" w:color="4A7C8E"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C4843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A7C8E" w:themeColor="accent5"/>
        <w:left w:val="single" w:sz="4" w:space="0" w:color="C4843A" w:themeColor="accent6"/>
        <w:bottom w:val="single" w:sz="4" w:space="0" w:color="C4843A" w:themeColor="accent6"/>
        <w:right w:val="single" w:sz="4" w:space="0" w:color="C4843A"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A7C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DF0"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E4"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BDD"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1E7"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A7C8E"/>
      </a:accent1>
      <a:accent2>
        <a:srgbClr val="D98CA0"/>
      </a:accent2>
      <a:accent3>
        <a:srgbClr val="4A7C8E"/>
      </a:accent3>
      <a:accent4>
        <a:srgbClr val="D98CA0"/>
      </a:accent4>
      <a:accent5>
        <a:srgbClr val="4A7C8E"/>
      </a:accent5>
      <a:accent6>
        <a:srgbClr val="C4843A"/>
      </a:accent6>
      <a:hlink>
        <a:srgbClr val="0000FF"/>
      </a:hlink>
      <a:folHlink>
        <a:srgbClr val="800080"/>
      </a:folHlink>
    </a:clrScheme>
    <a:fontScheme name="Office">
      <a:majorFont>
        <a:latin typeface="DejaVu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DejaVu Sans"/>
        <a:font script="Hebr" typeface="DejaVu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DejaVu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Basin Scenario Repository Portfolio — Expanded v3</dc:title>
  <dc:subject>Authoritative methodology, scenario coverage, semantic kernel import, implementation approach, and rollout roadmap</dc:subject>
  <dc:creator>Betsy Salter | Salt Basin Holdings</dc:creator>
  <cp:keywords>Salt Basin, scenario repository, EIDOS, SBHOS, metadata, atoms, molecules, rods, thesis ledger, DataBasin, source estate</cp:keywords>
  <dc:description>Expanded v3 prepared from authoritative pasted chat context and source estate; claim-safe and extensible.</dc:description>
  <cp:lastModifiedBy/>
  <cp:revision>1</cp:revision>
  <dcterms:created xsi:type="dcterms:W3CDTF">2013-12-23T23:15:00Z</dcterms:created>
  <dcterms:modified xsi:type="dcterms:W3CDTF">2013-12-23T23:15:00Z</dcterms:modified>
  <cp:category/>
</cp:coreProperties>
</file>