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finbridgeco-handoveros"/>
    <w:p>
      <w:pPr>
        <w:pStyle w:val="Heading1"/>
      </w:pPr>
      <w:r>
        <w:t xml:space="preserve">FinBridgeCo / HandoverOS</w:t>
      </w:r>
    </w:p>
    <w:bookmarkStart w:id="20" w:name="X547ffd74441d53c54361db43c6121e2f63b5d22"/>
    <w:p>
      <w:pPr>
        <w:pStyle w:val="Heading2"/>
      </w:pPr>
      <w:r>
        <w:t xml:space="preserve">Enterprise Data Architecture, Mapping Logic, Scenario Engine, and Operational Intelligence Framework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executive-summary"/>
    <w:p>
      <w:pPr>
        <w:pStyle w:val="Heading1"/>
      </w:pPr>
      <w:r>
        <w:t xml:space="preserve">1. Executive Summary</w:t>
      </w:r>
    </w:p>
    <w:p>
      <w:pPr>
        <w:pStyle w:val="FirstParagraph"/>
      </w:pPr>
      <w:r>
        <w:t xml:space="preserve">FinBridgeCo / HandoverOS is a Private Equity operational intelligence platform designed to unify:</w:t>
      </w:r>
    </w:p>
    <w:p>
      <w:pPr>
        <w:pStyle w:val="Compact"/>
        <w:numPr>
          <w:ilvl w:val="0"/>
          <w:numId w:val="1001"/>
        </w:numPr>
      </w:pPr>
      <w:r>
        <w:t xml:space="preserve">Fund intelligence</w:t>
      </w:r>
    </w:p>
    <w:p>
      <w:pPr>
        <w:pStyle w:val="Compact"/>
        <w:numPr>
          <w:ilvl w:val="0"/>
          <w:numId w:val="1001"/>
        </w:numPr>
      </w:pPr>
      <w:r>
        <w:t xml:space="preserve">Portfolio company operational intelligence</w:t>
      </w:r>
    </w:p>
    <w:p>
      <w:pPr>
        <w:pStyle w:val="Compact"/>
        <w:numPr>
          <w:ilvl w:val="0"/>
          <w:numId w:val="1001"/>
        </w:numPr>
      </w:pPr>
      <w:r>
        <w:t xml:space="preserve">Quote-to-revenue intelligence</w:t>
      </w:r>
    </w:p>
    <w:p>
      <w:pPr>
        <w:pStyle w:val="Compact"/>
        <w:numPr>
          <w:ilvl w:val="0"/>
          <w:numId w:val="1001"/>
        </w:numPr>
      </w:pPr>
      <w:r>
        <w:t xml:space="preserve">CRM pipelines</w:t>
      </w:r>
    </w:p>
    <w:p>
      <w:pPr>
        <w:pStyle w:val="Compact"/>
        <w:numPr>
          <w:ilvl w:val="0"/>
          <w:numId w:val="1001"/>
        </w:numPr>
      </w:pPr>
      <w:r>
        <w:t xml:space="preserve">Waterfall economics</w:t>
      </w:r>
    </w:p>
    <w:p>
      <w:pPr>
        <w:pStyle w:val="Compact"/>
        <w:numPr>
          <w:ilvl w:val="0"/>
          <w:numId w:val="1001"/>
        </w:numPr>
      </w:pPr>
      <w:r>
        <w:t xml:space="preserve">Revenue leakage detection</w:t>
      </w:r>
    </w:p>
    <w:p>
      <w:pPr>
        <w:pStyle w:val="Compact"/>
        <w:numPr>
          <w:ilvl w:val="0"/>
          <w:numId w:val="1001"/>
        </w:numPr>
      </w:pPr>
      <w:r>
        <w:t xml:space="preserve">Expected vs. actual performance analysis</w:t>
      </w:r>
    </w:p>
    <w:p>
      <w:pPr>
        <w:pStyle w:val="Compact"/>
        <w:numPr>
          <w:ilvl w:val="0"/>
          <w:numId w:val="1001"/>
        </w:numPr>
      </w:pPr>
      <w:r>
        <w:t xml:space="preserve">Reconciliation confidence scoring</w:t>
      </w:r>
    </w:p>
    <w:p>
      <w:pPr>
        <w:pStyle w:val="Compact"/>
        <w:numPr>
          <w:ilvl w:val="0"/>
          <w:numId w:val="1001"/>
        </w:numPr>
      </w:pPr>
      <w:r>
        <w:t xml:space="preserve">Data lineage and audit traceability</w:t>
      </w:r>
    </w:p>
    <w:p>
      <w:pPr>
        <w:pStyle w:val="Compact"/>
        <w:numPr>
          <w:ilvl w:val="0"/>
          <w:numId w:val="1001"/>
        </w:numPr>
      </w:pPr>
      <w:r>
        <w:t xml:space="preserve">AI-assisted operational risk detection</w:t>
      </w:r>
    </w:p>
    <w:p>
      <w:pPr>
        <w:pStyle w:val="FirstParagraph"/>
      </w:pPr>
      <w:r>
        <w:t xml:space="preserve">The core differentiator of the platform is:</w:t>
      </w:r>
    </w:p>
    <w:p>
      <w:pPr>
        <w:pStyle w:val="BlockText"/>
      </w:pPr>
      <w:r>
        <w:t xml:space="preserve">Every number in the system is traceable back to its originating source, transformation logic, and business methodology.</w:t>
      </w:r>
    </w:p>
    <w:p>
      <w:pPr>
        <w:pStyle w:val="FirstParagraph"/>
      </w:pPr>
      <w:r>
        <w:t xml:space="preserve">The platform acts as a:</w:t>
      </w:r>
    </w:p>
    <w:p>
      <w:pPr>
        <w:pStyle w:val="Compact"/>
        <w:numPr>
          <w:ilvl w:val="0"/>
          <w:numId w:val="1002"/>
        </w:numPr>
      </w:pPr>
      <w:r>
        <w:t xml:space="preserve">Financial intelligence layer</w:t>
      </w:r>
    </w:p>
    <w:p>
      <w:pPr>
        <w:pStyle w:val="Compact"/>
        <w:numPr>
          <w:ilvl w:val="0"/>
          <w:numId w:val="1002"/>
        </w:numPr>
      </w:pPr>
      <w:r>
        <w:t xml:space="preserve">Data governance engine</w:t>
      </w:r>
    </w:p>
    <w:p>
      <w:pPr>
        <w:pStyle w:val="Compact"/>
        <w:numPr>
          <w:ilvl w:val="0"/>
          <w:numId w:val="1002"/>
        </w:numPr>
      </w:pPr>
      <w:r>
        <w:t xml:space="preserve">Rules evaluation framework</w:t>
      </w:r>
    </w:p>
    <w:p>
      <w:pPr>
        <w:pStyle w:val="Compact"/>
        <w:numPr>
          <w:ilvl w:val="0"/>
          <w:numId w:val="1002"/>
        </w:numPr>
      </w:pPr>
      <w:r>
        <w:t xml:space="preserve">Portfolio operational monitoring platform</w:t>
      </w:r>
    </w:p>
    <w:p>
      <w:pPr>
        <w:pStyle w:val="Compact"/>
        <w:numPr>
          <w:ilvl w:val="0"/>
          <w:numId w:val="1002"/>
        </w:numPr>
      </w:pPr>
      <w:r>
        <w:t xml:space="preserve">Investment reconciliation system</w:t>
      </w:r>
    </w:p>
    <w:p>
      <w:pPr>
        <w:pStyle w:val="Compact"/>
        <w:numPr>
          <w:ilvl w:val="0"/>
          <w:numId w:val="1002"/>
        </w:numPr>
      </w:pPr>
      <w:r>
        <w:t xml:space="preserve">Revenue assurance engine</w:t>
      </w:r>
    </w:p>
    <w:p>
      <w:pPr>
        <w:pStyle w:val="Compact"/>
        <w:numPr>
          <w:ilvl w:val="0"/>
          <w:numId w:val="1002"/>
        </w:numPr>
      </w:pPr>
      <w:r>
        <w:t xml:space="preserve">AI-assisted operating model</w:t>
      </w:r>
    </w:p>
    <w:p>
      <w:r>
        <w:pict>
          <v:rect style="width:0;height:1.5pt" o:hralign="center" o:hrstd="t" o:hr="t"/>
        </w:pict>
      </w:r>
    </w:p>
    <w:bookmarkEnd w:id="22"/>
    <w:bookmarkStart w:id="29" w:name="architectural-philosophy"/>
    <w:p>
      <w:pPr>
        <w:pStyle w:val="Heading1"/>
      </w:pPr>
      <w:r>
        <w:t xml:space="preserve">2. Architectural Philosophy</w:t>
      </w:r>
    </w:p>
    <w:bookmarkStart w:id="28" w:name="primary-design-principles"/>
    <w:p>
      <w:pPr>
        <w:pStyle w:val="Heading2"/>
      </w:pPr>
      <w:r>
        <w:t xml:space="preserve">2.1 Primary Design Principles</w:t>
      </w:r>
    </w:p>
    <w:bookmarkStart w:id="23" w:name="a.-data-lineage-first"/>
    <w:p>
      <w:pPr>
        <w:pStyle w:val="Heading3"/>
      </w:pPr>
      <w:r>
        <w:t xml:space="preserve">A. Data Lineage First</w:t>
      </w:r>
    </w:p>
    <w:p>
      <w:pPr>
        <w:pStyle w:val="FirstParagraph"/>
      </w:pPr>
      <w:r>
        <w:t xml:space="preserve">Every calculated metric must trace back to:</w:t>
      </w:r>
    </w:p>
    <w:p>
      <w:pPr>
        <w:pStyle w:val="Compact"/>
        <w:numPr>
          <w:ilvl w:val="0"/>
          <w:numId w:val="1003"/>
        </w:numPr>
      </w:pPr>
      <w:r>
        <w:t xml:space="preserve">Source system</w:t>
      </w:r>
    </w:p>
    <w:p>
      <w:pPr>
        <w:pStyle w:val="Compact"/>
        <w:numPr>
          <w:ilvl w:val="0"/>
          <w:numId w:val="1003"/>
        </w:numPr>
      </w:pPr>
      <w:r>
        <w:t xml:space="preserve">Source table</w:t>
      </w:r>
    </w:p>
    <w:p>
      <w:pPr>
        <w:pStyle w:val="Compact"/>
        <w:numPr>
          <w:ilvl w:val="0"/>
          <w:numId w:val="1003"/>
        </w:numPr>
      </w:pPr>
      <w:r>
        <w:t xml:space="preserve">Source field</w:t>
      </w:r>
    </w:p>
    <w:p>
      <w:pPr>
        <w:pStyle w:val="Compact"/>
        <w:numPr>
          <w:ilvl w:val="0"/>
          <w:numId w:val="1003"/>
        </w:numPr>
      </w:pPr>
      <w:r>
        <w:t xml:space="preserve">Transformation logic</w:t>
      </w:r>
    </w:p>
    <w:p>
      <w:pPr>
        <w:pStyle w:val="Compact"/>
        <w:numPr>
          <w:ilvl w:val="0"/>
          <w:numId w:val="1003"/>
        </w:numPr>
      </w:pPr>
      <w:r>
        <w:t xml:space="preserve">Mapping logic</w:t>
      </w:r>
    </w:p>
    <w:p>
      <w:pPr>
        <w:pStyle w:val="Compact"/>
        <w:numPr>
          <w:ilvl w:val="0"/>
          <w:numId w:val="1003"/>
        </w:numPr>
      </w:pPr>
      <w:r>
        <w:t xml:space="preserve">Timestamp</w:t>
      </w:r>
    </w:p>
    <w:p>
      <w:pPr>
        <w:pStyle w:val="Compact"/>
        <w:numPr>
          <w:ilvl w:val="0"/>
          <w:numId w:val="1003"/>
        </w:numPr>
      </w:pPr>
      <w:r>
        <w:t xml:space="preserve">Snapshot version</w:t>
      </w:r>
    </w:p>
    <w:p>
      <w:pPr>
        <w:pStyle w:val="Compact"/>
        <w:numPr>
          <w:ilvl w:val="0"/>
          <w:numId w:val="1003"/>
        </w:numPr>
      </w:pPr>
      <w:r>
        <w:t xml:space="preserve">User override history</w:t>
      </w:r>
    </w:p>
    <w:p>
      <w:pPr>
        <w:pStyle w:val="Compact"/>
        <w:numPr>
          <w:ilvl w:val="0"/>
          <w:numId w:val="1003"/>
        </w:numPr>
      </w:pPr>
      <w:r>
        <w:t xml:space="preserve">Calculation methodology</w:t>
      </w:r>
    </w:p>
    <w:p>
      <w:pPr>
        <w:pStyle w:val="FirstParagraph"/>
      </w:pPr>
      <w:r>
        <w:t xml:space="preserve">No dashboard metric exists without traceability.</w:t>
      </w:r>
    </w:p>
    <w:p>
      <w:r>
        <w:pict>
          <v:rect style="width:0;height:1.5pt" o:hralign="center" o:hrstd="t" o:hr="t"/>
        </w:pict>
      </w:r>
    </w:p>
    <w:bookmarkEnd w:id="23"/>
    <w:bookmarkStart w:id="24" w:name="b.-multi-entity-role-resolution"/>
    <w:p>
      <w:pPr>
        <w:pStyle w:val="Heading3"/>
      </w:pPr>
      <w:r>
        <w:t xml:space="preserve">B. Multi-Entity Role Resolution</w:t>
      </w:r>
    </w:p>
    <w:p>
      <w:pPr>
        <w:pStyle w:val="FirstParagraph"/>
      </w:pPr>
      <w:r>
        <w:t xml:space="preserve">The same user can simultaneously act as:</w:t>
      </w:r>
    </w:p>
    <w:p>
      <w:pPr>
        <w:pStyle w:val="Compact"/>
        <w:numPr>
          <w:ilvl w:val="0"/>
          <w:numId w:val="1004"/>
        </w:numPr>
      </w:pPr>
      <w:r>
        <w:t xml:space="preserve">GP in one fund</w:t>
      </w:r>
    </w:p>
    <w:p>
      <w:pPr>
        <w:pStyle w:val="Compact"/>
        <w:numPr>
          <w:ilvl w:val="0"/>
          <w:numId w:val="1004"/>
        </w:numPr>
      </w:pPr>
      <w:r>
        <w:t xml:space="preserve">LP in another</w:t>
      </w:r>
    </w:p>
    <w:p>
      <w:pPr>
        <w:pStyle w:val="Compact"/>
        <w:numPr>
          <w:ilvl w:val="0"/>
          <w:numId w:val="1004"/>
        </w:numPr>
      </w:pPr>
      <w:r>
        <w:t xml:space="preserve">Operating partner elsewhere</w:t>
      </w:r>
    </w:p>
    <w:p>
      <w:pPr>
        <w:pStyle w:val="Compact"/>
        <w:numPr>
          <w:ilvl w:val="0"/>
          <w:numId w:val="1004"/>
        </w:numPr>
      </w:pPr>
      <w:r>
        <w:t xml:space="preserve">CFO at a portfolio company</w:t>
      </w:r>
    </w:p>
    <w:p>
      <w:pPr>
        <w:pStyle w:val="FirstParagraph"/>
      </w:pPr>
      <w:r>
        <w:t xml:space="preserve">Authorization is resolved dynamically:</w:t>
      </w:r>
    </w:p>
    <w:p>
      <w:pPr>
        <w:pStyle w:val="SourceCode"/>
      </w:pPr>
      <w:r>
        <w:rPr>
          <w:rStyle w:val="VerbatimChar"/>
        </w:rPr>
        <w:t xml:space="preserve">User → Investment Relationship → Entity Context → Role Resolution → View Permissions</w:t>
      </w:r>
    </w:p>
    <w:p>
      <w:r>
        <w:pict>
          <v:rect style="width:0;height:1.5pt" o:hralign="center" o:hrstd="t" o:hr="t"/>
        </w:pict>
      </w:r>
    </w:p>
    <w:bookmarkEnd w:id="24"/>
    <w:bookmarkStart w:id="25" w:name="c.-scenarios-are-rules-not-flags"/>
    <w:p>
      <w:pPr>
        <w:pStyle w:val="Heading3"/>
      </w:pPr>
      <w:r>
        <w:t xml:space="preserve">C. Scenarios are Rules, Not Flags</w:t>
      </w:r>
    </w:p>
    <w:p>
      <w:pPr>
        <w:pStyle w:val="FirstParagraph"/>
      </w:pPr>
      <w:r>
        <w:t xml:space="preserve">Leakage scenarios are evaluated dynamically using live operational data.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5"/>
        </w:numPr>
      </w:pPr>
      <w:r>
        <w:t xml:space="preserve">Missed price escalations</w:t>
      </w:r>
    </w:p>
    <w:p>
      <w:pPr>
        <w:pStyle w:val="Compact"/>
        <w:numPr>
          <w:ilvl w:val="0"/>
          <w:numId w:val="1005"/>
        </w:numPr>
      </w:pPr>
      <w:r>
        <w:t xml:space="preserve">Amendment billing divergence</w:t>
      </w:r>
    </w:p>
    <w:p>
      <w:pPr>
        <w:pStyle w:val="Compact"/>
        <w:numPr>
          <w:ilvl w:val="0"/>
          <w:numId w:val="1005"/>
        </w:numPr>
      </w:pPr>
      <w:r>
        <w:t xml:space="preserve">Usage tier mismatches</w:t>
      </w:r>
    </w:p>
    <w:p>
      <w:pPr>
        <w:pStyle w:val="Compact"/>
        <w:numPr>
          <w:ilvl w:val="0"/>
          <w:numId w:val="1005"/>
        </w:numPr>
      </w:pPr>
      <w:r>
        <w:t xml:space="preserve">Churn anomalies</w:t>
      </w:r>
    </w:p>
    <w:p>
      <w:pPr>
        <w:pStyle w:val="Compact"/>
        <w:numPr>
          <w:ilvl w:val="0"/>
          <w:numId w:val="1005"/>
        </w:numPr>
      </w:pPr>
      <w:r>
        <w:t xml:space="preserve">Revenue recognition drift</w:t>
      </w:r>
    </w:p>
    <w:p>
      <w:pPr>
        <w:pStyle w:val="Compact"/>
        <w:numPr>
          <w:ilvl w:val="0"/>
          <w:numId w:val="1005"/>
        </w:numPr>
      </w:pPr>
      <w:r>
        <w:t xml:space="preserve">Invoice exception leakage</w:t>
      </w:r>
    </w:p>
    <w:p>
      <w:pPr>
        <w:pStyle w:val="Compact"/>
        <w:numPr>
          <w:ilvl w:val="0"/>
          <w:numId w:val="1005"/>
        </w:numPr>
      </w:pPr>
      <w:r>
        <w:t xml:space="preserve">Contractual uplift failures</w:t>
      </w:r>
    </w:p>
    <w:p>
      <w:pPr>
        <w:pStyle w:val="FirstParagraph"/>
      </w:pPr>
      <w:r>
        <w:t xml:space="preserve">Scenarios are configurable rules engines.</w:t>
      </w:r>
    </w:p>
    <w:p>
      <w:r>
        <w:pict>
          <v:rect style="width:0;height:1.5pt" o:hralign="center" o:hrstd="t" o:hr="t"/>
        </w:pict>
      </w:r>
    </w:p>
    <w:bookmarkEnd w:id="25"/>
    <w:bookmarkStart w:id="26" w:name="d.-waterfalls-are-formula-systems"/>
    <w:p>
      <w:pPr>
        <w:pStyle w:val="Heading3"/>
      </w:pPr>
      <w:r>
        <w:t xml:space="preserve">D. Waterfalls are Formula Systems</w:t>
      </w:r>
    </w:p>
    <w:p>
      <w:pPr>
        <w:pStyle w:val="FirstParagraph"/>
      </w:pPr>
      <w:r>
        <w:t xml:space="preserve">Waterfalls are:</w:t>
      </w:r>
    </w:p>
    <w:p>
      <w:pPr>
        <w:pStyle w:val="Compact"/>
        <w:numPr>
          <w:ilvl w:val="0"/>
          <w:numId w:val="1006"/>
        </w:numPr>
      </w:pPr>
      <w:r>
        <w:t xml:space="preserve">Dynamically recalculated</w:t>
      </w:r>
    </w:p>
    <w:p>
      <w:pPr>
        <w:pStyle w:val="Compact"/>
        <w:numPr>
          <w:ilvl w:val="0"/>
          <w:numId w:val="1006"/>
        </w:numPr>
      </w:pPr>
      <w:r>
        <w:t xml:space="preserve">Formula-driven</w:t>
      </w:r>
    </w:p>
    <w:p>
      <w:pPr>
        <w:pStyle w:val="Compact"/>
        <w:numPr>
          <w:ilvl w:val="0"/>
          <w:numId w:val="1006"/>
        </w:numPr>
      </w:pPr>
      <w:r>
        <w:t xml:space="preserve">Methodology-configurable</w:t>
      </w:r>
    </w:p>
    <w:p>
      <w:pPr>
        <w:pStyle w:val="Compact"/>
        <w:numPr>
          <w:ilvl w:val="0"/>
          <w:numId w:val="1006"/>
        </w:numPr>
      </w:pPr>
      <w:r>
        <w:t xml:space="preserve">Scenario-sensitive</w:t>
      </w:r>
    </w:p>
    <w:p>
      <w:pPr>
        <w:pStyle w:val="Compact"/>
        <w:numPr>
          <w:ilvl w:val="0"/>
          <w:numId w:val="1006"/>
        </w:numPr>
      </w:pPr>
      <w:r>
        <w:t xml:space="preserve">Ownership-sensitive</w:t>
      </w:r>
    </w:p>
    <w:p>
      <w:pPr>
        <w:pStyle w:val="FirstParagraph"/>
      </w:pPr>
      <w:r>
        <w:t xml:space="preserve">Not static calculations.</w:t>
      </w:r>
    </w:p>
    <w:p>
      <w:r>
        <w:pict>
          <v:rect style="width:0;height:1.5pt" o:hralign="center" o:hrstd="t" o:hr="t"/>
        </w:pict>
      </w:r>
    </w:p>
    <w:bookmarkEnd w:id="26"/>
    <w:bookmarkStart w:id="27" w:name="X8a06ba476e176872eb17aca543435bb5c02077d"/>
    <w:p>
      <w:pPr>
        <w:pStyle w:val="Heading3"/>
      </w:pPr>
      <w:r>
        <w:t xml:space="preserve">E. Operational Intelligence Reconciles Upward to Fund Intelligence</w:t>
      </w:r>
    </w:p>
    <w:p>
      <w:pPr>
        <w:pStyle w:val="FirstParagraph"/>
      </w:pPr>
      <w:r>
        <w:t xml:space="preserve">Operational metrics roll upward into:</w:t>
      </w:r>
    </w:p>
    <w:p>
      <w:pPr>
        <w:pStyle w:val="Compact"/>
        <w:numPr>
          <w:ilvl w:val="0"/>
          <w:numId w:val="1007"/>
        </w:numPr>
      </w:pPr>
      <w:r>
        <w:t xml:space="preserve">Fund performance</w:t>
      </w:r>
    </w:p>
    <w:p>
      <w:pPr>
        <w:pStyle w:val="Compact"/>
        <w:numPr>
          <w:ilvl w:val="0"/>
          <w:numId w:val="1007"/>
        </w:numPr>
      </w:pPr>
      <w:r>
        <w:t xml:space="preserve">MOIC projections</w:t>
      </w:r>
    </w:p>
    <w:p>
      <w:pPr>
        <w:pStyle w:val="Compact"/>
        <w:numPr>
          <w:ilvl w:val="0"/>
          <w:numId w:val="1007"/>
        </w:numPr>
      </w:pPr>
      <w:r>
        <w:t xml:space="preserve">IRR trajectories</w:t>
      </w:r>
    </w:p>
    <w:p>
      <w:pPr>
        <w:pStyle w:val="Compact"/>
        <w:numPr>
          <w:ilvl w:val="0"/>
          <w:numId w:val="1007"/>
        </w:numPr>
      </w:pPr>
      <w:r>
        <w:t xml:space="preserve">Liquidity exposure</w:t>
      </w:r>
    </w:p>
    <w:p>
      <w:pPr>
        <w:pStyle w:val="Compact"/>
        <w:numPr>
          <w:ilvl w:val="0"/>
          <w:numId w:val="1007"/>
        </w:numPr>
      </w:pPr>
      <w:r>
        <w:t xml:space="preserve">Value creation tracking</w:t>
      </w:r>
    </w:p>
    <w:p>
      <w:pPr>
        <w:pStyle w:val="Compact"/>
        <w:numPr>
          <w:ilvl w:val="0"/>
          <w:numId w:val="1007"/>
        </w:numPr>
      </w:pPr>
      <w:r>
        <w:t xml:space="preserve">Investment thesis alignment</w:t>
      </w:r>
    </w:p>
    <w:p>
      <w:pPr>
        <w:pStyle w:val="FirstParagraph"/>
      </w:pPr>
      <w:r>
        <w:t xml:space="preserve">This creates:</w:t>
      </w:r>
    </w:p>
    <w:p>
      <w:pPr>
        <w:pStyle w:val="SourceCode"/>
      </w:pPr>
      <w:r>
        <w:rPr>
          <w:rStyle w:val="VerbatimChar"/>
        </w:rPr>
        <w:t xml:space="preserve">Operational Intelligence → Portfolio Intelligence → Fund Intelligence</w:t>
      </w:r>
    </w:p>
    <w:p>
      <w:r>
        <w:pict>
          <v:rect style="width:0;height:1.5pt" o:hralign="center" o:hrstd="t" o:hr="t"/>
        </w:pict>
      </w:r>
    </w:p>
    <w:bookmarkEnd w:id="27"/>
    <w:bookmarkEnd w:id="28"/>
    <w:bookmarkEnd w:id="29"/>
    <w:bookmarkStart w:id="31" w:name="enterprise-system-architecture"/>
    <w:p>
      <w:pPr>
        <w:pStyle w:val="Heading1"/>
      </w:pPr>
      <w:r>
        <w:t xml:space="preserve">3. Enterprise System Architecture</w:t>
      </w:r>
    </w:p>
    <w:bookmarkStart w:id="30" w:name="logical-architecture"/>
    <w:p>
      <w:pPr>
        <w:pStyle w:val="Heading2"/>
      </w:pPr>
      <w:r>
        <w:t xml:space="preserve">3.1 Logical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USER LAYER                  │</w:t>
      </w:r>
      <w:r>
        <w:br/>
      </w:r>
      <w:r>
        <w:rPr>
          <w:rStyle w:val="VerbatimChar"/>
        </w:rPr>
        <w:t xml:space="preserve">│ GP | LP | CFO | Operator | Analyst | Admin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EXPERIENCE LAYER              │</w:t>
      </w:r>
      <w:r>
        <w:br/>
      </w:r>
      <w:r>
        <w:rPr>
          <w:rStyle w:val="VerbatimChar"/>
        </w:rPr>
        <w:t xml:space="preserve">│ React UI / Dashboards / Workflows / AI UI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APPLICATION LAYER              │</w:t>
      </w:r>
      <w:r>
        <w:br/>
      </w:r>
      <w:r>
        <w:rPr>
          <w:rStyle w:val="VerbatimChar"/>
        </w:rPr>
        <w:t xml:space="preserve">│                                             │</w:t>
      </w:r>
      <w:r>
        <w:br/>
      </w:r>
      <w:r>
        <w:rPr>
          <w:rStyle w:val="VerbatimChar"/>
        </w:rPr>
        <w:t xml:space="preserve">│ Rules Engine                               │</w:t>
      </w:r>
      <w:r>
        <w:br/>
      </w:r>
      <w:r>
        <w:rPr>
          <w:rStyle w:val="VerbatimChar"/>
        </w:rPr>
        <w:t xml:space="preserve">│ Formula Engine                             │</w:t>
      </w:r>
      <w:r>
        <w:br/>
      </w:r>
      <w:r>
        <w:rPr>
          <w:rStyle w:val="VerbatimChar"/>
        </w:rPr>
        <w:t xml:space="preserve">│ Mapping Engine                             │</w:t>
      </w:r>
      <w:r>
        <w:br/>
      </w:r>
      <w:r>
        <w:rPr>
          <w:rStyle w:val="VerbatimChar"/>
        </w:rPr>
        <w:t xml:space="preserve">│ Waterfall Engine                           │</w:t>
      </w:r>
      <w:r>
        <w:br/>
      </w:r>
      <w:r>
        <w:rPr>
          <w:rStyle w:val="VerbatimChar"/>
        </w:rPr>
        <w:t xml:space="preserve">│ CRM Integration Engine                     │</w:t>
      </w:r>
      <w:r>
        <w:br/>
      </w:r>
      <w:r>
        <w:rPr>
          <w:rStyle w:val="VerbatimChar"/>
        </w:rPr>
        <w:t xml:space="preserve">│ Lineage Engine                             │</w:t>
      </w:r>
      <w:r>
        <w:br/>
      </w:r>
      <w:r>
        <w:rPr>
          <w:rStyle w:val="VerbatimChar"/>
        </w:rPr>
        <w:t xml:space="preserve">│ Reconciliation Engine                      │</w:t>
      </w:r>
      <w:r>
        <w:br/>
      </w:r>
      <w:r>
        <w:rPr>
          <w:rStyle w:val="VerbatimChar"/>
        </w:rPr>
        <w:t xml:space="preserve">│ Scenario Evaluation Engine                 │</w:t>
      </w:r>
      <w:r>
        <w:br/>
      </w:r>
      <w:r>
        <w:rPr>
          <w:rStyle w:val="VerbatimChar"/>
        </w:rPr>
        <w:t xml:space="preserve">│ Confidence Scoring Engine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DATA LAYER                 │</w:t>
      </w:r>
      <w:r>
        <w:br/>
      </w:r>
      <w:r>
        <w:rPr>
          <w:rStyle w:val="VerbatimChar"/>
        </w:rPr>
        <w:t xml:space="preserve">│ MongoDB Atlas                              │</w:t>
      </w:r>
      <w:r>
        <w:br/>
      </w:r>
      <w:r>
        <w:rPr>
          <w:rStyle w:val="VerbatimChar"/>
        </w:rPr>
        <w:t xml:space="preserve">│ Snapshots                                  │</w:t>
      </w:r>
      <w:r>
        <w:br/>
      </w:r>
      <w:r>
        <w:rPr>
          <w:rStyle w:val="VerbatimChar"/>
        </w:rPr>
        <w:t xml:space="preserve">│ Historical Ledger                          │</w:t>
      </w:r>
      <w:r>
        <w:br/>
      </w:r>
      <w:r>
        <w:rPr>
          <w:rStyle w:val="VerbatimChar"/>
        </w:rPr>
        <w:t xml:space="preserve">│ Versioned Mappings                         │</w:t>
      </w:r>
      <w:r>
        <w:br/>
      </w:r>
      <w:r>
        <w:rPr>
          <w:rStyle w:val="VerbatimChar"/>
        </w:rPr>
        <w:t xml:space="preserve">│ Rule Evaluations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SOURCE SYSTEMS               │</w:t>
      </w:r>
      <w:r>
        <w:br/>
      </w:r>
      <w:r>
        <w:rPr>
          <w:rStyle w:val="VerbatimChar"/>
        </w:rPr>
        <w:t xml:space="preserve">│ Salesforce                                 │</w:t>
      </w:r>
      <w:r>
        <w:br/>
      </w:r>
      <w:r>
        <w:rPr>
          <w:rStyle w:val="VerbatimChar"/>
        </w:rPr>
        <w:t xml:space="preserve">│ HubSpot                                    │</w:t>
      </w:r>
      <w:r>
        <w:br/>
      </w:r>
      <w:r>
        <w:rPr>
          <w:rStyle w:val="VerbatimChar"/>
        </w:rPr>
        <w:t xml:space="preserve">│ NetSuite                                   │</w:t>
      </w:r>
      <w:r>
        <w:br/>
      </w:r>
      <w:r>
        <w:rPr>
          <w:rStyle w:val="VerbatimChar"/>
        </w:rPr>
        <w:t xml:space="preserve">│ QuickBooks                                 │</w:t>
      </w:r>
      <w:r>
        <w:br/>
      </w:r>
      <w:r>
        <w:rPr>
          <w:rStyle w:val="VerbatimChar"/>
        </w:rPr>
        <w:t xml:space="preserve">│ Excel Uploads                              │</w:t>
      </w:r>
      <w:r>
        <w:br/>
      </w:r>
      <w:r>
        <w:rPr>
          <w:rStyle w:val="VerbatimChar"/>
        </w:rPr>
        <w:t xml:space="preserve">│ APIs                                       │</w:t>
      </w:r>
      <w:r>
        <w:br/>
      </w:r>
      <w:r>
        <w:rPr>
          <w:rStyle w:val="VerbatimChar"/>
        </w:rPr>
        <w:t xml:space="preserve">│ Manual Inputs                              │</w:t>
      </w:r>
      <w:r>
        <w:br/>
      </w:r>
      <w:r>
        <w:rPr>
          <w:rStyle w:val="VerbatimChar"/>
        </w:rPr>
        <w:t xml:space="preserve">│ ERP Systems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core-data-domains"/>
    <w:p>
      <w:pPr>
        <w:pStyle w:val="Heading1"/>
      </w:pPr>
      <w:r>
        <w:t xml:space="preserve">4. Core Data Domains</w:t>
      </w:r>
    </w:p>
    <w:bookmarkStart w:id="32" w:name="domain-architecture"/>
    <w:p>
      <w:pPr>
        <w:pStyle w:val="Heading2"/>
      </w:pPr>
      <w:r>
        <w:t xml:space="preserve">4.1 Domain Architecture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Fund Domain</w:t>
            </w:r>
          </w:p>
        </w:tc>
        <w:tc>
          <w:tcPr/>
          <w:p>
            <w:pPr>
              <w:pStyle w:val="Compact"/>
            </w:pPr>
            <w:r>
              <w:t xml:space="preserve">Fund economics and ownership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Portfolio Domain</w:t>
            </w:r>
          </w:p>
        </w:tc>
        <w:tc>
          <w:tcPr/>
          <w:p>
            <w:pPr>
              <w:pStyle w:val="Compact"/>
            </w:pPr>
            <w:r>
              <w:t xml:space="preserve">Portfolio operational metrics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CRM Domain</w:t>
            </w:r>
          </w:p>
        </w:tc>
        <w:tc>
          <w:tcPr/>
          <w:p>
            <w:pPr>
              <w:pStyle w:val="Compact"/>
            </w:pPr>
            <w:r>
              <w:t xml:space="preserve">Pipeline and opportunity intelligence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Revenue Domain</w:t>
            </w:r>
          </w:p>
        </w:tc>
        <w:tc>
          <w:tcPr/>
          <w:p>
            <w:pPr>
              <w:pStyle w:val="Compact"/>
            </w:pPr>
            <w:r>
              <w:t xml:space="preserve">ARR, NRR, churn, expansion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Waterfall Domain</w:t>
            </w:r>
          </w:p>
        </w:tc>
        <w:tc>
          <w:tcPr/>
          <w:p>
            <w:pPr>
              <w:pStyle w:val="Compact"/>
            </w:pPr>
            <w:r>
              <w:t xml:space="preserve">Distribution calculations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Mapping Domain</w:t>
            </w:r>
          </w:p>
        </w:tc>
        <w:tc>
          <w:tcPr/>
          <w:p>
            <w:pPr>
              <w:pStyle w:val="Compact"/>
            </w:pPr>
            <w:r>
              <w:t xml:space="preserve">Source-to-metric translation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Scenario Domain</w:t>
            </w:r>
          </w:p>
        </w:tc>
        <w:tc>
          <w:tcPr/>
          <w:p>
            <w:pPr>
              <w:pStyle w:val="Compact"/>
            </w:pPr>
            <w:r>
              <w:t xml:space="preserve">Leakage and operational risk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Lineage Domain</w:t>
            </w:r>
          </w:p>
        </w:tc>
        <w:tc>
          <w:tcPr/>
          <w:p>
            <w:pPr>
              <w:pStyle w:val="Compact"/>
            </w:pPr>
            <w:r>
              <w:t xml:space="preserve">Traceability and auditability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Reconciliation Domain</w:t>
            </w:r>
          </w:p>
        </w:tc>
        <w:tc>
          <w:tcPr/>
          <w:p>
            <w:pPr>
              <w:pStyle w:val="Compact"/>
            </w:pPr>
            <w:r>
              <w:t xml:space="preserve">Expected vs actual comparison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Domain</w:t>
            </w:r>
          </w:p>
        </w:tc>
        <w:tc>
          <w:tcPr/>
          <w:p>
            <w:pPr>
              <w:pStyle w:val="Compact"/>
            </w:pPr>
            <w:r>
              <w:t xml:space="preserve">Role-per-investment access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4" w:name="canonical-data-model"/>
    <w:p>
      <w:pPr>
        <w:pStyle w:val="Heading1"/>
      </w:pPr>
      <w:r>
        <w:t xml:space="preserve">5. Canonical Data Model</w:t>
      </w:r>
    </w:p>
    <w:bookmarkEnd w:id="34"/>
    <w:bookmarkStart w:id="35" w:name="tenant"/>
    <w:p>
      <w:pPr>
        <w:pStyle w:val="Heading1"/>
      </w:pPr>
      <w:r>
        <w:t xml:space="preserve">5.1 Tenant</w:t>
      </w:r>
    </w:p>
    <w:p>
      <w:pPr>
        <w:pStyle w:val="SourceCode"/>
      </w:pPr>
      <w:r>
        <w:rPr>
          <w:rStyle w:val="ErrorTok"/>
        </w:rPr>
        <w:t xml:space="preserve">Tenant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_id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name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status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feature_flags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default_confidence_weights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created_at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updated_at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5"/>
    <w:bookmarkStart w:id="36" w:name="user"/>
    <w:p>
      <w:pPr>
        <w:pStyle w:val="Heading1"/>
      </w:pPr>
      <w:r>
        <w:t xml:space="preserve">5.2 User</w:t>
      </w:r>
    </w:p>
    <w:p>
      <w:pPr>
        <w:pStyle w:val="SourceCode"/>
      </w:pPr>
      <w:r>
        <w:rPr>
          <w:rStyle w:val="ErrorTok"/>
        </w:rPr>
        <w:t xml:space="preserve">User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_id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tenant_id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first_name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last_name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email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entity_type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status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last_login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created_at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6"/>
    <w:bookmarkStart w:id="37" w:name="user-investments"/>
    <w:p>
      <w:pPr>
        <w:pStyle w:val="Heading1"/>
      </w:pPr>
      <w:r>
        <w:t xml:space="preserve">5.3 User Investments</w:t>
      </w:r>
    </w:p>
    <w:p>
      <w:pPr>
        <w:pStyle w:val="SourceCode"/>
      </w:pPr>
      <w:r>
        <w:rPr>
          <w:rStyle w:val="ErrorTok"/>
        </w:rPr>
        <w:t xml:space="preserve">UserInvestment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_id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user_id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entity_type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entity_id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role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effective_start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effective_end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permissions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7"/>
    <w:bookmarkStart w:id="38" w:name="fund"/>
    <w:p>
      <w:pPr>
        <w:pStyle w:val="Heading1"/>
      </w:pPr>
      <w:r>
        <w:t xml:space="preserve">5.4 Fund</w:t>
      </w:r>
    </w:p>
    <w:p>
      <w:pPr>
        <w:pStyle w:val="SourceCode"/>
      </w:pPr>
      <w:r>
        <w:rPr>
          <w:rStyle w:val="ErrorTok"/>
        </w:rPr>
        <w:t xml:space="preserve">Fund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_id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tenant_id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name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vintage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fund_size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carry_pct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hurdle_rate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methodology_type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status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created_at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8"/>
    <w:bookmarkStart w:id="39" w:name="portfolio-company"/>
    <w:p>
      <w:pPr>
        <w:pStyle w:val="Heading1"/>
      </w:pPr>
      <w:r>
        <w:t xml:space="preserve">5.5 Portfolio Company</w:t>
      </w:r>
    </w:p>
    <w:p>
      <w:pPr>
        <w:pStyle w:val="SourceCode"/>
      </w:pPr>
      <w:r>
        <w:rPr>
          <w:rStyle w:val="ErrorTok"/>
        </w:rPr>
        <w:t xml:space="preserve">Portco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_id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tenant_id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fund_id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name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industry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headquarters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status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ownership_stake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ownership_type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acquisition_date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investment_thesis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confidence_weights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created_at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9"/>
    <w:bookmarkStart w:id="40" w:name="fund-portco-relationship"/>
    <w:p>
      <w:pPr>
        <w:pStyle w:val="Heading1"/>
      </w:pPr>
      <w:r>
        <w:t xml:space="preserve">5.6 Fund-Portco Relationship</w:t>
      </w:r>
    </w:p>
    <w:p>
      <w:pPr>
        <w:pStyle w:val="SourceCode"/>
      </w:pPr>
      <w:r>
        <w:rPr>
          <w:rStyle w:val="ErrorTok"/>
        </w:rPr>
        <w:t xml:space="preserve">FundPortco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_id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fund_id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portco_id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ownership_stake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ownership_type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effective_date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transaction_reference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active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0"/>
    <w:bookmarkStart w:id="41" w:name="data-source"/>
    <w:p>
      <w:pPr>
        <w:pStyle w:val="Heading1"/>
      </w:pPr>
      <w:r>
        <w:t xml:space="preserve">5.7 Data Source</w:t>
      </w:r>
    </w:p>
    <w:p>
      <w:pPr>
        <w:pStyle w:val="SourceCode"/>
      </w:pPr>
      <w:r>
        <w:rPr>
          <w:rStyle w:val="ErrorTok"/>
        </w:rPr>
        <w:t xml:space="preserve">DataSource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_id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tenant_id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portco_id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source_name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source_type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connection_type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sync_frequency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last_sync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sync_status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authentication_metadata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active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1"/>
    <w:bookmarkStart w:id="42" w:name="field-mapping"/>
    <w:p>
      <w:pPr>
        <w:pStyle w:val="Heading1"/>
      </w:pPr>
      <w:r>
        <w:t xml:space="preserve">5.8 Field Mapping</w:t>
      </w:r>
    </w:p>
    <w:p>
      <w:pPr>
        <w:pStyle w:val="SourceCode"/>
      </w:pPr>
      <w:r>
        <w:rPr>
          <w:rStyle w:val="ErrorTok"/>
        </w:rPr>
        <w:t xml:space="preserve">FieldMapping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_id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tenant_id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portco_id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metric_name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source_id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source_object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source_field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transformation_logic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mapping_priority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is_primary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variance_threshold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confidence_impact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active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2"/>
    <w:bookmarkStart w:id="43" w:name="metric-snapshot"/>
    <w:p>
      <w:pPr>
        <w:pStyle w:val="Heading1"/>
      </w:pPr>
      <w:r>
        <w:t xml:space="preserve">5.9 Metric Snapshot</w:t>
      </w:r>
    </w:p>
    <w:p>
      <w:pPr>
        <w:pStyle w:val="SourceCode"/>
      </w:pPr>
      <w:r>
        <w:rPr>
          <w:rStyle w:val="ErrorTok"/>
        </w:rPr>
        <w:t xml:space="preserve">MetricSnapshot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_id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tenant_id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portco_id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metric_name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metric_value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source_reference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snapshot_timestamp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calculation_version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confidence_score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lineage_reference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3"/>
    <w:bookmarkStart w:id="44" w:name="scenario-rule"/>
    <w:p>
      <w:pPr>
        <w:pStyle w:val="Heading1"/>
      </w:pPr>
      <w:r>
        <w:t xml:space="preserve">5.10 Scenario Rule</w:t>
      </w:r>
    </w:p>
    <w:p>
      <w:pPr>
        <w:pStyle w:val="SourceCode"/>
      </w:pPr>
      <w:r>
        <w:rPr>
          <w:rStyle w:val="ErrorTok"/>
        </w:rPr>
        <w:t xml:space="preserve">ScenarioRule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_id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rule_code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name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category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severity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conditions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logical_operator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exposure_formula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remediation_guidance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enabled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version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4"/>
    <w:bookmarkStart w:id="45" w:name="rule-evaluation"/>
    <w:p>
      <w:pPr>
        <w:pStyle w:val="Heading1"/>
      </w:pPr>
      <w:r>
        <w:t xml:space="preserve">5.11 Rule Evaluation</w:t>
      </w:r>
    </w:p>
    <w:p>
      <w:pPr>
        <w:pStyle w:val="SourceCode"/>
      </w:pPr>
      <w:r>
        <w:rPr>
          <w:rStyle w:val="ErrorTok"/>
        </w:rPr>
        <w:t xml:space="preserve">RuleEvaluation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_id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rule_id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portco_id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triggered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exposure_amount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confidence_impact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evaluation_timestamp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contributing_metrics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remediation_status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5"/>
    <w:bookmarkStart w:id="46" w:name="deal-config"/>
    <w:p>
      <w:pPr>
        <w:pStyle w:val="Heading1"/>
      </w:pPr>
      <w:r>
        <w:t xml:space="preserve">5.12 Deal Config</w:t>
      </w:r>
    </w:p>
    <w:p>
      <w:pPr>
        <w:pStyle w:val="SourceCode"/>
      </w:pPr>
      <w:r>
        <w:rPr>
          <w:rStyle w:val="ErrorTok"/>
        </w:rPr>
        <w:t xml:space="preserve">DealConfig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_id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fund_id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portco_id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deal_type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status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rows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formulas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locked_baseline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created_at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closed_at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6"/>
    <w:bookmarkStart w:id="47" w:name="waterfall-methodology"/>
    <w:p>
      <w:pPr>
        <w:pStyle w:val="Heading1"/>
      </w:pPr>
      <w:r>
        <w:t xml:space="preserve">5.13 Waterfall Methodology</w:t>
      </w:r>
    </w:p>
    <w:p>
      <w:pPr>
        <w:pStyle w:val="SourceCode"/>
      </w:pPr>
      <w:r>
        <w:rPr>
          <w:rStyle w:val="ErrorTok"/>
        </w:rPr>
        <w:t xml:space="preserve">WaterfallMethodology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_id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methodology_type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steps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formulas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priority_order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carry_logic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hurdle_logic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active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7"/>
    <w:bookmarkStart w:id="48" w:name="source-system-architecture"/>
    <w:p>
      <w:pPr>
        <w:pStyle w:val="Heading1"/>
      </w:pPr>
      <w:r>
        <w:t xml:space="preserve">6. Source System Architecture</w:t>
      </w:r>
    </w:p>
    <w:bookmarkEnd w:id="48"/>
    <w:bookmarkStart w:id="49" w:name="supported-source-systems"/>
    <w:p>
      <w:pPr>
        <w:pStyle w:val="Heading1"/>
      </w:pPr>
      <w:r>
        <w:t xml:space="preserve">6.1 Supported Source Systems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Primary 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Salesforce</w:t>
            </w:r>
          </w:p>
        </w:tc>
        <w:tc>
          <w:tcPr/>
          <w:p>
            <w:pPr>
              <w:pStyle w:val="Compact"/>
            </w:pPr>
            <w:r>
              <w:t xml:space="preserve">CRM, opportunities, ARR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HubSpot</w:t>
            </w:r>
          </w:p>
        </w:tc>
        <w:tc>
          <w:tcPr/>
          <w:p>
            <w:pPr>
              <w:pStyle w:val="Compact"/>
            </w:pPr>
            <w:r>
              <w:t xml:space="preserve">Pipeline and sales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NetSuite</w:t>
            </w:r>
          </w:p>
        </w:tc>
        <w:tc>
          <w:tcPr/>
          <w:p>
            <w:pPr>
              <w:pStyle w:val="Compact"/>
            </w:pPr>
            <w:r>
              <w:t xml:space="preserve">ERP and accounting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QuickBooks</w:t>
            </w:r>
          </w:p>
        </w:tc>
        <w:tc>
          <w:tcPr/>
          <w:p>
            <w:pPr>
              <w:pStyle w:val="Compact"/>
            </w:pPr>
            <w:r>
              <w:t xml:space="preserve">Financial reporting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Excel Uploads</w:t>
            </w:r>
          </w:p>
        </w:tc>
        <w:tc>
          <w:tcPr/>
          <w:p>
            <w:pPr>
              <w:pStyle w:val="Compact"/>
            </w:pPr>
            <w:r>
              <w:t xml:space="preserve">Manual imports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Manual Entry</w:t>
            </w:r>
          </w:p>
        </w:tc>
        <w:tc>
          <w:tcPr/>
          <w:p>
            <w:pPr>
              <w:pStyle w:val="Compact"/>
            </w:pPr>
            <w:r>
              <w:t xml:space="preserve">Human override inputs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APIs</w:t>
            </w:r>
          </w:p>
        </w:tc>
        <w:tc>
          <w:tcPr/>
          <w:p>
            <w:pPr>
              <w:pStyle w:val="Compact"/>
            </w:pPr>
            <w:r>
              <w:t xml:space="preserve">Third-party operational feeds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Webhooks</w:t>
            </w:r>
          </w:p>
        </w:tc>
        <w:tc>
          <w:tcPr/>
          <w:p>
            <w:pPr>
              <w:pStyle w:val="Compact"/>
            </w:pPr>
            <w:r>
              <w:t xml:space="preserve">Real-time event updates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Start w:id="53" w:name="source-categories"/>
    <w:p>
      <w:pPr>
        <w:pStyle w:val="Heading1"/>
      </w:pPr>
      <w:r>
        <w:t xml:space="preserve">6.2 Source Categories</w:t>
      </w:r>
    </w:p>
    <w:bookmarkStart w:id="50" w:name="operational-systems"/>
    <w:p>
      <w:pPr>
        <w:pStyle w:val="Heading2"/>
      </w:pPr>
      <w:r>
        <w:t xml:space="preserve">Operational Systems</w:t>
      </w:r>
    </w:p>
    <w:p>
      <w:pPr>
        <w:pStyle w:val="Compact"/>
        <w:numPr>
          <w:ilvl w:val="0"/>
          <w:numId w:val="1008"/>
        </w:numPr>
      </w:pPr>
      <w:r>
        <w:t xml:space="preserve">CRM</w:t>
      </w:r>
    </w:p>
    <w:p>
      <w:pPr>
        <w:pStyle w:val="Compact"/>
        <w:numPr>
          <w:ilvl w:val="0"/>
          <w:numId w:val="1008"/>
        </w:numPr>
      </w:pPr>
      <w:r>
        <w:t xml:space="preserve">ERP</w:t>
      </w:r>
    </w:p>
    <w:p>
      <w:pPr>
        <w:pStyle w:val="Compact"/>
        <w:numPr>
          <w:ilvl w:val="0"/>
          <w:numId w:val="1008"/>
        </w:numPr>
      </w:pPr>
      <w:r>
        <w:t xml:space="preserve">Billing</w:t>
      </w:r>
    </w:p>
    <w:p>
      <w:pPr>
        <w:pStyle w:val="Compact"/>
        <w:numPr>
          <w:ilvl w:val="0"/>
          <w:numId w:val="1008"/>
        </w:numPr>
      </w:pPr>
      <w:r>
        <w:t xml:space="preserve">Subscription management</w:t>
      </w:r>
    </w:p>
    <w:p>
      <w:pPr>
        <w:pStyle w:val="Compact"/>
        <w:numPr>
          <w:ilvl w:val="0"/>
          <w:numId w:val="1008"/>
        </w:numPr>
      </w:pPr>
      <w:r>
        <w:t xml:space="preserve">Contract systems</w:t>
      </w:r>
    </w:p>
    <w:bookmarkEnd w:id="50"/>
    <w:bookmarkStart w:id="51" w:name="financial-systems"/>
    <w:p>
      <w:pPr>
        <w:pStyle w:val="Heading2"/>
      </w:pPr>
      <w:r>
        <w:t xml:space="preserve">Financial Systems</w:t>
      </w:r>
    </w:p>
    <w:p>
      <w:pPr>
        <w:pStyle w:val="Compact"/>
        <w:numPr>
          <w:ilvl w:val="0"/>
          <w:numId w:val="1009"/>
        </w:numPr>
      </w:pPr>
      <w:r>
        <w:t xml:space="preserve">GL</w:t>
      </w:r>
    </w:p>
    <w:p>
      <w:pPr>
        <w:pStyle w:val="Compact"/>
        <w:numPr>
          <w:ilvl w:val="0"/>
          <w:numId w:val="1009"/>
        </w:numPr>
      </w:pPr>
      <w:r>
        <w:t xml:space="preserve">AP/AR</w:t>
      </w:r>
    </w:p>
    <w:p>
      <w:pPr>
        <w:pStyle w:val="Compact"/>
        <w:numPr>
          <w:ilvl w:val="0"/>
          <w:numId w:val="1009"/>
        </w:numPr>
      </w:pPr>
      <w:r>
        <w:t xml:space="preserve">Revenue systems</w:t>
      </w:r>
    </w:p>
    <w:p>
      <w:pPr>
        <w:pStyle w:val="Compact"/>
        <w:numPr>
          <w:ilvl w:val="0"/>
          <w:numId w:val="1009"/>
        </w:numPr>
      </w:pPr>
      <w:r>
        <w:t xml:space="preserve">Banking systems</w:t>
      </w:r>
    </w:p>
    <w:bookmarkEnd w:id="51"/>
    <w:bookmarkStart w:id="52" w:name="external-inputs"/>
    <w:p>
      <w:pPr>
        <w:pStyle w:val="Heading2"/>
      </w:pPr>
      <w:r>
        <w:t xml:space="preserve">External Inputs</w:t>
      </w:r>
    </w:p>
    <w:p>
      <w:pPr>
        <w:pStyle w:val="Compact"/>
        <w:numPr>
          <w:ilvl w:val="0"/>
          <w:numId w:val="1010"/>
        </w:numPr>
      </w:pPr>
      <w:r>
        <w:t xml:space="preserve">Benchmarks</w:t>
      </w:r>
    </w:p>
    <w:p>
      <w:pPr>
        <w:pStyle w:val="Compact"/>
        <w:numPr>
          <w:ilvl w:val="0"/>
          <w:numId w:val="1010"/>
        </w:numPr>
      </w:pPr>
      <w:r>
        <w:t xml:space="preserve">Industry data</w:t>
      </w:r>
    </w:p>
    <w:p>
      <w:pPr>
        <w:pStyle w:val="Compact"/>
        <w:numPr>
          <w:ilvl w:val="0"/>
          <w:numId w:val="1010"/>
        </w:numPr>
      </w:pPr>
      <w:r>
        <w:t xml:space="preserve">PE models</w:t>
      </w:r>
    </w:p>
    <w:p>
      <w:pPr>
        <w:pStyle w:val="Compact"/>
        <w:numPr>
          <w:ilvl w:val="0"/>
          <w:numId w:val="1010"/>
        </w:numPr>
      </w:pPr>
      <w:r>
        <w:t xml:space="preserve">Audit inputs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canonical-metric-framework"/>
    <w:p>
      <w:pPr>
        <w:pStyle w:val="Heading1"/>
      </w:pPr>
      <w:r>
        <w:t xml:space="preserve">7. Canonical Metric Framework</w:t>
      </w:r>
    </w:p>
    <w:bookmarkEnd w:id="54"/>
    <w:bookmarkStart w:id="55" w:name="core-metrics"/>
    <w:p>
      <w:pPr>
        <w:pStyle w:val="Heading1"/>
      </w:pPr>
      <w:r>
        <w:t xml:space="preserve">7.1 Core Metrics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ARR</w:t>
            </w:r>
          </w:p>
        </w:tc>
        <w:tc>
          <w:tcPr/>
          <w:p>
            <w:pPr>
              <w:pStyle w:val="Compact"/>
            </w:pPr>
            <w:r>
              <w:t xml:space="preserve">Annual Recurring Revenue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NRR</w:t>
            </w:r>
          </w:p>
        </w:tc>
        <w:tc>
          <w:tcPr/>
          <w:p>
            <w:pPr>
              <w:pStyle w:val="Compact"/>
            </w:pPr>
            <w:r>
              <w:t xml:space="preserve">Net Revenue Retention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GRR</w:t>
            </w:r>
          </w:p>
        </w:tc>
        <w:tc>
          <w:tcPr/>
          <w:p>
            <w:pPr>
              <w:pStyle w:val="Compact"/>
            </w:pPr>
            <w:r>
              <w:t xml:space="preserve">Gross Revenue Retention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EBITDA Margin</w:t>
            </w:r>
          </w:p>
        </w:tc>
        <w:tc>
          <w:tcPr/>
          <w:p>
            <w:pPr>
              <w:pStyle w:val="Compact"/>
            </w:pPr>
            <w:r>
              <w:t xml:space="preserve">Profitability metric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Churn Rate</w:t>
            </w:r>
          </w:p>
        </w:tc>
        <w:tc>
          <w:tcPr/>
          <w:p>
            <w:pPr>
              <w:pStyle w:val="Compact"/>
            </w:pPr>
            <w:r>
              <w:t xml:space="preserve">Revenue attrition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Expansion ARR</w:t>
            </w:r>
          </w:p>
        </w:tc>
        <w:tc>
          <w:tcPr/>
          <w:p>
            <w:pPr>
              <w:pStyle w:val="Compact"/>
            </w:pPr>
            <w:r>
              <w:t xml:space="preserve">Upsell growth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Contraction ARR</w:t>
            </w:r>
          </w:p>
        </w:tc>
        <w:tc>
          <w:tcPr/>
          <w:p>
            <w:pPr>
              <w:pStyle w:val="Compact"/>
            </w:pPr>
            <w:r>
              <w:t xml:space="preserve">Revenue shrinkage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MOIC</w:t>
            </w:r>
          </w:p>
        </w:tc>
        <w:tc>
          <w:tcPr/>
          <w:p>
            <w:pPr>
              <w:pStyle w:val="Compact"/>
            </w:pPr>
            <w:r>
              <w:t xml:space="preserve">Multiple on invested capital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IRR</w:t>
            </w:r>
          </w:p>
        </w:tc>
        <w:tc>
          <w:tcPr/>
          <w:p>
            <w:pPr>
              <w:pStyle w:val="Compact"/>
            </w:pPr>
            <w:r>
              <w:t xml:space="preserve">Internal rate of return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TVPI</w:t>
            </w:r>
          </w:p>
        </w:tc>
        <w:tc>
          <w:tcPr/>
          <w:p>
            <w:pPr>
              <w:pStyle w:val="Compact"/>
            </w:pPr>
            <w:r>
              <w:t xml:space="preserve">Total value to paid-in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DPI</w:t>
            </w:r>
          </w:p>
        </w:tc>
        <w:tc>
          <w:tcPr/>
          <w:p>
            <w:pPr>
              <w:pStyle w:val="Compact"/>
            </w:pPr>
            <w:r>
              <w:t xml:space="preserve">Distributed to paid-in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Leakage Exposure</w:t>
            </w:r>
          </w:p>
        </w:tc>
        <w:tc>
          <w:tcPr/>
          <w:p>
            <w:pPr>
              <w:pStyle w:val="Compact"/>
            </w:pPr>
            <w:r>
              <w:t xml:space="preserve">Estimated operational leakage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Confidence Score</w:t>
            </w:r>
          </w:p>
        </w:tc>
        <w:tc>
          <w:tcPr/>
          <w:p>
            <w:pPr>
              <w:pStyle w:val="Compact"/>
            </w:pPr>
            <w:r>
              <w:t xml:space="preserve">Composite trust score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Start w:id="56" w:name="mapping-logic-architecture"/>
    <w:p>
      <w:pPr>
        <w:pStyle w:val="Heading1"/>
      </w:pPr>
      <w:r>
        <w:t xml:space="preserve">8. Mapping Logic Architecture</w:t>
      </w:r>
    </w:p>
    <w:bookmarkEnd w:id="56"/>
    <w:bookmarkStart w:id="57" w:name="metric-resolution-framework"/>
    <w:p>
      <w:pPr>
        <w:pStyle w:val="Heading1"/>
      </w:pPr>
      <w:r>
        <w:t xml:space="preserve">8.1 Metric Resolution Framework</w:t>
      </w:r>
    </w:p>
    <w:p>
      <w:pPr>
        <w:pStyle w:val="FirstParagraph"/>
      </w:pPr>
      <w:r>
        <w:t xml:space="preserve">Each dashboard metric can have:</w:t>
      </w:r>
    </w:p>
    <w:p>
      <w:pPr>
        <w:pStyle w:val="Compact"/>
        <w:numPr>
          <w:ilvl w:val="0"/>
          <w:numId w:val="1011"/>
        </w:numPr>
      </w:pPr>
      <w:r>
        <w:t xml:space="preserve">Multiple contributing sources</w:t>
      </w:r>
    </w:p>
    <w:p>
      <w:pPr>
        <w:pStyle w:val="Compact"/>
        <w:numPr>
          <w:ilvl w:val="0"/>
          <w:numId w:val="1011"/>
        </w:numPr>
      </w:pPr>
      <w:r>
        <w:t xml:space="preserve">Multiple transformations</w:t>
      </w:r>
    </w:p>
    <w:p>
      <w:pPr>
        <w:pStyle w:val="Compact"/>
        <w:numPr>
          <w:ilvl w:val="0"/>
          <w:numId w:val="1011"/>
        </w:numPr>
      </w:pPr>
      <w:r>
        <w:t xml:space="preserve">Multiple competing values</w:t>
      </w:r>
    </w:p>
    <w:p>
      <w:pPr>
        <w:pStyle w:val="Compact"/>
        <w:numPr>
          <w:ilvl w:val="0"/>
          <w:numId w:val="1011"/>
        </w:numPr>
      </w:pPr>
      <w:r>
        <w:t xml:space="preserve">Weighted confidence scoring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ARR</w:t>
      </w:r>
      <w:r>
        <w:br/>
      </w:r>
      <w:r>
        <w:rPr>
          <w:rStyle w:val="VerbatimChar"/>
        </w:rPr>
        <w:t xml:space="preserve"> ├── Salesforce → MRR × 12</w:t>
      </w:r>
      <w:r>
        <w:br/>
      </w:r>
      <w:r>
        <w:rPr>
          <w:rStyle w:val="VerbatimChar"/>
        </w:rPr>
        <w:t xml:space="preserve"> ├── NetSuite → Revenue Schedule Annualization</w:t>
      </w:r>
      <w:r>
        <w:br/>
      </w:r>
      <w:r>
        <w:rPr>
          <w:rStyle w:val="VerbatimChar"/>
        </w:rPr>
        <w:t xml:space="preserve"> ├── Excel Upload → Manual ARR field</w:t>
      </w:r>
      <w:r>
        <w:br/>
      </w:r>
      <w:r>
        <w:rPr>
          <w:rStyle w:val="VerbatimChar"/>
        </w:rPr>
        <w:t xml:space="preserve"> └── Manual Override → CFO Adjustment</w:t>
      </w:r>
    </w:p>
    <w:p>
      <w:r>
        <w:pict>
          <v:rect style="width:0;height:1.5pt" o:hralign="center" o:hrstd="t" o:hr="t"/>
        </w:pict>
      </w:r>
    </w:p>
    <w:bookmarkEnd w:id="57"/>
    <w:bookmarkStart w:id="59" w:name="mapping-priority-resolution"/>
    <w:p>
      <w:pPr>
        <w:pStyle w:val="Heading1"/>
      </w:pPr>
      <w:r>
        <w:t xml:space="preserve">8.2 Mapping Priority Resolution</w:t>
      </w:r>
    </w:p>
    <w:bookmarkStart w:id="58" w:name="resolution-logic"/>
    <w:p>
      <w:pPr>
        <w:pStyle w:val="Heading2"/>
      </w:pPr>
      <w:r>
        <w:t xml:space="preserve">Resolution Logic</w:t>
      </w:r>
    </w:p>
    <w:p>
      <w:pPr>
        <w:pStyle w:val="SourceCode"/>
      </w:pPr>
      <w:r>
        <w:rPr>
          <w:rStyle w:val="VerbatimChar"/>
        </w:rPr>
        <w:t xml:space="preserve">1. Active primary source</w:t>
      </w:r>
      <w:r>
        <w:br/>
      </w:r>
      <w:r>
        <w:rPr>
          <w:rStyle w:val="VerbatimChar"/>
        </w:rPr>
        <w:t xml:space="preserve">2. Highest confidence source</w:t>
      </w:r>
      <w:r>
        <w:br/>
      </w:r>
      <w:r>
        <w:rPr>
          <w:rStyle w:val="VerbatimChar"/>
        </w:rPr>
        <w:t xml:space="preserve">3. Most recent synchronized source</w:t>
      </w:r>
      <w:r>
        <w:br/>
      </w:r>
      <w:r>
        <w:rPr>
          <w:rStyle w:val="VerbatimChar"/>
        </w:rPr>
        <w:t xml:space="preserve">4. Lowest variance source</w:t>
      </w:r>
      <w:r>
        <w:br/>
      </w:r>
      <w:r>
        <w:rPr>
          <w:rStyle w:val="VerbatimChar"/>
        </w:rPr>
        <w:t xml:space="preserve">5. Manual override (if approved)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transformation-logic-types"/>
    <w:p>
      <w:pPr>
        <w:pStyle w:val="Heading1"/>
      </w:pPr>
      <w:r>
        <w:t xml:space="preserve">8.3 Transformation Logic Types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Transformation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Annualization</w:t>
            </w:r>
          </w:p>
        </w:tc>
        <w:tc>
          <w:tcPr/>
          <w:p>
            <w:pPr>
              <w:pStyle w:val="Compact"/>
            </w:pPr>
            <w:r>
              <w:t xml:space="preserve">MRR × 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Currency conversion</w:t>
            </w:r>
          </w:p>
        </w:tc>
        <w:tc>
          <w:tcPr/>
          <w:p>
            <w:pPr>
              <w:pStyle w:val="Compact"/>
            </w:pPr>
            <w:r>
              <w:t xml:space="preserve">USD → EUR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Aggregation</w:t>
            </w:r>
          </w:p>
        </w:tc>
        <w:tc>
          <w:tcPr/>
          <w:p>
            <w:pPr>
              <w:pStyle w:val="Compact"/>
            </w:pPr>
            <w:r>
              <w:t xml:space="preserve">SUM(children)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Ratio calculation</w:t>
            </w:r>
          </w:p>
        </w:tc>
        <w:tc>
          <w:tcPr/>
          <w:p>
            <w:pPr>
              <w:pStyle w:val="Compact"/>
            </w:pPr>
            <w:r>
              <w:t xml:space="preserve">ARR / Customer 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 normalization</w:t>
            </w:r>
          </w:p>
        </w:tc>
        <w:tc>
          <w:tcPr/>
          <w:p>
            <w:pPr>
              <w:pStyle w:val="Compact"/>
            </w:pPr>
            <w:r>
              <w:t xml:space="preserve">Fiscal alignment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Cleansing</w:t>
            </w:r>
          </w:p>
        </w:tc>
        <w:tc>
          <w:tcPr/>
          <w:p>
            <w:pPr>
              <w:pStyle w:val="Compact"/>
            </w:pPr>
            <w:r>
              <w:t xml:space="preserve">Strip commas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Segment mapping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Threshold filtering</w:t>
            </w:r>
          </w:p>
        </w:tc>
        <w:tc>
          <w:tcPr/>
          <w:p>
            <w:pPr>
              <w:pStyle w:val="Compact"/>
            </w:pPr>
            <w:r>
              <w:t xml:space="preserve">Exclude inactive accounts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Start w:id="62" w:name="example-mapping-logic"/>
    <w:p>
      <w:pPr>
        <w:pStyle w:val="Heading1"/>
      </w:pPr>
      <w:r>
        <w:t xml:space="preserve">8.4 Example Mapping Logic</w:t>
      </w:r>
    </w:p>
    <w:bookmarkStart w:id="61" w:name="arr-mapping"/>
    <w:p>
      <w:pPr>
        <w:pStyle w:val="Heading2"/>
      </w:pPr>
      <w:r>
        <w:t xml:space="preserve">ARR Mapping</w:t>
      </w:r>
    </w:p>
    <w:p>
      <w:pPr>
        <w:pStyle w:val="SourceCode"/>
      </w:pPr>
      <w:r>
        <w:rPr>
          <w:rStyle w:val="VerbatimChar"/>
        </w:rPr>
        <w:t xml:space="preserve">Source: Salesforce</w:t>
      </w:r>
      <w:r>
        <w:br/>
      </w:r>
      <w:r>
        <w:rPr>
          <w:rStyle w:val="VerbatimChar"/>
        </w:rPr>
        <w:t xml:space="preserve">Field: monthly_recurring_revenue</w:t>
      </w:r>
      <w:r>
        <w:br/>
      </w:r>
      <w:r>
        <w:rPr>
          <w:rStyle w:val="VerbatimChar"/>
        </w:rPr>
        <w:t xml:space="preserve">Transformation: value * 12</w:t>
      </w:r>
      <w:r>
        <w:br/>
      </w:r>
      <w:r>
        <w:rPr>
          <w:rStyle w:val="VerbatimChar"/>
        </w:rPr>
        <w:t xml:space="preserve">Validation: compare to NetSuite annual recurring revenue</w:t>
      </w:r>
      <w:r>
        <w:br/>
      </w:r>
      <w:r>
        <w:rPr>
          <w:rStyle w:val="VerbatimChar"/>
        </w:rPr>
        <w:t xml:space="preserve">Variance Threshold: 2%</w:t>
      </w:r>
      <w:r>
        <w:br/>
      </w:r>
      <w:r>
        <w:rPr>
          <w:rStyle w:val="VerbatimChar"/>
        </w:rPr>
        <w:t xml:space="preserve">Confidence Impact: -5 if exceeded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data-lineage-architecture"/>
    <w:p>
      <w:pPr>
        <w:pStyle w:val="Heading1"/>
      </w:pPr>
      <w:r>
        <w:t xml:space="preserve">9. Data Lineage Architecture</w:t>
      </w:r>
    </w:p>
    <w:bookmarkEnd w:id="63"/>
    <w:bookmarkStart w:id="64" w:name="lineage-trace-structure"/>
    <w:p>
      <w:pPr>
        <w:pStyle w:val="Heading1"/>
      </w:pPr>
      <w:r>
        <w:t xml:space="preserve">9.1 Lineage Trace Structure</w:t>
      </w:r>
    </w:p>
    <w:p>
      <w:pPr>
        <w:pStyle w:val="FirstParagraph"/>
      </w:pPr>
      <w:r>
        <w:t xml:space="preserve">Every metric stores:</w:t>
      </w:r>
    </w:p>
    <w:p>
      <w:pPr>
        <w:pStyle w:val="SourceCode"/>
      </w:pPr>
      <w:r>
        <w:rPr>
          <w:rStyle w:val="VerbatimChar"/>
        </w:rPr>
        <w:t xml:space="preserve">Dashboard Metric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Resolved Metric Value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Primary Source Mapping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Source System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Source Table/Object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Source Field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Transformation Logic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Raw Value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Timestamp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Snapshot Version</w:t>
      </w:r>
    </w:p>
    <w:p>
      <w:r>
        <w:pict>
          <v:rect style="width:0;height:1.5pt" o:hralign="center" o:hrstd="t" o:hr="t"/>
        </w:pict>
      </w:r>
    </w:p>
    <w:bookmarkEnd w:id="64"/>
    <w:bookmarkStart w:id="65" w:name="lineage-storage"/>
    <w:p>
      <w:pPr>
        <w:pStyle w:val="Heading1"/>
      </w:pPr>
      <w:r>
        <w:t xml:space="preserve">9.2 Lineage Storage</w:t>
      </w:r>
    </w:p>
    <w:p>
      <w:pPr>
        <w:pStyle w:val="SourceCode"/>
      </w:pPr>
      <w:r>
        <w:rPr>
          <w:rStyle w:val="ErrorTok"/>
        </w:rPr>
        <w:t xml:space="preserve">LineageRecord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metric_name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source_system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source_object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source_field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transformation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raw_value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transformed_value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snapshot_timestamp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calculated_by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calculation_version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5"/>
    <w:bookmarkStart w:id="66" w:name="reconciliation-architecture"/>
    <w:p>
      <w:pPr>
        <w:pStyle w:val="Heading1"/>
      </w:pPr>
      <w:r>
        <w:t xml:space="preserve">10. Reconciliation Architecture</w:t>
      </w:r>
    </w:p>
    <w:bookmarkEnd w:id="66"/>
    <w:bookmarkStart w:id="67" w:name="reconciliation-categories"/>
    <w:p>
      <w:pPr>
        <w:pStyle w:val="Heading1"/>
      </w:pPr>
      <w:r>
        <w:t xml:space="preserve">10.1 Reconciliation Categories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Reconciliation 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Source-to-source</w:t>
            </w:r>
          </w:p>
        </w:tc>
        <w:tc>
          <w:tcPr/>
          <w:p>
            <w:pPr>
              <w:pStyle w:val="Compact"/>
            </w:pPr>
            <w:r>
              <w:t xml:space="preserve">Salesforce vs ERP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Expected vs Actual</w:t>
            </w:r>
          </w:p>
        </w:tc>
        <w:tc>
          <w:tcPr/>
          <w:p>
            <w:pPr>
              <w:pStyle w:val="Compact"/>
            </w:pPr>
            <w:r>
              <w:t xml:space="preserve">Model vs operations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Historical Drift</w:t>
            </w:r>
          </w:p>
        </w:tc>
        <w:tc>
          <w:tcPr/>
          <w:p>
            <w:pPr>
              <w:pStyle w:val="Compact"/>
            </w:pPr>
            <w:r>
              <w:t xml:space="preserve">Prior periods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Fund vs Portco</w:t>
            </w:r>
          </w:p>
        </w:tc>
        <w:tc>
          <w:tcPr/>
          <w:p>
            <w:pPr>
              <w:pStyle w:val="Compact"/>
            </w:pPr>
            <w:r>
              <w:t xml:space="preserve">Ownership rollup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Pipeline vs Closed Revenue</w:t>
            </w:r>
          </w:p>
        </w:tc>
        <w:tc>
          <w:tcPr/>
          <w:p>
            <w:pPr>
              <w:pStyle w:val="Compact"/>
            </w:pPr>
            <w:r>
              <w:t xml:space="preserve">Forecast alignment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Contract vs Billing</w:t>
            </w:r>
          </w:p>
        </w:tc>
        <w:tc>
          <w:tcPr/>
          <w:p>
            <w:pPr>
              <w:pStyle w:val="Compact"/>
            </w:pPr>
            <w:r>
              <w:t xml:space="preserve">Invoice alignment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7"/>
    <w:bookmarkStart w:id="68" w:name="variance-threshold-logic"/>
    <w:p>
      <w:pPr>
        <w:pStyle w:val="Heading1"/>
      </w:pPr>
      <w:r>
        <w:t xml:space="preserve">10.2 Variance Threshold Logic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Variance Level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&lt;2%</w:t>
            </w:r>
          </w:p>
        </w:tc>
        <w:tc>
          <w:tcPr/>
          <w:p>
            <w:pPr>
              <w:pStyle w:val="Compact"/>
            </w:pPr>
            <w:r>
              <w:t xml:space="preserve">No 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2–5%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5–10%</w:t>
            </w:r>
          </w:p>
        </w:tc>
        <w:tc>
          <w:tcPr/>
          <w:p>
            <w:pPr>
              <w:pStyle w:val="Compact"/>
            </w:pPr>
            <w:r>
              <w:t xml:space="preserve">Confidence reduction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&gt;10%</w:t>
            </w:r>
          </w:p>
        </w:tc>
        <w:tc>
          <w:tcPr/>
          <w:p>
            <w:pPr>
              <w:pStyle w:val="Compact"/>
            </w:pPr>
            <w:r>
              <w:t xml:space="preserve">Escalation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8"/>
    <w:bookmarkStart w:id="70" w:name="confidence-scoring"/>
    <w:p>
      <w:pPr>
        <w:pStyle w:val="Heading1"/>
      </w:pPr>
      <w:r>
        <w:t xml:space="preserve">10.3 Confidence Scoring</w:t>
      </w:r>
    </w:p>
    <w:bookmarkStart w:id="69" w:name="example-formula"/>
    <w:p>
      <w:pPr>
        <w:pStyle w:val="Heading2"/>
      </w:pPr>
      <w:r>
        <w:t xml:space="preserve">Example Formula</w:t>
      </w:r>
    </w:p>
    <w:p>
      <w:pPr>
        <w:pStyle w:val="SourceCode"/>
      </w:pPr>
      <w:r>
        <w:rPr>
          <w:rStyle w:val="VerbatimChar"/>
        </w:rPr>
        <w:t xml:space="preserve">Confidence Score =</w:t>
      </w:r>
      <w:r>
        <w:br/>
      </w:r>
      <w:r>
        <w:rPr>
          <w:rStyle w:val="VerbatimChar"/>
        </w:rPr>
        <w:t xml:space="preserve">(</w:t>
      </w:r>
      <w:r>
        <w:br/>
      </w:r>
      <w:r>
        <w:rPr>
          <w:rStyle w:val="VerbatimChar"/>
        </w:rPr>
        <w:t xml:space="preserve">Data Completeness × 30%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Recon Accuracy × 35%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Thesis Alignment × 20%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Leakage Exposure × 15%</w:t>
      </w:r>
      <w:r>
        <w:br/>
      </w:r>
      <w:r>
        <w:rPr>
          <w:rStyle w:val="VerbatimChar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1" w:name="scenario-rules-engine"/>
    <w:p>
      <w:pPr>
        <w:pStyle w:val="Heading1"/>
      </w:pPr>
      <w:r>
        <w:t xml:space="preserve">11. Scenario Rules Engine</w:t>
      </w:r>
    </w:p>
    <w:bookmarkEnd w:id="71"/>
    <w:bookmarkStart w:id="72" w:name="rule-architecture"/>
    <w:p>
      <w:pPr>
        <w:pStyle w:val="Heading1"/>
      </w:pPr>
      <w:r>
        <w:t xml:space="preserve">11.1 Rule Architecture</w:t>
      </w:r>
    </w:p>
    <w:p>
      <w:pPr>
        <w:pStyle w:val="FirstParagraph"/>
      </w:pPr>
      <w:r>
        <w:t xml:space="preserve">Rules consist of:</w:t>
      </w:r>
    </w:p>
    <w:p>
      <w:pPr>
        <w:pStyle w:val="Compact"/>
        <w:numPr>
          <w:ilvl w:val="0"/>
          <w:numId w:val="1012"/>
        </w:numPr>
      </w:pPr>
      <w:r>
        <w:t xml:space="preserve">Conditions</w:t>
      </w:r>
    </w:p>
    <w:p>
      <w:pPr>
        <w:pStyle w:val="Compact"/>
        <w:numPr>
          <w:ilvl w:val="0"/>
          <w:numId w:val="1012"/>
        </w:numPr>
      </w:pPr>
      <w:r>
        <w:t xml:space="preserve">Operators</w:t>
      </w:r>
    </w:p>
    <w:p>
      <w:pPr>
        <w:pStyle w:val="Compact"/>
        <w:numPr>
          <w:ilvl w:val="0"/>
          <w:numId w:val="1012"/>
        </w:numPr>
      </w:pPr>
      <w:r>
        <w:t xml:space="preserve">Thresholds</w:t>
      </w:r>
    </w:p>
    <w:p>
      <w:pPr>
        <w:pStyle w:val="Compact"/>
        <w:numPr>
          <w:ilvl w:val="0"/>
          <w:numId w:val="1012"/>
        </w:numPr>
      </w:pPr>
      <w:r>
        <w:t xml:space="preserve">Exposure formulas</w:t>
      </w:r>
    </w:p>
    <w:p>
      <w:pPr>
        <w:pStyle w:val="Compact"/>
        <w:numPr>
          <w:ilvl w:val="0"/>
          <w:numId w:val="1012"/>
        </w:numPr>
      </w:pPr>
      <w:r>
        <w:t xml:space="preserve">Severity levels</w:t>
      </w:r>
    </w:p>
    <w:p>
      <w:pPr>
        <w:pStyle w:val="Compact"/>
        <w:numPr>
          <w:ilvl w:val="0"/>
          <w:numId w:val="1012"/>
        </w:numPr>
      </w:pPr>
      <w:r>
        <w:t xml:space="preserve">Remediation guidance</w:t>
      </w:r>
    </w:p>
    <w:p>
      <w:pPr>
        <w:pStyle w:val="Compact"/>
        <w:numPr>
          <w:ilvl w:val="0"/>
          <w:numId w:val="1012"/>
        </w:numPr>
      </w:pPr>
      <w:r>
        <w:t xml:space="preserve">Confidence impacts</w:t>
      </w:r>
    </w:p>
    <w:p>
      <w:r>
        <w:pict>
          <v:rect style="width:0;height:1.5pt" o:hralign="center" o:hrstd="t" o:hr="t"/>
        </w:pict>
      </w:r>
    </w:p>
    <w:bookmarkEnd w:id="72"/>
    <w:bookmarkStart w:id="74" w:name="rule-example"/>
    <w:p>
      <w:pPr>
        <w:pStyle w:val="Heading1"/>
      </w:pPr>
      <w:r>
        <w:t xml:space="preserve">11.2 Rule Example</w:t>
      </w:r>
    </w:p>
    <w:bookmarkStart w:id="73" w:name="price-escalation-not-applied"/>
    <w:p>
      <w:pPr>
        <w:pStyle w:val="Heading2"/>
      </w:pPr>
      <w:r>
        <w:t xml:space="preserve">Price Escalation Not Applied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"metric"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"renewal_uplift_pct"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"operator"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Exposure Formula:</w:t>
      </w:r>
    </w:p>
    <w:p>
      <w:pPr>
        <w:pStyle w:val="SourceCode"/>
      </w:pPr>
      <w:r>
        <w:rPr>
          <w:rStyle w:val="VerbatimChar"/>
        </w:rPr>
        <w:t xml:space="preserve">ARR × 1%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5" w:name="runtime-evaluation"/>
    <w:p>
      <w:pPr>
        <w:pStyle w:val="Heading1"/>
      </w:pPr>
      <w:r>
        <w:t xml:space="preserve">11.3 Runtime Evaluation</w:t>
      </w:r>
    </w:p>
    <w:p>
      <w:pPr>
        <w:pStyle w:val="SourceCode"/>
      </w:pPr>
      <w:r>
        <w:rPr>
          <w:rStyle w:val="VerbatimChar"/>
        </w:rPr>
        <w:t xml:space="preserve">Portco Snapshot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Load Active Rules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Evaluate Conditions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Calculate Exposure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Update Confidence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Persist Evaluation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Feed Dashboards</w:t>
      </w:r>
    </w:p>
    <w:p>
      <w:r>
        <w:pict>
          <v:rect style="width:0;height:1.5pt" o:hralign="center" o:hrstd="t" o:hr="t"/>
        </w:pict>
      </w:r>
    </w:p>
    <w:bookmarkEnd w:id="75"/>
    <w:bookmarkStart w:id="76" w:name="waterfall-architecture"/>
    <w:p>
      <w:pPr>
        <w:pStyle w:val="Heading1"/>
      </w:pPr>
      <w:r>
        <w:t xml:space="preserve">12. Waterfall Architecture</w:t>
      </w:r>
    </w:p>
    <w:bookmarkEnd w:id="76"/>
    <w:bookmarkStart w:id="77" w:name="waterfall-types"/>
    <w:p>
      <w:pPr>
        <w:pStyle w:val="Heading1"/>
      </w:pPr>
      <w:r>
        <w:t xml:space="preserve">12.1 Waterfall Types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European</w:t>
            </w:r>
          </w:p>
        </w:tc>
        <w:tc>
          <w:tcPr/>
          <w:p>
            <w:pPr>
              <w:pStyle w:val="Compact"/>
            </w:pPr>
            <w:r>
              <w:t xml:space="preserve">Fund-level waterfall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American</w:t>
            </w:r>
          </w:p>
        </w:tc>
        <w:tc>
          <w:tcPr/>
          <w:p>
            <w:pPr>
              <w:pStyle w:val="Compact"/>
            </w:pPr>
            <w:r>
              <w:t xml:space="preserve">Deal-by-deal waterfall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Hybrid</w:t>
            </w:r>
          </w:p>
        </w:tc>
        <w:tc>
          <w:tcPr/>
          <w:p>
            <w:pPr>
              <w:pStyle w:val="Compact"/>
            </w:pPr>
            <w:r>
              <w:t xml:space="preserve">Mixed methodology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7"/>
    <w:bookmarkStart w:id="79" w:name="waterfall-step-engine"/>
    <w:p>
      <w:pPr>
        <w:pStyle w:val="Heading1"/>
      </w:pPr>
      <w:r>
        <w:t xml:space="preserve">12.2 Waterfall Step Engine</w:t>
      </w:r>
    </w:p>
    <w:bookmarkStart w:id="78" w:name="step-sequence"/>
    <w:p>
      <w:pPr>
        <w:pStyle w:val="Heading2"/>
      </w:pPr>
      <w:r>
        <w:t xml:space="preserve">Step Sequence</w:t>
      </w:r>
    </w:p>
    <w:p>
      <w:pPr>
        <w:pStyle w:val="SourceCode"/>
      </w:pPr>
      <w:r>
        <w:rPr>
          <w:rStyle w:val="VerbatimChar"/>
        </w:rPr>
        <w:t xml:space="preserve">1. Return Capital</w:t>
      </w:r>
      <w:r>
        <w:br/>
      </w:r>
      <w:r>
        <w:rPr>
          <w:rStyle w:val="VerbatimChar"/>
        </w:rPr>
        <w:t xml:space="preserve">2. Preferred Return</w:t>
      </w:r>
      <w:r>
        <w:br/>
      </w:r>
      <w:r>
        <w:rPr>
          <w:rStyle w:val="VerbatimChar"/>
        </w:rPr>
        <w:t xml:space="preserve">3. GP Catch-Up</w:t>
      </w:r>
      <w:r>
        <w:br/>
      </w:r>
      <w:r>
        <w:rPr>
          <w:rStyle w:val="VerbatimChar"/>
        </w:rPr>
        <w:t xml:space="preserve">4. Carried Interest</w:t>
      </w:r>
      <w:r>
        <w:br/>
      </w:r>
      <w:r>
        <w:rPr>
          <w:rStyle w:val="VerbatimChar"/>
        </w:rPr>
        <w:t xml:space="preserve">5. Residual Distribution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1" w:name="formula-engine"/>
    <w:p>
      <w:pPr>
        <w:pStyle w:val="Heading1"/>
      </w:pPr>
      <w:r>
        <w:t xml:space="preserve">12.3 Formula Engine</w:t>
      </w:r>
    </w:p>
    <w:bookmarkStart w:id="80" w:name="formula-inputs"/>
    <w:p>
      <w:pPr>
        <w:pStyle w:val="Heading2"/>
      </w:pPr>
      <w:r>
        <w:t xml:space="preserve">Formula Inputs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Exit proceeds</w:t>
            </w:r>
          </w:p>
        </w:tc>
        <w:tc>
          <w:tcPr/>
          <w:p>
            <w:pPr>
              <w:pStyle w:val="Compact"/>
            </w:pPr>
            <w:r>
              <w:t xml:space="preserve">Transaction outcome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LP capital</w:t>
            </w:r>
          </w:p>
        </w:tc>
        <w:tc>
          <w:tcPr/>
          <w:p>
            <w:pPr>
              <w:pStyle w:val="Compact"/>
            </w:pPr>
            <w:r>
              <w:t xml:space="preserve">Invested capital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Carry %</w:t>
            </w:r>
          </w:p>
        </w:tc>
        <w:tc>
          <w:tcPr/>
          <w:p>
            <w:pPr>
              <w:pStyle w:val="Compact"/>
            </w:pPr>
            <w:r>
              <w:t xml:space="preserve">GP participation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Hurdle rate</w:t>
            </w:r>
          </w:p>
        </w:tc>
        <w:tc>
          <w:tcPr/>
          <w:p>
            <w:pPr>
              <w:pStyle w:val="Compact"/>
            </w:pPr>
            <w:r>
              <w:t xml:space="preserve">Preferred return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Hold period</w:t>
            </w:r>
          </w:p>
        </w:tc>
        <w:tc>
          <w:tcPr/>
          <w:p>
            <w:pPr>
              <w:pStyle w:val="Compact"/>
            </w:pPr>
            <w:r>
              <w:t xml:space="preserve">Investment duration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0"/>
    <w:bookmarkEnd w:id="81"/>
    <w:bookmarkStart w:id="82" w:name="dynamic-recalculation"/>
    <w:p>
      <w:pPr>
        <w:pStyle w:val="Heading1"/>
      </w:pPr>
      <w:r>
        <w:t xml:space="preserve">12.4 Dynamic Recalculation</w:t>
      </w:r>
    </w:p>
    <w:p>
      <w:pPr>
        <w:pStyle w:val="FirstParagraph"/>
      </w:pPr>
      <w:r>
        <w:t xml:space="preserve">Waterfalls recalculate when:</w:t>
      </w:r>
    </w:p>
    <w:p>
      <w:pPr>
        <w:pStyle w:val="Compact"/>
        <w:numPr>
          <w:ilvl w:val="0"/>
          <w:numId w:val="1013"/>
        </w:numPr>
      </w:pPr>
      <w:r>
        <w:t xml:space="preserve">Ownership changes</w:t>
      </w:r>
    </w:p>
    <w:p>
      <w:pPr>
        <w:pStyle w:val="Compact"/>
        <w:numPr>
          <w:ilvl w:val="0"/>
          <w:numId w:val="1013"/>
        </w:numPr>
      </w:pPr>
      <w:r>
        <w:t xml:space="preserve">Deal structures change</w:t>
      </w:r>
    </w:p>
    <w:p>
      <w:pPr>
        <w:pStyle w:val="Compact"/>
        <w:numPr>
          <w:ilvl w:val="0"/>
          <w:numId w:val="1013"/>
        </w:numPr>
      </w:pPr>
      <w:r>
        <w:t xml:space="preserve">Exit assumptions change</w:t>
      </w:r>
    </w:p>
    <w:p>
      <w:pPr>
        <w:pStyle w:val="Compact"/>
        <w:numPr>
          <w:ilvl w:val="0"/>
          <w:numId w:val="1013"/>
        </w:numPr>
      </w:pPr>
      <w:r>
        <w:t xml:space="preserve">Add-ons occur</w:t>
      </w:r>
    </w:p>
    <w:p>
      <w:pPr>
        <w:pStyle w:val="Compact"/>
        <w:numPr>
          <w:ilvl w:val="0"/>
          <w:numId w:val="1013"/>
        </w:numPr>
      </w:pPr>
      <w:r>
        <w:t xml:space="preserve">Co-investments occur</w:t>
      </w:r>
    </w:p>
    <w:p>
      <w:pPr>
        <w:pStyle w:val="Compact"/>
        <w:numPr>
          <w:ilvl w:val="0"/>
          <w:numId w:val="1013"/>
        </w:numPr>
      </w:pPr>
      <w:r>
        <w:t xml:space="preserve">Secondary sales occur</w:t>
      </w:r>
    </w:p>
    <w:p>
      <w:pPr>
        <w:pStyle w:val="Compact"/>
        <w:numPr>
          <w:ilvl w:val="0"/>
          <w:numId w:val="1013"/>
        </w:numPr>
      </w:pPr>
      <w:r>
        <w:t xml:space="preserve">Debt structures change</w:t>
      </w:r>
    </w:p>
    <w:p>
      <w:r>
        <w:pict>
          <v:rect style="width:0;height:1.5pt" o:hralign="center" o:hrstd="t" o:hr="t"/>
        </w:pict>
      </w:r>
    </w:p>
    <w:bookmarkEnd w:id="82"/>
    <w:bookmarkStart w:id="83" w:name="crm-integration-architecture"/>
    <w:p>
      <w:pPr>
        <w:pStyle w:val="Heading1"/>
      </w:pPr>
      <w:r>
        <w:t xml:space="preserve">13. CRM Integration Architecture</w:t>
      </w:r>
    </w:p>
    <w:bookmarkEnd w:id="83"/>
    <w:bookmarkStart w:id="85" w:name="crm-synchronization"/>
    <w:p>
      <w:pPr>
        <w:pStyle w:val="Heading1"/>
      </w:pPr>
      <w:r>
        <w:t xml:space="preserve">13.1 CRM Synchronization</w:t>
      </w:r>
    </w:p>
    <w:bookmarkStart w:id="84" w:name="synchronization-modes"/>
    <w:p>
      <w:pPr>
        <w:pStyle w:val="Heading2"/>
      </w:pPr>
      <w:r>
        <w:t xml:space="preserve">Synchronization Modes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Real-time webhook</w:t>
            </w:r>
          </w:p>
        </w:tc>
        <w:tc>
          <w:tcPr/>
          <w:p>
            <w:pPr>
              <w:pStyle w:val="Compact"/>
            </w:pPr>
            <w:r>
              <w:t xml:space="preserve">Instant updates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Scheduled sync</w:t>
            </w:r>
          </w:p>
        </w:tc>
        <w:tc>
          <w:tcPr/>
          <w:p>
            <w:pPr>
              <w:pStyle w:val="Compact"/>
            </w:pPr>
            <w:r>
              <w:t xml:space="preserve">Timed synchronization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Manual sync</w:t>
            </w:r>
          </w:p>
        </w:tc>
        <w:tc>
          <w:tcPr/>
          <w:p>
            <w:pPr>
              <w:pStyle w:val="Compact"/>
            </w:pPr>
            <w:r>
              <w:t xml:space="preserve">User-triggered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 import</w:t>
            </w:r>
          </w:p>
        </w:tc>
        <w:tc>
          <w:tcPr/>
          <w:p>
            <w:pPr>
              <w:pStyle w:val="Compact"/>
            </w:pPr>
            <w:r>
              <w:t xml:space="preserve">Large migration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4"/>
    <w:bookmarkEnd w:id="85"/>
    <w:bookmarkStart w:id="86" w:name="crm-mapping-model"/>
    <w:p>
      <w:pPr>
        <w:pStyle w:val="Heading1"/>
      </w:pPr>
      <w:r>
        <w:t xml:space="preserve">13.2 CRM Mapping Model</w:t>
      </w:r>
    </w:p>
    <w:p>
      <w:pPr>
        <w:pStyle w:val="SourceCode"/>
      </w:pPr>
      <w:r>
        <w:rPr>
          <w:rStyle w:val="VerbatimChar"/>
        </w:rPr>
        <w:t xml:space="preserve">CRM Opportunity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Deal Config Row Mapping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Expected Revenue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Pipeline Forecast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Closed Revenue Baseline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Expected vs Actual Analytics</w:t>
      </w:r>
    </w:p>
    <w:p>
      <w:r>
        <w:pict>
          <v:rect style="width:0;height:1.5pt" o:hralign="center" o:hrstd="t" o:hr="t"/>
        </w:pict>
      </w:r>
    </w:p>
    <w:bookmarkEnd w:id="86"/>
    <w:bookmarkStart w:id="87" w:name="expected-vs-actual-framework"/>
    <w:p>
      <w:pPr>
        <w:pStyle w:val="Heading1"/>
      </w:pPr>
      <w:r>
        <w:t xml:space="preserve">14. Expected vs Actual Framework</w:t>
      </w:r>
    </w:p>
    <w:bookmarkEnd w:id="87"/>
    <w:bookmarkStart w:id="89" w:name="portfolio-company-level"/>
    <w:p>
      <w:pPr>
        <w:pStyle w:val="Heading1"/>
      </w:pPr>
      <w:r>
        <w:t xml:space="preserve">14.1 Portfolio Company Level</w:t>
      </w:r>
    </w:p>
    <w:bookmarkStart w:id="88" w:name="comparisons"/>
    <w:p>
      <w:pPr>
        <w:pStyle w:val="Heading2"/>
      </w:pPr>
      <w:r>
        <w:t xml:space="preserve">Comparisons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Comparison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ARR Actual vs Plan</w:t>
            </w:r>
          </w:p>
        </w:tc>
        <w:tc>
          <w:tcPr/>
          <w:p>
            <w:pPr>
              <w:pStyle w:val="Compact"/>
            </w:pPr>
            <w:r>
              <w:t xml:space="preserve">Revenue trajectory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EBITDA Actual vs Plan</w:t>
            </w:r>
          </w:p>
        </w:tc>
        <w:tc>
          <w:tcPr/>
          <w:p>
            <w:pPr>
              <w:pStyle w:val="Compact"/>
            </w:pPr>
            <w:r>
              <w:t xml:space="preserve">Profitability tracking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NRR Actual vs Plan</w:t>
            </w:r>
          </w:p>
        </w:tc>
        <w:tc>
          <w:tcPr/>
          <w:p>
            <w:pPr>
              <w:pStyle w:val="Compact"/>
            </w:pPr>
            <w:r>
              <w:t xml:space="preserve">Retention tracking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Churn Actual vs Plan</w:t>
            </w:r>
          </w:p>
        </w:tc>
        <w:tc>
          <w:tcPr/>
          <w:p>
            <w:pPr>
              <w:pStyle w:val="Compact"/>
            </w:pPr>
            <w:r>
              <w:t xml:space="preserve">Customer health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Pipeline vs Realized</w:t>
            </w:r>
          </w:p>
        </w:tc>
        <w:tc>
          <w:tcPr/>
          <w:p>
            <w:pPr>
              <w:pStyle w:val="Compact"/>
            </w:pPr>
            <w:r>
              <w:t xml:space="preserve">Sales accuracy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8"/>
    <w:bookmarkEnd w:id="89"/>
    <w:bookmarkStart w:id="90" w:name="fund-rollup"/>
    <w:p>
      <w:pPr>
        <w:pStyle w:val="Heading1"/>
      </w:pPr>
      <w:r>
        <w:t xml:space="preserve">14.2 Fund Rollup</w:t>
      </w:r>
    </w:p>
    <w:p>
      <w:pPr>
        <w:pStyle w:val="FirstParagraph"/>
      </w:pPr>
      <w:r>
        <w:t xml:space="preserve">All metrics roll upward using:</w:t>
      </w:r>
    </w:p>
    <w:p>
      <w:pPr>
        <w:pStyle w:val="SourceCode"/>
      </w:pPr>
      <w:r>
        <w:rPr>
          <w:rStyle w:val="VerbatimChar"/>
        </w:rPr>
        <w:t xml:space="preserve">Portco Metric × Ownership Stake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CloudBase ARR = $10M</w:t>
      </w:r>
      <w:r>
        <w:br/>
      </w:r>
      <w:r>
        <w:rPr>
          <w:rStyle w:val="VerbatimChar"/>
        </w:rPr>
        <w:t xml:space="preserve">Ownership = 32%</w:t>
      </w:r>
      <w:r>
        <w:br/>
      </w:r>
      <w:r>
        <w:rPr>
          <w:rStyle w:val="VerbatimChar"/>
        </w:rPr>
        <w:t xml:space="preserve">Fund Contribution = $3.2M</w:t>
      </w:r>
    </w:p>
    <w:p>
      <w:r>
        <w:pict>
          <v:rect style="width:0;height:1.5pt" o:hralign="center" o:hrstd="t" o:hr="t"/>
        </w:pict>
      </w:r>
    </w:p>
    <w:bookmarkEnd w:id="90"/>
    <w:bookmarkStart w:id="91" w:name="X3fb0aed3a091f6c0b04d16e272a6c3e5885f050"/>
    <w:p>
      <w:pPr>
        <w:pStyle w:val="Heading1"/>
      </w:pPr>
      <w:r>
        <w:t xml:space="preserve">15. Liquidity and Capital Structure Analytics</w:t>
      </w:r>
    </w:p>
    <w:bookmarkEnd w:id="91"/>
    <w:bookmarkStart w:id="92" w:name="liquidity-metrics"/>
    <w:p>
      <w:pPr>
        <w:pStyle w:val="Heading1"/>
      </w:pPr>
      <w:r>
        <w:t xml:space="preserve">15.1 Liquidity Metrics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Formula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Burn Rate</w:t>
            </w:r>
          </w:p>
        </w:tc>
        <w:tc>
          <w:tcPr/>
          <w:p>
            <w:pPr>
              <w:pStyle w:val="Compact"/>
            </w:pPr>
            <w:r>
              <w:t xml:space="preserve">Cash Outflow / Month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Runway</w:t>
            </w:r>
          </w:p>
        </w:tc>
        <w:tc>
          <w:tcPr/>
          <w:p>
            <w:pPr>
              <w:pStyle w:val="Compact"/>
            </w:pPr>
            <w:r>
              <w:t xml:space="preserve">Cash / Burn 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Current Ratio</w:t>
            </w:r>
          </w:p>
        </w:tc>
        <w:tc>
          <w:tcPr/>
          <w:p>
            <w:pPr>
              <w:pStyle w:val="Compact"/>
            </w:pPr>
            <w:r>
              <w:t xml:space="preserve">Current Assets / Current Liabilities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Liquidity Trend</w:t>
            </w:r>
          </w:p>
        </w:tc>
        <w:tc>
          <w:tcPr/>
          <w:p>
            <w:pPr>
              <w:pStyle w:val="Compact"/>
            </w:pPr>
            <w:r>
              <w:t xml:space="preserve">Rolling 6 Month Analysis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2"/>
    <w:bookmarkStart w:id="93" w:name="debt-to-equity"/>
    <w:p>
      <w:pPr>
        <w:pStyle w:val="Heading1"/>
      </w:pPr>
      <w:r>
        <w:t xml:space="preserve">15.2 Debt-to-Equity</w:t>
      </w:r>
    </w:p>
    <w:p>
      <w:pPr>
        <w:pStyle w:val="SourceCode"/>
      </w:pPr>
      <w:r>
        <w:rPr>
          <w:rStyle w:val="VerbatimChar"/>
        </w:rPr>
        <w:t xml:space="preserve">Total Debt / Total Equity</w:t>
      </w:r>
    </w:p>
    <w:p>
      <w:pPr>
        <w:pStyle w:val="FirstParagraph"/>
      </w:pPr>
      <w:r>
        <w:t xml:space="preserve">Tracked:</w:t>
      </w:r>
    </w:p>
    <w:p>
      <w:pPr>
        <w:pStyle w:val="Compact"/>
        <w:numPr>
          <w:ilvl w:val="0"/>
          <w:numId w:val="1014"/>
        </w:numPr>
      </w:pPr>
      <w:r>
        <w:t xml:space="preserve">Over time</w:t>
      </w:r>
    </w:p>
    <w:p>
      <w:pPr>
        <w:pStyle w:val="Compact"/>
        <w:numPr>
          <w:ilvl w:val="0"/>
          <w:numId w:val="1014"/>
        </w:numPr>
      </w:pPr>
      <w:r>
        <w:t xml:space="preserve">Versus benchmarks</w:t>
      </w:r>
    </w:p>
    <w:p>
      <w:pPr>
        <w:pStyle w:val="Compact"/>
        <w:numPr>
          <w:ilvl w:val="0"/>
          <w:numId w:val="1014"/>
        </w:numPr>
      </w:pPr>
      <w:r>
        <w:t xml:space="preserve">Versus original deal thesis</w:t>
      </w:r>
    </w:p>
    <w:p>
      <w:r>
        <w:pict>
          <v:rect style="width:0;height:1.5pt" o:hralign="center" o:hrstd="t" o:hr="t"/>
        </w:pict>
      </w:r>
    </w:p>
    <w:bookmarkEnd w:id="93"/>
    <w:bookmarkStart w:id="94" w:name="security-architecture"/>
    <w:p>
      <w:pPr>
        <w:pStyle w:val="Heading1"/>
      </w:pPr>
      <w:r>
        <w:t xml:space="preserve">16. Security Architecture</w:t>
      </w:r>
    </w:p>
    <w:bookmarkEnd w:id="94"/>
    <w:bookmarkStart w:id="95" w:name="authorization-model"/>
    <w:p>
      <w:pPr>
        <w:pStyle w:val="Heading1"/>
      </w:pPr>
      <w:r>
        <w:t xml:space="preserve">16.1 Authorization Model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Investment Relationship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Resolved Entity Context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Permission Matrix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UI Rendering</w:t>
      </w:r>
    </w:p>
    <w:p>
      <w:r>
        <w:pict>
          <v:rect style="width:0;height:1.5pt" o:hralign="center" o:hrstd="t" o:hr="t"/>
        </w:pict>
      </w:r>
    </w:p>
    <w:bookmarkEnd w:id="95"/>
    <w:bookmarkStart w:id="96" w:name="access-examples"/>
    <w:p>
      <w:pPr>
        <w:pStyle w:val="Heading1"/>
      </w:pPr>
      <w:r>
        <w:t xml:space="preserve">16.2 Access Examples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User Type</w:t>
            </w:r>
          </w:p>
        </w:tc>
        <w:tc>
          <w:tcPr/>
          <w:p>
            <w:pPr>
              <w:pStyle w:val="Compact"/>
            </w:pPr>
            <w:r>
              <w:t xml:space="preserve">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</w:t>
            </w:r>
          </w:p>
        </w:tc>
        <w:tc>
          <w:tcPr/>
          <w:p>
            <w:pPr>
              <w:pStyle w:val="Compact"/>
            </w:pPr>
            <w:r>
              <w:t xml:space="preserve">Full portfolio visibility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LP</w:t>
            </w:r>
          </w:p>
        </w:tc>
        <w:tc>
          <w:tcPr/>
          <w:p>
            <w:pPr>
              <w:pStyle w:val="Compact"/>
            </w:pPr>
            <w:r>
              <w:t xml:space="preserve">Fund returns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CFO</w:t>
            </w:r>
          </w:p>
        </w:tc>
        <w:tc>
          <w:tcPr/>
          <w:p>
            <w:pPr>
              <w:pStyle w:val="Compact"/>
            </w:pPr>
            <w:r>
              <w:t xml:space="preserve">Own company operational 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Analyst</w:t>
            </w:r>
          </w:p>
        </w:tc>
        <w:tc>
          <w:tcPr/>
          <w:p>
            <w:pPr>
              <w:pStyle w:val="Compact"/>
            </w:pPr>
            <w:r>
              <w:t xml:space="preserve">Read-only analytics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Full configuration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6"/>
    <w:bookmarkStart w:id="97" w:name="ai-assisted-architecture"/>
    <w:p>
      <w:pPr>
        <w:pStyle w:val="Heading1"/>
      </w:pPr>
      <w:r>
        <w:t xml:space="preserve">17. AI-Assisted Architecture</w:t>
      </w:r>
    </w:p>
    <w:bookmarkEnd w:id="97"/>
    <w:bookmarkStart w:id="98" w:name="ai-roles"/>
    <w:p>
      <w:pPr>
        <w:pStyle w:val="Heading1"/>
      </w:pPr>
      <w:r>
        <w:t xml:space="preserve">17.1 AI Roles</w:t>
      </w:r>
    </w:p>
    <w:p>
      <w:pPr>
        <w:pStyle w:val="FirstParagraph"/>
      </w:pPr>
      <w:r>
        <w:t xml:space="preserve">AI is used for:</w:t>
      </w:r>
    </w:p>
    <w:p>
      <w:pPr>
        <w:pStyle w:val="Compact"/>
        <w:numPr>
          <w:ilvl w:val="0"/>
          <w:numId w:val="1015"/>
        </w:numPr>
      </w:pPr>
      <w:r>
        <w:t xml:space="preserve">Mapping suggestions</w:t>
      </w:r>
    </w:p>
    <w:p>
      <w:pPr>
        <w:pStyle w:val="Compact"/>
        <w:numPr>
          <w:ilvl w:val="0"/>
          <w:numId w:val="1015"/>
        </w:numPr>
      </w:pPr>
      <w:r>
        <w:t xml:space="preserve">Rule recommendations</w:t>
      </w:r>
    </w:p>
    <w:p>
      <w:pPr>
        <w:pStyle w:val="Compact"/>
        <w:numPr>
          <w:ilvl w:val="0"/>
          <w:numId w:val="1015"/>
        </w:numPr>
      </w:pPr>
      <w:r>
        <w:t xml:space="preserve">Reconciliation anomaly detection</w:t>
      </w:r>
    </w:p>
    <w:p>
      <w:pPr>
        <w:pStyle w:val="Compact"/>
        <w:numPr>
          <w:ilvl w:val="0"/>
          <w:numId w:val="1015"/>
        </w:numPr>
      </w:pPr>
      <w:r>
        <w:t xml:space="preserve">Discovery call analysis</w:t>
      </w:r>
    </w:p>
    <w:p>
      <w:pPr>
        <w:pStyle w:val="Compact"/>
        <w:numPr>
          <w:ilvl w:val="0"/>
          <w:numId w:val="1015"/>
        </w:numPr>
      </w:pPr>
      <w:r>
        <w:t xml:space="preserve">Operational risk summarization</w:t>
      </w:r>
    </w:p>
    <w:p>
      <w:pPr>
        <w:pStyle w:val="Compact"/>
        <w:numPr>
          <w:ilvl w:val="0"/>
          <w:numId w:val="1015"/>
        </w:numPr>
      </w:pPr>
      <w:r>
        <w:t xml:space="preserve">Data completeness recommendations</w:t>
      </w:r>
    </w:p>
    <w:p>
      <w:pPr>
        <w:pStyle w:val="Compact"/>
        <w:numPr>
          <w:ilvl w:val="0"/>
          <w:numId w:val="1015"/>
        </w:numPr>
      </w:pPr>
      <w:r>
        <w:t xml:space="preserve">Configuration assistance</w:t>
      </w:r>
    </w:p>
    <w:p>
      <w:r>
        <w:pict>
          <v:rect style="width:0;height:1.5pt" o:hralign="center" o:hrstd="t" o:hr="t"/>
        </w:pict>
      </w:r>
    </w:p>
    <w:bookmarkEnd w:id="98"/>
    <w:bookmarkStart w:id="99" w:name="ai-guardrails"/>
    <w:p>
      <w:pPr>
        <w:pStyle w:val="Heading1"/>
      </w:pPr>
      <w:r>
        <w:t xml:space="preserve">17.2 AI Guardrails</w:t>
      </w:r>
    </w:p>
    <w:p>
      <w:pPr>
        <w:pStyle w:val="FirstParagraph"/>
      </w:pPr>
      <w:r>
        <w:t xml:space="preserve">AI cannot:</w:t>
      </w:r>
    </w:p>
    <w:p>
      <w:pPr>
        <w:pStyle w:val="Compact"/>
        <w:numPr>
          <w:ilvl w:val="0"/>
          <w:numId w:val="1016"/>
        </w:numPr>
      </w:pPr>
      <w:r>
        <w:t xml:space="preserve">Override approved financials</w:t>
      </w:r>
    </w:p>
    <w:p>
      <w:pPr>
        <w:pStyle w:val="Compact"/>
        <w:numPr>
          <w:ilvl w:val="0"/>
          <w:numId w:val="1016"/>
        </w:numPr>
      </w:pPr>
      <w:r>
        <w:t xml:space="preserve">Modify locked deal baselines</w:t>
      </w:r>
    </w:p>
    <w:p>
      <w:pPr>
        <w:pStyle w:val="Compact"/>
        <w:numPr>
          <w:ilvl w:val="0"/>
          <w:numId w:val="1016"/>
        </w:numPr>
      </w:pPr>
      <w:r>
        <w:t xml:space="preserve">Alter waterfall methodologies automatically</w:t>
      </w:r>
    </w:p>
    <w:p>
      <w:pPr>
        <w:pStyle w:val="Compact"/>
        <w:numPr>
          <w:ilvl w:val="0"/>
          <w:numId w:val="1016"/>
        </w:numPr>
      </w:pPr>
      <w:r>
        <w:t xml:space="preserve">Change source mappings without approval</w:t>
      </w:r>
    </w:p>
    <w:p>
      <w:r>
        <w:pict>
          <v:rect style="width:0;height:1.5pt" o:hralign="center" o:hrstd="t" o:hr="t"/>
        </w:pict>
      </w:r>
    </w:p>
    <w:bookmarkEnd w:id="99"/>
    <w:bookmarkStart w:id="100" w:name="event-architecture"/>
    <w:p>
      <w:pPr>
        <w:pStyle w:val="Heading1"/>
      </w:pPr>
      <w:r>
        <w:t xml:space="preserve">18. Event Architecture</w:t>
      </w:r>
    </w:p>
    <w:bookmarkEnd w:id="100"/>
    <w:bookmarkStart w:id="101" w:name="core-events"/>
    <w:p>
      <w:pPr>
        <w:pStyle w:val="Heading1"/>
      </w:pPr>
      <w:r>
        <w:t xml:space="preserve">18.1 Core Events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sync completed</w:t>
            </w:r>
          </w:p>
        </w:tc>
        <w:tc>
          <w:tcPr/>
          <w:p>
            <w:pPr>
              <w:pStyle w:val="Compact"/>
            </w:pPr>
            <w:r>
              <w:t xml:space="preserve">Integration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Metric recalculated</w:t>
            </w:r>
          </w:p>
        </w:tc>
        <w:tc>
          <w:tcPr/>
          <w:p>
            <w:pPr>
              <w:pStyle w:val="Compact"/>
            </w:pPr>
            <w:r>
              <w:t xml:space="preserve">Mapping 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Rule triggered</w:t>
            </w:r>
          </w:p>
        </w:tc>
        <w:tc>
          <w:tcPr/>
          <w:p>
            <w:pPr>
              <w:pStyle w:val="Compact"/>
            </w:pPr>
            <w:r>
              <w:t xml:space="preserve">Scenario evaluation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Variance threshold exceeded</w:t>
            </w:r>
          </w:p>
        </w:tc>
        <w:tc>
          <w:tcPr/>
          <w:p>
            <w:pPr>
              <w:pStyle w:val="Compact"/>
            </w:pPr>
            <w:r>
              <w:t xml:space="preserve">Reconciliation engine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Waterfall recalculated</w:t>
            </w:r>
          </w:p>
        </w:tc>
        <w:tc>
          <w:tcPr/>
          <w:p>
            <w:pPr>
              <w:pStyle w:val="Compact"/>
            </w:pPr>
            <w:r>
              <w:t xml:space="preserve">Deal config 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Ownership updated</w:t>
            </w:r>
          </w:p>
        </w:tc>
        <w:tc>
          <w:tcPr/>
          <w:p>
            <w:pPr>
              <w:pStyle w:val="Compact"/>
            </w:pPr>
            <w:r>
              <w:t xml:space="preserve">Transaction event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1"/>
    <w:bookmarkStart w:id="102" w:name="audit-architecture"/>
    <w:p>
      <w:pPr>
        <w:pStyle w:val="Heading1"/>
      </w:pPr>
      <w:r>
        <w:t xml:space="preserve">19. Audit Architecture</w:t>
      </w:r>
    </w:p>
    <w:bookmarkEnd w:id="102"/>
    <w:bookmarkStart w:id="103" w:name="immutable-logging"/>
    <w:p>
      <w:pPr>
        <w:pStyle w:val="Heading1"/>
      </w:pPr>
      <w:r>
        <w:t xml:space="preserve">19.1 Immutable Logging</w:t>
      </w:r>
    </w:p>
    <w:p>
      <w:pPr>
        <w:pStyle w:val="FirstParagraph"/>
      </w:pPr>
      <w:r>
        <w:t xml:space="preserve">All changes persist:</w:t>
      </w:r>
    </w:p>
    <w:p>
      <w:pPr>
        <w:pStyle w:val="Compact"/>
        <w:numPr>
          <w:ilvl w:val="0"/>
          <w:numId w:val="1017"/>
        </w:numPr>
      </w:pPr>
      <w:r>
        <w:t xml:space="preserve">Previous value</w:t>
      </w:r>
    </w:p>
    <w:p>
      <w:pPr>
        <w:pStyle w:val="Compact"/>
        <w:numPr>
          <w:ilvl w:val="0"/>
          <w:numId w:val="1017"/>
        </w:numPr>
      </w:pPr>
      <w:r>
        <w:t xml:space="preserve">New value</w:t>
      </w:r>
    </w:p>
    <w:p>
      <w:pPr>
        <w:pStyle w:val="Compact"/>
        <w:numPr>
          <w:ilvl w:val="0"/>
          <w:numId w:val="1017"/>
        </w:numPr>
      </w:pPr>
      <w:r>
        <w:t xml:space="preserve">User</w:t>
      </w:r>
    </w:p>
    <w:p>
      <w:pPr>
        <w:pStyle w:val="Compact"/>
        <w:numPr>
          <w:ilvl w:val="0"/>
          <w:numId w:val="1017"/>
        </w:numPr>
      </w:pPr>
      <w:r>
        <w:t xml:space="preserve">Timestamp</w:t>
      </w:r>
    </w:p>
    <w:p>
      <w:pPr>
        <w:pStyle w:val="Compact"/>
        <w:numPr>
          <w:ilvl w:val="0"/>
          <w:numId w:val="1017"/>
        </w:numPr>
      </w:pPr>
      <w:r>
        <w:t xml:space="preserve">Reason code</w:t>
      </w:r>
    </w:p>
    <w:p>
      <w:pPr>
        <w:pStyle w:val="Compact"/>
        <w:numPr>
          <w:ilvl w:val="0"/>
          <w:numId w:val="1017"/>
        </w:numPr>
      </w:pPr>
      <w:r>
        <w:t xml:space="preserve">Source context</w:t>
      </w:r>
    </w:p>
    <w:p>
      <w:r>
        <w:pict>
          <v:rect style="width:0;height:1.5pt" o:hralign="center" o:hrstd="t" o:hr="t"/>
        </w:pict>
      </w:r>
    </w:p>
    <w:bookmarkEnd w:id="103"/>
    <w:bookmarkStart w:id="104" w:name="audit-trail-example"/>
    <w:p>
      <w:pPr>
        <w:pStyle w:val="Heading1"/>
      </w:pPr>
      <w:r>
        <w:t xml:space="preserve">19.2 Audit Trail Example</w:t>
      </w:r>
    </w:p>
    <w:p>
      <w:pPr>
        <w:pStyle w:val="SourceCode"/>
      </w:pPr>
      <w:r>
        <w:rPr>
          <w:rStyle w:val="VerbatimChar"/>
        </w:rPr>
        <w:t xml:space="preserve">ARR changed from $8.1M → $8.2M</w:t>
      </w:r>
      <w:r>
        <w:br/>
      </w:r>
      <w:r>
        <w:rPr>
          <w:rStyle w:val="VerbatimChar"/>
        </w:rPr>
        <w:t xml:space="preserve">Reason: Salesforce sync updated MRR</w:t>
      </w:r>
      <w:r>
        <w:br/>
      </w:r>
      <w:r>
        <w:rPr>
          <w:rStyle w:val="VerbatimChar"/>
        </w:rPr>
        <w:t xml:space="preserve">Triggered by: Automated sync</w:t>
      </w:r>
      <w:r>
        <w:br/>
      </w:r>
      <w:r>
        <w:rPr>
          <w:rStyle w:val="VerbatimChar"/>
        </w:rPr>
        <w:t xml:space="preserve">Timestamp: 2026-05-19 10:14 UTC</w:t>
      </w:r>
      <w:r>
        <w:br/>
      </w:r>
      <w:r>
        <w:rPr>
          <w:rStyle w:val="VerbatimChar"/>
        </w:rPr>
        <w:t xml:space="preserve">Approved by: CFO override not required</w:t>
      </w:r>
    </w:p>
    <w:p>
      <w:r>
        <w:pict>
          <v:rect style="width:0;height:1.5pt" o:hralign="center" o:hrstd="t" o:hr="t"/>
        </w:pict>
      </w:r>
    </w:p>
    <w:bookmarkEnd w:id="104"/>
    <w:bookmarkStart w:id="105" w:name="technical-architecture"/>
    <w:p>
      <w:pPr>
        <w:pStyle w:val="Heading1"/>
      </w:pPr>
      <w:r>
        <w:t xml:space="preserve">20. Technical Architecture</w:t>
      </w:r>
    </w:p>
    <w:bookmarkEnd w:id="105"/>
    <w:bookmarkStart w:id="106" w:name="frontend"/>
    <w:p>
      <w:pPr>
        <w:pStyle w:val="Heading1"/>
      </w:pPr>
      <w:r>
        <w:t xml:space="preserve">20.1 Frontend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React + Vite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Charts</w:t>
            </w:r>
          </w:p>
        </w:tc>
        <w:tc>
          <w:tcPr/>
          <w:p>
            <w:pPr>
              <w:pStyle w:val="Compact"/>
            </w:pPr>
            <w:r>
              <w:t xml:space="preserve">Recharts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Context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Styling</w:t>
            </w:r>
          </w:p>
        </w:tc>
        <w:tc>
          <w:tcPr/>
          <w:p>
            <w:pPr>
              <w:pStyle w:val="Compact"/>
            </w:pPr>
            <w:r>
              <w:t xml:space="preserve">Inline / utility-based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Icons</w:t>
            </w:r>
          </w:p>
        </w:tc>
        <w:tc>
          <w:tcPr/>
          <w:p>
            <w:pPr>
              <w:pStyle w:val="Compact"/>
            </w:pPr>
            <w:r>
              <w:t xml:space="preserve">Lucide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6"/>
    <w:bookmarkStart w:id="107" w:name="backend"/>
    <w:p>
      <w:pPr>
        <w:pStyle w:val="Heading1"/>
      </w:pPr>
      <w:r>
        <w:t xml:space="preserve">20.2 Backend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Runtime</w:t>
            </w:r>
          </w:p>
        </w:tc>
        <w:tc>
          <w:tcPr/>
          <w:p>
            <w:pPr>
              <w:pStyle w:val="Compact"/>
            </w:pPr>
            <w:r>
              <w:t xml:space="preserve">Node.js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Express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ODM</w:t>
            </w:r>
          </w:p>
        </w:tc>
        <w:tc>
          <w:tcPr/>
          <w:p>
            <w:pPr>
              <w:pStyle w:val="Compact"/>
            </w:pPr>
            <w:r>
              <w:t xml:space="preserve">Mongoose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MongoDB Atlas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Integration</w:t>
            </w:r>
          </w:p>
        </w:tc>
        <w:tc>
          <w:tcPr/>
          <w:p>
            <w:pPr>
              <w:pStyle w:val="Compact"/>
            </w:pPr>
            <w:r>
              <w:t xml:space="preserve">Claude API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7"/>
    <w:bookmarkStart w:id="108" w:name="integration-layer"/>
    <w:p>
      <w:pPr>
        <w:pStyle w:val="Heading1"/>
      </w:pPr>
      <w:r>
        <w:t xml:space="preserve">20.3 Integration Layer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Webhooks</w:t>
            </w:r>
          </w:p>
        </w:tc>
        <w:tc>
          <w:tcPr/>
          <w:p>
            <w:pPr>
              <w:pStyle w:val="Compact"/>
            </w:pPr>
            <w:r>
              <w:t xml:space="preserve">Real-time sync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adapters</w:t>
            </w:r>
          </w:p>
        </w:tc>
        <w:tc>
          <w:tcPr/>
          <w:p>
            <w:pPr>
              <w:pStyle w:val="Compact"/>
            </w:pPr>
            <w:r>
              <w:t xml:space="preserve">CRM/ERP connectivity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Mapping engine</w:t>
            </w:r>
          </w:p>
        </w:tc>
        <w:tc>
          <w:tcPr/>
          <w:p>
            <w:pPr>
              <w:pStyle w:val="Compact"/>
            </w:pPr>
            <w:r>
              <w:t xml:space="preserve">Canonical transformation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Snapshot engine</w:t>
            </w:r>
          </w:p>
        </w:tc>
        <w:tc>
          <w:tcPr/>
          <w:p>
            <w:pPr>
              <w:pStyle w:val="Compact"/>
            </w:pPr>
            <w:r>
              <w:t xml:space="preserve">Historical persistence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8"/>
    <w:bookmarkStart w:id="111" w:name="recommended-future-enhancements"/>
    <w:p>
      <w:pPr>
        <w:pStyle w:val="Heading1"/>
      </w:pPr>
      <w:r>
        <w:t xml:space="preserve">21. Recommended Future Enhancements</w:t>
      </w:r>
    </w:p>
    <w:bookmarkStart w:id="109" w:name="phase-2"/>
    <w:p>
      <w:pPr>
        <w:pStyle w:val="Heading2"/>
      </w:pPr>
      <w:r>
        <w:t xml:space="preserve">Phase 2</w:t>
      </w:r>
    </w:p>
    <w:p>
      <w:pPr>
        <w:pStyle w:val="Compact"/>
        <w:numPr>
          <w:ilvl w:val="0"/>
          <w:numId w:val="1018"/>
        </w:numPr>
      </w:pPr>
      <w:r>
        <w:t xml:space="preserve">Real-time streaming architecture</w:t>
      </w:r>
    </w:p>
    <w:p>
      <w:pPr>
        <w:pStyle w:val="Compact"/>
        <w:numPr>
          <w:ilvl w:val="0"/>
          <w:numId w:val="1018"/>
        </w:numPr>
      </w:pPr>
      <w:r>
        <w:t xml:space="preserve">Kafka event bus</w:t>
      </w:r>
    </w:p>
    <w:p>
      <w:pPr>
        <w:pStyle w:val="Compact"/>
        <w:numPr>
          <w:ilvl w:val="0"/>
          <w:numId w:val="1018"/>
        </w:numPr>
      </w:pPr>
      <w:r>
        <w:t xml:space="preserve">Delta-based recalculation engine</w:t>
      </w:r>
    </w:p>
    <w:p>
      <w:pPr>
        <w:pStyle w:val="Compact"/>
        <w:numPr>
          <w:ilvl w:val="0"/>
          <w:numId w:val="1018"/>
        </w:numPr>
      </w:pPr>
      <w:r>
        <w:t xml:space="preserve">AI anomaly clustering</w:t>
      </w:r>
    </w:p>
    <w:p>
      <w:pPr>
        <w:pStyle w:val="Compact"/>
        <w:numPr>
          <w:ilvl w:val="0"/>
          <w:numId w:val="1018"/>
        </w:numPr>
      </w:pPr>
      <w:r>
        <w:t xml:space="preserve">Automated benchmark ingestion</w:t>
      </w:r>
    </w:p>
    <w:p>
      <w:pPr>
        <w:pStyle w:val="Compact"/>
        <w:numPr>
          <w:ilvl w:val="0"/>
          <w:numId w:val="1018"/>
        </w:numPr>
      </w:pPr>
      <w:r>
        <w:t xml:space="preserve">Regulatory controls framework</w:t>
      </w:r>
    </w:p>
    <w:p>
      <w:pPr>
        <w:pStyle w:val="Compact"/>
        <w:numPr>
          <w:ilvl w:val="0"/>
          <w:numId w:val="1018"/>
        </w:numPr>
      </w:pPr>
      <w:r>
        <w:t xml:space="preserve">Rev rec validation engine</w:t>
      </w:r>
    </w:p>
    <w:p>
      <w:pPr>
        <w:pStyle w:val="Compact"/>
        <w:numPr>
          <w:ilvl w:val="0"/>
          <w:numId w:val="1018"/>
        </w:numPr>
      </w:pPr>
      <w:r>
        <w:t xml:space="preserve">Contract intelligence parsing</w:t>
      </w:r>
    </w:p>
    <w:p>
      <w:r>
        <w:pict>
          <v:rect style="width:0;height:1.5pt" o:hralign="center" o:hrstd="t" o:hr="t"/>
        </w:pict>
      </w:r>
    </w:p>
    <w:bookmarkEnd w:id="109"/>
    <w:bookmarkStart w:id="110" w:name="phase-3"/>
    <w:p>
      <w:pPr>
        <w:pStyle w:val="Heading2"/>
      </w:pPr>
      <w:r>
        <w:t xml:space="preserve">Phase 3</w:t>
      </w:r>
    </w:p>
    <w:p>
      <w:pPr>
        <w:pStyle w:val="Compact"/>
        <w:numPr>
          <w:ilvl w:val="0"/>
          <w:numId w:val="1019"/>
        </w:numPr>
      </w:pPr>
      <w:r>
        <w:t xml:space="preserve">Multi-fund consolidation</w:t>
      </w:r>
    </w:p>
    <w:p>
      <w:pPr>
        <w:pStyle w:val="Compact"/>
        <w:numPr>
          <w:ilvl w:val="0"/>
          <w:numId w:val="1019"/>
        </w:numPr>
      </w:pPr>
      <w:r>
        <w:t xml:space="preserve">LP portal</w:t>
      </w:r>
    </w:p>
    <w:p>
      <w:pPr>
        <w:pStyle w:val="Compact"/>
        <w:numPr>
          <w:ilvl w:val="0"/>
          <w:numId w:val="1019"/>
        </w:numPr>
      </w:pPr>
      <w:r>
        <w:t xml:space="preserve">Board reporting automation</w:t>
      </w:r>
    </w:p>
    <w:p>
      <w:pPr>
        <w:pStyle w:val="Compact"/>
        <w:numPr>
          <w:ilvl w:val="0"/>
          <w:numId w:val="1019"/>
        </w:numPr>
      </w:pPr>
      <w:r>
        <w:t xml:space="preserve">AI-generated operational commentary</w:t>
      </w:r>
    </w:p>
    <w:p>
      <w:pPr>
        <w:pStyle w:val="Compact"/>
        <w:numPr>
          <w:ilvl w:val="0"/>
          <w:numId w:val="1019"/>
        </w:numPr>
      </w:pPr>
      <w:r>
        <w:t xml:space="preserve">Predictive leakage forecasting</w:t>
      </w:r>
    </w:p>
    <w:p>
      <w:pPr>
        <w:pStyle w:val="Compact"/>
        <w:numPr>
          <w:ilvl w:val="0"/>
          <w:numId w:val="1019"/>
        </w:numPr>
      </w:pPr>
      <w:r>
        <w:t xml:space="preserve">Treasury optimization analytics</w:t>
      </w:r>
    </w:p>
    <w:p>
      <w:pPr>
        <w:pStyle w:val="Compact"/>
        <w:numPr>
          <w:ilvl w:val="0"/>
          <w:numId w:val="1019"/>
        </w:numPr>
      </w:pPr>
      <w:r>
        <w:t xml:space="preserve">Capital allocation optimization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2" w:name="strategic-positioning"/>
    <w:p>
      <w:pPr>
        <w:pStyle w:val="Heading1"/>
      </w:pPr>
      <w:r>
        <w:t xml:space="preserve">22. Strategic Positioning</w:t>
      </w:r>
    </w:p>
    <w:p>
      <w:pPr>
        <w:pStyle w:val="FirstParagraph"/>
      </w:pPr>
      <w:r>
        <w:t xml:space="preserve">The platform is not merely:</w:t>
      </w:r>
    </w:p>
    <w:p>
      <w:pPr>
        <w:pStyle w:val="Compact"/>
        <w:numPr>
          <w:ilvl w:val="0"/>
          <w:numId w:val="1020"/>
        </w:numPr>
      </w:pPr>
      <w:r>
        <w:t xml:space="preserve">A dashboard</w:t>
      </w:r>
    </w:p>
    <w:p>
      <w:pPr>
        <w:pStyle w:val="Compact"/>
        <w:numPr>
          <w:ilvl w:val="0"/>
          <w:numId w:val="1020"/>
        </w:numPr>
      </w:pPr>
      <w:r>
        <w:t xml:space="preserve">A CRM extension</w:t>
      </w:r>
    </w:p>
    <w:p>
      <w:pPr>
        <w:pStyle w:val="Compact"/>
        <w:numPr>
          <w:ilvl w:val="0"/>
          <w:numId w:val="1020"/>
        </w:numPr>
      </w:pPr>
      <w:r>
        <w:t xml:space="preserve">A reporting layer</w:t>
      </w:r>
    </w:p>
    <w:p>
      <w:pPr>
        <w:pStyle w:val="Compact"/>
        <w:numPr>
          <w:ilvl w:val="0"/>
          <w:numId w:val="1020"/>
        </w:numPr>
      </w:pPr>
      <w:r>
        <w:t xml:space="preserve">A reconciliation utility</w:t>
      </w:r>
    </w:p>
    <w:p>
      <w:pPr>
        <w:pStyle w:val="FirstParagraph"/>
      </w:pPr>
      <w:r>
        <w:t xml:space="preserve">It is:</w:t>
      </w:r>
    </w:p>
    <w:p>
      <w:pPr>
        <w:pStyle w:val="BlockText"/>
      </w:pPr>
      <w:r>
        <w:t xml:space="preserve">A PE-grade operational intelligence and reconciliation operating system.</w:t>
      </w:r>
    </w:p>
    <w:p>
      <w:pPr>
        <w:pStyle w:val="FirstParagraph"/>
      </w:pPr>
      <w:r>
        <w:t xml:space="preserve">It unifies:</w:t>
      </w:r>
    </w:p>
    <w:p>
      <w:pPr>
        <w:pStyle w:val="Compact"/>
        <w:numPr>
          <w:ilvl w:val="0"/>
          <w:numId w:val="1021"/>
        </w:numPr>
      </w:pPr>
      <w:r>
        <w:t xml:space="preserve">Operational systems</w:t>
      </w:r>
    </w:p>
    <w:p>
      <w:pPr>
        <w:pStyle w:val="Compact"/>
        <w:numPr>
          <w:ilvl w:val="0"/>
          <w:numId w:val="1021"/>
        </w:numPr>
      </w:pPr>
      <w:r>
        <w:t xml:space="preserve">Financial systems</w:t>
      </w:r>
    </w:p>
    <w:p>
      <w:pPr>
        <w:pStyle w:val="Compact"/>
        <w:numPr>
          <w:ilvl w:val="0"/>
          <w:numId w:val="1021"/>
        </w:numPr>
      </w:pPr>
      <w:r>
        <w:t xml:space="preserve">Investment intelligence</w:t>
      </w:r>
    </w:p>
    <w:p>
      <w:pPr>
        <w:pStyle w:val="Compact"/>
        <w:numPr>
          <w:ilvl w:val="0"/>
          <w:numId w:val="1021"/>
        </w:numPr>
      </w:pPr>
      <w:r>
        <w:t xml:space="preserve">Governance</w:t>
      </w:r>
    </w:p>
    <w:p>
      <w:pPr>
        <w:pStyle w:val="Compact"/>
        <w:numPr>
          <w:ilvl w:val="0"/>
          <w:numId w:val="1021"/>
        </w:numPr>
      </w:pPr>
      <w:r>
        <w:t xml:space="preserve">Waterfall economics</w:t>
      </w:r>
    </w:p>
    <w:p>
      <w:pPr>
        <w:pStyle w:val="Compact"/>
        <w:numPr>
          <w:ilvl w:val="0"/>
          <w:numId w:val="1021"/>
        </w:numPr>
      </w:pPr>
      <w:r>
        <w:t xml:space="preserve">Data lineage</w:t>
      </w:r>
    </w:p>
    <w:p>
      <w:pPr>
        <w:pStyle w:val="Compact"/>
        <w:numPr>
          <w:ilvl w:val="0"/>
          <w:numId w:val="1021"/>
        </w:numPr>
      </w:pPr>
      <w:r>
        <w:t xml:space="preserve">AI-assisted operational analysis</w:t>
      </w:r>
    </w:p>
    <w:p>
      <w:pPr>
        <w:pStyle w:val="FirstParagraph"/>
      </w:pPr>
      <w:r>
        <w:t xml:space="preserve">Into a single traceable intelligence architecture.</w:t>
      </w:r>
    </w:p>
    <w:p>
      <w:r>
        <w:pict>
          <v:rect style="width:0;height:1.5pt" o:hralign="center" o:hrstd="t" o:hr="t"/>
        </w:pict>
      </w:r>
    </w:p>
    <w:bookmarkEnd w:id="112"/>
    <w:bookmarkStart w:id="114" w:name="closing-architecture-summary"/>
    <w:p>
      <w:pPr>
        <w:pStyle w:val="Heading1"/>
      </w:pPr>
      <w:r>
        <w:t xml:space="preserve">23. Closing Architecture Summary</w:t>
      </w:r>
    </w:p>
    <w:bookmarkStart w:id="113" w:name="system-purpose"/>
    <w:p>
      <w:pPr>
        <w:pStyle w:val="Heading2"/>
      </w:pPr>
      <w:r>
        <w:t xml:space="preserve">System Purpose</w:t>
      </w:r>
    </w:p>
    <w:p>
      <w:pPr>
        <w:pStyle w:val="SourceCode"/>
      </w:pPr>
      <w:r>
        <w:rPr>
          <w:rStyle w:val="VerbatimChar"/>
        </w:rPr>
        <w:t xml:space="preserve">Operational Data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Mapping &amp; Transformation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Canonical Metrics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Scenario Evaluation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Confidence Scoring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Expected vs Actual Reconciliation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Portfolio Intelligence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Fund Intelligence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Board / PE Decisioning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15" w:name="final-positioning-statement"/>
    <w:p>
      <w:pPr>
        <w:pStyle w:val="Heading1"/>
      </w:pPr>
      <w:r>
        <w:t xml:space="preserve">24. Final Positioning Statement</w:t>
      </w:r>
    </w:p>
    <w:p>
      <w:pPr>
        <w:pStyle w:val="FirstParagraph"/>
      </w:pPr>
      <w:r>
        <w:t xml:space="preserve">FinBridgeCo / HandoverOS creates:</w:t>
      </w:r>
    </w:p>
    <w:p>
      <w:pPr>
        <w:pStyle w:val="Compact"/>
        <w:numPr>
          <w:ilvl w:val="0"/>
          <w:numId w:val="1022"/>
        </w:numPr>
      </w:pPr>
      <w:r>
        <w:t xml:space="preserve">Traceable operational intelligence</w:t>
      </w:r>
    </w:p>
    <w:p>
      <w:pPr>
        <w:pStyle w:val="Compact"/>
        <w:numPr>
          <w:ilvl w:val="0"/>
          <w:numId w:val="1022"/>
        </w:numPr>
      </w:pPr>
      <w:r>
        <w:t xml:space="preserve">Ownership-aware portfolio analytics</w:t>
      </w:r>
    </w:p>
    <w:p>
      <w:pPr>
        <w:pStyle w:val="Compact"/>
        <w:numPr>
          <w:ilvl w:val="0"/>
          <w:numId w:val="1022"/>
        </w:numPr>
      </w:pPr>
      <w:r>
        <w:t xml:space="preserve">Dynamic waterfall economics</w:t>
      </w:r>
    </w:p>
    <w:p>
      <w:pPr>
        <w:pStyle w:val="Compact"/>
        <w:numPr>
          <w:ilvl w:val="0"/>
          <w:numId w:val="1022"/>
        </w:numPr>
      </w:pPr>
      <w:r>
        <w:t xml:space="preserve">Scenario-based leakage detection</w:t>
      </w:r>
    </w:p>
    <w:p>
      <w:pPr>
        <w:pStyle w:val="Compact"/>
        <w:numPr>
          <w:ilvl w:val="0"/>
          <w:numId w:val="1022"/>
        </w:numPr>
      </w:pPr>
      <w:r>
        <w:t xml:space="preserve">Fund-to-portco reconciliation</w:t>
      </w:r>
    </w:p>
    <w:p>
      <w:pPr>
        <w:pStyle w:val="Compact"/>
        <w:numPr>
          <w:ilvl w:val="0"/>
          <w:numId w:val="1022"/>
        </w:numPr>
      </w:pPr>
      <w:r>
        <w:t xml:space="preserve">AI-assisted operational governance</w:t>
      </w:r>
    </w:p>
    <w:p>
      <w:pPr>
        <w:pStyle w:val="FirstParagraph"/>
      </w:pPr>
      <w:r>
        <w:t xml:space="preserve">while preserving:</w:t>
      </w:r>
    </w:p>
    <w:p>
      <w:pPr>
        <w:pStyle w:val="Compact"/>
        <w:numPr>
          <w:ilvl w:val="0"/>
          <w:numId w:val="1023"/>
        </w:numPr>
      </w:pPr>
      <w:r>
        <w:t xml:space="preserve">auditability</w:t>
      </w:r>
    </w:p>
    <w:p>
      <w:pPr>
        <w:pStyle w:val="Compact"/>
        <w:numPr>
          <w:ilvl w:val="0"/>
          <w:numId w:val="1023"/>
        </w:numPr>
      </w:pPr>
      <w:r>
        <w:t xml:space="preserve">lineage</w:t>
      </w:r>
    </w:p>
    <w:p>
      <w:pPr>
        <w:pStyle w:val="Compact"/>
        <w:numPr>
          <w:ilvl w:val="0"/>
          <w:numId w:val="1023"/>
        </w:numPr>
      </w:pPr>
      <w:r>
        <w:t xml:space="preserve">explainability</w:t>
      </w:r>
    </w:p>
    <w:p>
      <w:pPr>
        <w:pStyle w:val="Compact"/>
        <w:numPr>
          <w:ilvl w:val="0"/>
          <w:numId w:val="1023"/>
        </w:numPr>
      </w:pPr>
      <w:r>
        <w:t xml:space="preserve">reconciliation integrity</w:t>
      </w:r>
    </w:p>
    <w:p>
      <w:pPr>
        <w:pStyle w:val="Compact"/>
        <w:numPr>
          <w:ilvl w:val="0"/>
          <w:numId w:val="1023"/>
        </w:numPr>
      </w:pPr>
      <w:r>
        <w:t xml:space="preserve">investment traceability</w:t>
      </w:r>
    </w:p>
    <w:p>
      <w:pPr>
        <w:pStyle w:val="Compact"/>
        <w:numPr>
          <w:ilvl w:val="0"/>
          <w:numId w:val="1023"/>
        </w:numPr>
      </w:pPr>
      <w:r>
        <w:t xml:space="preserve">operational context</w:t>
      </w:r>
    </w:p>
    <w:p>
      <w:pPr>
        <w:pStyle w:val="FirstParagraph"/>
      </w:pPr>
      <w:r>
        <w:t xml:space="preserve">across the full investment lifecycle.</w:t>
      </w:r>
    </w:p>
    <w:bookmarkEnd w:id="1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2026-07-16T00:16:43Z</dcterms:created>
  <dcterms:modified xsi:type="dcterms:W3CDTF">2026-07-16T00:16:43Z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