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Salt Basin Thesis Evidence Chain,</w:t>
        <w:br/>
        <w:t>Data Channel Rod &amp; Orbit Model</w:t>
      </w:r>
    </w:p>
    <w:p>
      <w:pPr>
        <w:jc w:val="center"/>
      </w:pPr>
      <w:r>
        <w:rPr>
          <w:b/>
          <w:sz w:val="28"/>
        </w:rPr>
        <w:t>Fully Detailed Annotated Working Session Notes</w:t>
      </w:r>
    </w:p>
    <w:p>
      <w:pPr>
        <w:jc w:val="center"/>
      </w:pPr>
      <w:r>
        <w:rPr>
          <w:i/>
        </w:rPr>
        <w:t>ILLUSTRATIVE / CONCEPTUAL PRODUCT ARCHITECTURE</w:t>
      </w:r>
    </w:p>
    <w:p/>
    <w:p>
      <w:pPr>
        <w:pStyle w:val="Heading1"/>
      </w:pPr>
      <w:r>
        <w:t>1. Purpose of This Working Session</w:t>
      </w:r>
    </w:p>
    <w:p>
      <w:r>
        <w:t>This working session evolved from analysis of the Salt Basin Thesis Evidence Chain proof-of-concept workbook into a clearer articulation of a private equity thesis evidence and attribution architecture.</w:t>
      </w:r>
    </w:p>
    <w:p>
      <w:r>
        <w:t>The central question moved beyond “How do we report portfolio-company performance?” to: How do we preserve, classify, attribute, and continuously strengthen the evidence required to prove whether a value-creation thesis actually created the economic outcome claimed?</w:t>
      </w:r>
    </w:p>
    <w:p>
      <w:r>
        <w:t>The session produced three major conceptual outputs: (1) executive analysis of the proof of concept, (2) the Data Channel Rod / Thesis Evidence Chain model, and (3) the 3D Orbit and geometric convergence model.</w:t>
      </w:r>
    </w:p>
    <w:p>
      <w:r>
        <w:rPr>
          <w:b/>
        </w:rPr>
        <w:t>ANNOTATION — The most important conceptual evolution was the recognition that Salt Basin should not merely calculate metrics or visualize outcomes. It should maintain a persistent, governed, time-aware evidence model capable of determining how much of a stated value-creation claim is currently defensible.</w:t>
      </w:r>
    </w:p>
    <w:p>
      <w:pPr>
        <w:pStyle w:val="Heading1"/>
      </w:pPr>
      <w:r>
        <w:t>2. Initial Proof-of-Concept Interpretation</w:t>
      </w:r>
    </w:p>
    <w:p>
      <w:r>
        <w:t>CORE PROPOSITION — The workbook was interpreted as an early proof of concept for a Thesis Evidence Operating System.</w:t>
      </w:r>
    </w:p>
    <w:p>
      <w:r>
        <w:t>The proposed evidence chain is: Stated Belief / Thesis → Operational Event → Financial Movement → Attributable Outcome → Exit Claim.</w:t>
      </w:r>
    </w:p>
    <w:p>
      <w:r>
        <w:rPr>
          <w:b/>
        </w:rPr>
        <w:t>ANNOTATION — Traditional BI generally begins with “What metric should I report?” Salt Basin begins with “What does the organization believe will happen, and what evidence would be required to determine whether that belief became economically true?” The thesis therefore becomes a persistent data object, not narrative text trapped in an investment committee memo or presentation.</w:t>
      </w:r>
    </w:p>
    <w:p>
      <w:pPr>
        <w:pStyle w:val="Heading1"/>
      </w:pPr>
      <w:r>
        <w:t>3. Proof-of-Concept Financial Results Analyzed</w:t>
      </w:r>
    </w:p>
    <w:p>
      <w:r>
        <w:t>The illustrative workbook showed movement from 2026 to 2032: Ending ARR from $26.8M to $47.6M (+$20.8M); Revenue from $26.8M to $46.4M (+$19.6M); Gross Margin from 50.0% to 53.0% (+300 bps); EBITDA from $1.4M to $11.9M (+$10.5M); and EBITDA Margin from 5.2% to 25.7% (+2,040 bps).</w:t>
      </w:r>
    </w:p>
    <w:p>
      <w:r>
        <w:t>The approximately $20.77M net ARR movement was mathematically separated into illustrative economic drivers: approximately $6.26M price effect, $6.62M volume effect, $2.32M mix effect, $(0.33)M churn effect, and $5.90M inherited add-on ARR.</w:t>
      </w:r>
    </w:p>
    <w:p>
      <w:r>
        <w:rPr>
          <w:b/>
        </w:rPr>
        <w:t>ANNOTATION — The important capability is not the ARR growth itself. It is the beginning of an ability to separate financial movement according to economic cause classification. However, classification is not the same as attribution. That distinction became the central finding of the executive analysis.</w:t>
      </w:r>
    </w:p>
    <w:p>
      <w:pPr>
        <w:pStyle w:val="Heading1"/>
      </w:pPr>
      <w:r>
        <w:t>4. Attribution Is the Current Limiting Factor</w:t>
      </w:r>
    </w:p>
    <w:p>
      <w:r>
        <w:t>The workbook could classify financial movement but could not yet fully prove that a particular initiative caused that movement.</w:t>
      </w:r>
    </w:p>
    <w:p>
      <w:r>
        <w:t>The Pricing Transformation example used an illustrative thesis of $4.0M incremental ARR and +150 basis points of gross margin improvement over five years. Observed price movement was approximately $6.26M.</w:t>
      </w:r>
    </w:p>
    <w:p>
      <w:r>
        <w:t>The unresolved question is: Would some or all of the $6.26M have occurred without the Pricing Transformation initiative?</w:t>
      </w:r>
    </w:p>
    <w:p>
      <w:r>
        <w:rPr>
          <w:b/>
        </w:rPr>
        <w:t>ANNOTATION — An Initiative_ID is not sufficient evidence of causality. Attaching TH-001 to a contract amendment does not automatically prove that TH-001 caused the economic result. This led to the requirement for a governed Attribution Object.</w:t>
      </w:r>
    </w:p>
    <w:p>
      <w:pPr>
        <w:pStyle w:val="Heading1"/>
      </w:pPr>
      <w:r>
        <w:t>5. Claim Object Concept</w:t>
      </w:r>
    </w:p>
    <w:p>
      <w:r>
        <w:t>Every thesis should create a persistent Claim Object. Illustrative example: Claim ID TH-001; Thesis Name Pricing Transformation; thesis statement describing expected incremental ARR and gross-margin improvement.</w:t>
      </w:r>
    </w:p>
    <w:p>
      <w:r>
        <w:t>The Claim Object should contain claim ID, thesis name, literal thesis statement, thesis type, owner, organizational owner, status, creation timestamp, effective date, target date, time horizon, target metric, target value, supporting metrics, priority, assumptions, success criteria, baseline period, expected lag, thesis eligibility rules, confidence requirement, and exit evidence requirement.</w:t>
      </w:r>
    </w:p>
    <w:p>
      <w:r>
        <w:rPr>
          <w:b/>
        </w:rPr>
        <w:t>ANNOTATION — Salt Basin should preserve what management actually believed at the time. It should not rewrite the thesis after the result is known. The Claim Object therefore functions partly as a versioned belief object.</w:t>
      </w:r>
    </w:p>
    <w:p>
      <w:pPr>
        <w:pStyle w:val="Heading1"/>
      </w:pPr>
      <w:r>
        <w:t>6. Attribution Object Concept</w:t>
      </w:r>
    </w:p>
    <w:p>
      <w:r>
        <w:t>The conceptual attribution chain is: Claim → Candidate Driver → Counterfactual → Evidence → Competing Driver → Allocation Rule → Confidence → Approval → Temporal Validity.</w:t>
      </w:r>
    </w:p>
    <w:p>
      <w:r>
        <w:t>The Attribution Object governs the relationship between observed economic movement and claimed initiative impact.</w:t>
      </w:r>
    </w:p>
    <w:p>
      <w:r>
        <w:t>The illustrative reconciliation used in the visual was: $6.26M observed price effect; $4.83M eligible movement; $0.62M competing drivers; $0.30M insufficient baseline evidence; $3.91M defensible attributed ARR; and 81% illustrative confidence.</w:t>
      </w:r>
    </w:p>
    <w:p>
      <w:r>
        <w:rPr>
          <w:b/>
        </w:rPr>
        <w:t>ANNOTATION — Salt Basin needs to determine how much movement occurred, how much is eligible for attribution, what competing explanations exist, what portion lacks sufficient evidence, and what amount can currently be defended. The result is Currently Defensible Attributed Impact, and it can change as evidence changes.</w:t>
      </w:r>
    </w:p>
    <w:p>
      <w:pPr>
        <w:pStyle w:val="Heading1"/>
      </w:pPr>
      <w:r>
        <w:t>7. Counterfactual Requirement</w:t>
      </w:r>
    </w:p>
    <w:p>
      <w:r>
        <w:t>The Counterfactual Object addresses the question: What would reasonably have happened without the initiative?</w:t>
      </w:r>
    </w:p>
    <w:p>
      <w:r>
        <w:t>Potential inputs include historical price increase behavior, market price movement, inflation, competitor pricing, contractual escalators, customer mix, product mix, acquisition population changes, baseline retention behavior, sales capacity changes, general market demand, and unrelated commercial programs.</w:t>
      </w:r>
    </w:p>
    <w:p>
      <w:r>
        <w:rPr>
          <w:b/>
        </w:rPr>
        <w:t>ANNOTATION — Salt Basin does not need to claim perfect scientific causality. It should transparently preserve the selected counterfactual methodology, supporting evidence, known limitations, competing explanations, and confidence attached to the determination. The goal is defensible attribution, not artificial certainty.</w:t>
      </w:r>
    </w:p>
    <w:p>
      <w:pPr>
        <w:pStyle w:val="Heading1"/>
      </w:pPr>
      <w:r>
        <w:t>8. Evidence Allocation Engine</w:t>
      </w:r>
    </w:p>
    <w:p>
      <w:r>
        <w:t>The time-aware allocation sequence is: Economic Movement → Eligible for Attribution → Allocate to Initiative(s) → Measure Evidence → Recalculate Confidence → Adjust Attribution.</w:t>
      </w:r>
    </w:p>
    <w:p>
      <w:r>
        <w:t>The process must be re-evaluated as new transactions arrive, contracts are amended, customers renew, evidence is uploaded, assumptions change, initiatives overlap, competing drivers emerge, periods close, or historical records are corrected.</w:t>
      </w:r>
    </w:p>
    <w:p>
      <w:r>
        <w:rPr>
          <w:b/>
        </w:rPr>
        <w:t>ANNOTATION — Attribution is not a static calculation performed at exit. It is a persistent, stateful process. Historical determinations should remain preserved even when later evidence changes the current defensible amount.</w:t>
      </w:r>
    </w:p>
    <w:p>
      <w:pPr>
        <w:pStyle w:val="Heading1"/>
      </w:pPr>
      <w:r>
        <w:t>9. Temporal Population and Economic Perimeter</w:t>
      </w:r>
    </w:p>
    <w:p>
      <w:r>
        <w:t>The POC exposed an important population issue: an entity can exist in master data without yet belonging to the portfolio economic perimeter.</w:t>
      </w:r>
    </w:p>
    <w:p>
      <w:r>
        <w:t>Proposed temporal fields include Entity_Valid_From, Portfolio_Inclusion_From, Financial_Consolidation_From, Thesis_Eligibility_From, and Attribution_Eligibility_From.</w:t>
      </w:r>
    </w:p>
    <w:p>
      <w:r>
        <w:rPr>
          <w:b/>
        </w:rPr>
        <w:t>ANNOTATION — Entity existence ≠ portfolio inclusion ≠ financial consolidation ≠ thesis eligibility ≠ attribution eligibility. The attribution engine must understand these distinctions.</w:t>
      </w:r>
    </w:p>
    <w:p>
      <w:pPr>
        <w:pStyle w:val="Heading1"/>
      </w:pPr>
      <w:r>
        <w:t>10. Data Channel Rod Concept</w:t>
      </w:r>
    </w:p>
    <w:p>
      <w:r>
        <w:t>The Data Channel Rod exists alongside the Revenue Lifecycle Rod, Customer Journey Rod, and Member Journey Rod. It carries thesis data and evidence across time.</w:t>
      </w:r>
    </w:p>
    <w:p>
      <w:r>
        <w:t>Illustrative stages are: Belief / Define → Plan → Execute → Realize → Sustain → Exit / Prove. Events along the rod include Thesis Defined → Initiative Planned → Changes Implemented → Economic Impact Observed → Impact Sustained → Exit Defensible.</w:t>
      </w:r>
    </w:p>
    <w:p>
      <w:r>
        <w:rPr>
          <w:b/>
        </w:rPr>
        <w:t>ANNOTATION — The Data Channel Rod is not simply a project-management lifecycle. It is an evidence maturity journey.</w:t>
      </w:r>
    </w:p>
    <w:p>
      <w:pPr>
        <w:pStyle w:val="Heading1"/>
      </w:pPr>
      <w:r>
        <w:t>11. Rod Maturity Model</w:t>
      </w:r>
    </w:p>
    <w:p>
      <w:r>
        <w:t>Illustrative maturity values were shown as 0.40 belief recorded, 0.60 plan approved, 0.75 implementation live, 0.71 impact measured, 0.82 impact sustained, and 0.69 exit defense ready.</w:t>
      </w:r>
    </w:p>
    <w:p>
      <w:r>
        <w:rPr>
          <w:b/>
        </w:rPr>
        <w:t>ANNOTATION — The score does not have to increase monotonically. Journey progression and evidence maturity are related but are not identical. A thesis can be operationally advanced while evidentially weak.</w:t>
      </w:r>
    </w:p>
    <w:p>
      <w:pPr>
        <w:pStyle w:val="Heading1"/>
      </w:pPr>
      <w:r>
        <w:t>12. Rod Health and Confidence</w:t>
      </w:r>
    </w:p>
    <w:p>
      <w:r>
        <w:t>Illustrative confidence dimensions include Evidence Quality, Attribution Strength, Completeness, Temporal Integrity, and Exit Readiness.</w:t>
      </w:r>
    </w:p>
    <w:p>
      <w:r>
        <w:rPr>
          <w:b/>
        </w:rPr>
        <w:t>ANNOTATION — Confidence is dynamic and should be a derived state, not a manually selected red/yellow/green status. It should be traceable to contributing atoms, evidence completeness, source reliability, competing explanations, temporal gaps, validation state, and approval state.</w:t>
      </w:r>
    </w:p>
    <w:p>
      <w:pPr>
        <w:pStyle w:val="Heading1"/>
      </w:pPr>
      <w:r>
        <w:t>13. Operational Reporting Integration</w:t>
      </w:r>
    </w:p>
    <w:p>
      <w:r>
        <w:t>The Data Channel Rod was tied to an illustrative Value Creation Control Tower with ARR Bridge, Thesis Impact Tracker, Gross Margin Improvement, Evidence Confidence Trend, and Thesis Portfolio Summary views.</w:t>
      </w:r>
    </w:p>
    <w:p>
      <w:r>
        <w:rPr>
          <w:b/>
        </w:rPr>
        <w:t>ANNOTATION — Operational reporting should show both performance and evidence strength. For example: $3.91M currently defensible attributed impact at 81% confidence against a $4.0M thesis target. This is materially different from simply reporting $3.91M impact.</w:t>
      </w:r>
    </w:p>
    <w:p>
      <w:pPr>
        <w:pStyle w:val="Heading1"/>
      </w:pPr>
      <w:r>
        <w:t>14. Source-System Ingestion Model</w:t>
      </w:r>
    </w:p>
    <w:p>
      <w:r>
        <w:t>The illustrative architecture included CRM, CPQ, Billing, ERP, Data Warehouse, Product Catalog, HR / organizational systems, and files and documents.</w:t>
      </w:r>
    </w:p>
    <w:p>
      <w:r>
        <w:t>The pipeline is: Source Systems → Normalization &amp; Quality → Salt Basin Semantic Layer → Rod Ingestion &amp; State Update.</w:t>
      </w:r>
    </w:p>
    <w:p>
      <w:r>
        <w:rPr>
          <w:b/>
        </w:rPr>
        <w:t>ANNOTATION — Salt Basin should not require one centralized source system to become the truth. The semantic layer creates a governed interpretation across authorized systems and is consistent with the distributed Salt Basin security model.</w:t>
      </w:r>
    </w:p>
    <w:p>
      <w:pPr>
        <w:pStyle w:val="Heading1"/>
      </w:pPr>
      <w:r>
        <w:t>15. Exit Defense Package</w:t>
      </w:r>
    </w:p>
    <w:p>
      <w:r>
        <w:t>The proposed automated Exit Defense Package contains Thesis Summary &amp; Outcomes, Attribution Evidence Pack, Data Lineage Map, Reconciliation Reports, Executive Narrative, and Audit &amp; Validation Trail.</w:t>
      </w:r>
    </w:p>
    <w:p>
      <w:r>
        <w:rPr>
          <w:b/>
        </w:rPr>
        <w:t>ANNOTATION — Exit preparation should be an accumulated operational output, not a reconstruction project. The target is continuously maintained, reproducible evidence—not a claim that diligence itself takes minutes.</w:t>
      </w:r>
    </w:p>
    <w:p>
      <w:pPr>
        <w:pStyle w:val="Heading1"/>
      </w:pPr>
      <w:r>
        <w:t>16. Valuation Hypothesis</w:t>
      </w:r>
    </w:p>
    <w:p>
      <w:r>
        <w:t>The POC used an explicitly illustrative hypothesis of 10× EBITDA for weak evidence, 11× for standard evidence, and 12× for strong evidence. At $20M EBITDA, the illustrative spread between 10× and 12× is $40M enterprise value.</w:t>
      </w:r>
    </w:p>
    <w:p>
      <w:r>
        <w:rPr>
          <w:b/>
        </w:rPr>
        <w:t>ANNOTATION — Salt Basin should not claim that better data causes a higher multiple. The testable hypothesis is that stronger, continuously maintained evidence may reduce performance uncertainty, diligence reconstruction, and perceived execution risk. Potential empirical measures include diligence speed, QoE adjustments, buyer confidence, financing terms, valuation outcomes, execution risk, bid dispersion, and retrade frequency.</w:t>
      </w:r>
    </w:p>
    <w:p>
      <w:pPr>
        <w:pStyle w:val="Heading1"/>
      </w:pPr>
      <w:r>
        <w:t>17. Data Evidence Cost Basis</w:t>
      </w:r>
    </w:p>
    <w:p>
      <w:r>
        <w:t>The POC included an illustrative $850K investment across People &amp; Process, Systems &amp; Integrations, Definitions &amp; Lineage, Data Quality &amp; Controls, and Temporal Evidence Infrastructure.</w:t>
      </w:r>
    </w:p>
    <w:p>
      <w:r>
        <w:t>A proposed Data Evidence Cost Ledger could measure: Cost to Create Evidence + Cost to Maintain Evidence + Cost to Reconstruct Missing Evidence + Financial Leakage from Weak Evidence + Decision Cost of Uncertainty.</w:t>
      </w:r>
    </w:p>
    <w:p>
      <w:r>
        <w:rPr>
          <w:b/>
        </w:rPr>
        <w:t>ANNOTATION — This is distinct from claiming GAAP asset recognition. Salt Basin could calculate the economic cost of producing organizational truth. “Cost to Produce Truth™” emerged as a potential measurement framework.</w:t>
      </w:r>
    </w:p>
    <w:p>
      <w:pPr>
        <w:pStyle w:val="Heading1"/>
      </w:pPr>
      <w:r>
        <w:t>18. Transition to the 3D Orbit Model</w:t>
      </w:r>
    </w:p>
    <w:p>
      <w:r>
        <w:t>The 3D visual translated the evidence architecture into four rods: Revenue Lifecycle Rod, Customer Journey Rod, Member Journey Rod, and Data Channel Rod.</w:t>
      </w:r>
    </w:p>
    <w:p>
      <w:r>
        <w:t>The Data Channel Rod carries thesis, attribution, and evidence truth through Thesis Defined → Initiative Planned → Changes Implemented → Movement Classified → Attribution Reconciled → Evidence Accumulated → Exit Defense Packaged.</w:t>
      </w:r>
    </w:p>
    <w:p>
      <w:pPr>
        <w:pStyle w:val="Heading1"/>
      </w:pPr>
      <w:r>
        <w:t>19. Crystal Atom Data Model</w:t>
      </w:r>
    </w:p>
    <w:p>
      <w:r>
        <w:t>A Crystal Atom is the smallest unit of governed truth. Each atom owns one bounded definition, evidence rule, validation, lineage, temporal history, and confidence state.</w:t>
      </w:r>
    </w:p>
    <w:p>
      <w:r>
        <w:t>Examples include Contract Effective Date Atom, Pricing Version Atom, Thesis Target Atom, Movement Classification Atom, and Attribution Confidence Atom.</w:t>
      </w:r>
    </w:p>
    <w:p>
      <w:r>
        <w:rPr>
          <w:b/>
        </w:rPr>
        <w:t>ANNOTATION — The geometric rendering is not merely visual decoration. Geometry represents structured bounded metadata.</w:t>
      </w:r>
    </w:p>
    <w:p>
      <w:pPr>
        <w:pStyle w:val="Heading1"/>
      </w:pPr>
      <w:r>
        <w:t>20. Molecule Model</w:t>
      </w:r>
    </w:p>
    <w:p>
      <w:r>
        <w:t>Molecules are groups of atoms forming a business capability or coherent semantic grouping.</w:t>
      </w:r>
    </w:p>
    <w:p>
      <w:r>
        <w:t>The hierarchy is: Atoms → Molecules → Clusters → Rods → Orbit.</w:t>
      </w:r>
    </w:p>
    <w:p>
      <w:r>
        <w:t>Illustrative thesis/data-channel atoms include Thesis Atom, Initiative Atom, Change Atom, Movement Atom, Attribution Atom, and Evidence Atom.</w:t>
      </w:r>
    </w:p>
    <w:p>
      <w:pPr>
        <w:pStyle w:val="Heading1"/>
      </w:pPr>
      <w:r>
        <w:t>21. The 4D Orbit Dimensions</w:t>
      </w:r>
    </w:p>
    <w:p>
      <w:r>
        <w:t>The conceptual dimensions are X = Time / When; Y = Entities / Who or What; Z = Context / Why or How; and W = Confidence / How Sure.</w:t>
      </w:r>
    </w:p>
    <w:p>
      <w:r>
        <w:rPr>
          <w:b/>
        </w:rPr>
        <w:t>ANNOTATION — The Orbit should represent not merely a value, but the value's time, entity, context, evidence, and confidence. This is what turns a traditional record into an evidence model.</w:t>
      </w:r>
    </w:p>
    <w:p>
      <w:pPr>
        <w:pStyle w:val="Heading1"/>
      </w:pPr>
      <w:r>
        <w:t>22. How the Orbit Works</w:t>
      </w:r>
    </w:p>
    <w:p>
      <w:r>
        <w:t>The seven illustrative processing stages are: Ingest; Standardize; Model to Rods; Classify and Score; Attribute; Accumulate Evidence; and Converge.</w:t>
      </w:r>
    </w:p>
    <w:p>
      <w:r>
        <w:t>At convergence, rods produce one governed version of defensible truth that is aligned, reconciled, time-aware, scored, and defensible.</w:t>
      </w:r>
    </w:p>
    <w:p>
      <w:pPr>
        <w:pStyle w:val="Heading1"/>
      </w:pPr>
      <w:r>
        <w:t>23. The Geometric Convergence Concept</w:t>
      </w:r>
    </w:p>
    <w:p>
      <w:r>
        <w:t>The Orbit contains a central Truth Convergence Point where Revenue, Customer, Member, and Thesis/Data Channel Rods geometrically converge.</w:t>
      </w:r>
    </w:p>
    <w:p>
      <w:r>
        <w:t>The convergence means a claim is not evaluated using one data stream in isolation. Revenue can show price-related movement; Customer can show affected customers and retention outcomes; Member can show participants and execution; and the Data Channel Rod can show the original thesis, attribution window, methodology, evidence state, and confidence.</w:t>
      </w:r>
    </w:p>
    <w:p>
      <w:r>
        <w:rPr>
          <w:b/>
        </w:rPr>
        <w:t>ANNOTATION — The geometric center represents the intersection of independently governed truths. It is not a database join icon. It is a representation of cross-rod reconciliation.</w:t>
      </w:r>
    </w:p>
    <w:p>
      <w:pPr>
        <w:pStyle w:val="Heading1"/>
      </w:pPr>
      <w:r>
        <w:t>24. What Convergence Does Computationally</w:t>
      </w:r>
    </w:p>
    <w:p>
      <w:r>
        <w:t>Convergence supports a Single Source of Defensible Truth, Cross-Rod Reconciliation, Time-Aware and Versioned State, Attribution with Confidence, Evidence-Backed Outcomes, and Audit / Exit Defense Readiness.</w:t>
      </w:r>
    </w:p>
    <w:p>
      <w:r>
        <w:rPr>
          <w:b/>
        </w:rPr>
        <w:t>ANNOTATION — “Single source” does not necessarily mean a single database. It means a governed, converged interpretation of authorized source evidence.</w:t>
      </w:r>
    </w:p>
    <w:p>
      <w:pPr>
        <w:pStyle w:val="Heading1"/>
      </w:pPr>
      <w:r>
        <w:t>25. Why the Geometry Matters</w:t>
      </w:r>
    </w:p>
    <w:p>
      <w:r>
        <w:t>The geometric rendering should encode data meaning. Potential mappings include atom size = economic materiality; opacity = evidence completeness; sharpness = definition precision; fracture = conflicting evidence; distance from rod = semantic ambiguity; orbital distance = maturity or stage; pulse frequency = event activity; connection strength = lineage strength; molecule density = metadata completeness; convergence distance = reconciliation status; and central alignment = cross-rod agreement.</w:t>
      </w:r>
    </w:p>
    <w:p>
      <w:r>
        <w:rPr>
          <w:b/>
        </w:rPr>
        <w:t>ANNOTATION — The geometry should help a user identify incompleteness, conflict, weak lineage, materiality, and failure to converge without opening ten dashboards.</w:t>
      </w:r>
    </w:p>
    <w:p>
      <w:pPr>
        <w:pStyle w:val="Heading1"/>
      </w:pPr>
      <w:r>
        <w:t>26. The Convergence Effect</w:t>
      </w:r>
    </w:p>
    <w:p>
      <w:r>
        <w:t>Conceptually: Revenue Truth + Customer Truth + Member Truth + Thesis / Evidence Truth → Converged Defensible Outcome.</w:t>
      </w:r>
    </w:p>
    <w:p>
      <w:r>
        <w:t>An observed $100K ARR increase could be reconciled across the rods to determine that $82K is currently eligible for thesis attribution, $12K has a competing market escalation driver, and $6K lacks sufficient baseline evidence. The central crystal represents the reconciled result.</w:t>
      </w:r>
    </w:p>
    <w:p>
      <w:r>
        <w:rPr>
          <w:b/>
        </w:rPr>
        <w:t>ANNOTATION — All example values are illustrative.</w:t>
      </w:r>
    </w:p>
    <w:p>
      <w:pPr>
        <w:pStyle w:val="Heading1"/>
      </w:pPr>
      <w:r>
        <w:t>27. Relationship Between Operational Reporting and Orbit</w:t>
      </w:r>
    </w:p>
    <w:p>
      <w:r>
        <w:t>Operational dashboards pull governed, converged data from the Orbit. Illustrative outputs include Thesis Impact Summary, Movement Bridge, Evidence Confidence Trend, Rod Health, and Exit Readiness.</w:t>
      </w:r>
    </w:p>
    <w:p>
      <w:r>
        <w:rPr>
          <w:b/>
        </w:rPr>
        <w:t>ANNOTATION — The architecture becomes: Data → Atoms → Molecules → Rods → Classification → Attribution → Evidence → Convergence → Governed State → Dashboard. The dashboard is a rendering of governed state, not the location where truth is manually interpreted.</w:t>
      </w:r>
    </w:p>
    <w:p>
      <w:pPr>
        <w:pStyle w:val="Heading1"/>
      </w:pPr>
      <w:r>
        <w:t>28. Major Salt Basin Product Definition Reached</w:t>
      </w:r>
    </w:p>
    <w:p>
      <w:r>
        <w:t>Salt Basin should be a machine capable of stating, for any thesis, at any point in time, exactly how much of the claimed value is currently defensible, why, based on what evidence, with what confidence, and what additional evidence would increase or decrease that defensible amount.</w:t>
      </w:r>
    </w:p>
    <w:p>
      <w:r>
        <w:rPr>
          <w:b/>
        </w:rPr>
        <w:t>ANNOTATION — The differentiated capability is continuous evidence-backed value attribution, not another dashboard, KPI repository, data warehouse, or value-creation tracker.</w:t>
      </w:r>
    </w:p>
    <w:p>
      <w:pPr>
        <w:pStyle w:val="Heading1"/>
      </w:pPr>
      <w:r>
        <w:t>29. Illustrative-Data Requirement</w:t>
      </w:r>
    </w:p>
    <w:p>
      <w:r>
        <w:t>The user established that all synthetic POC content and visual metrics must clearly state that they are illustrative.</w:t>
      </w:r>
    </w:p>
    <w:p>
      <w:r>
        <w:t>Recommended external-material convention: ILLUSTRATIVE / SYNTHETIC POC DATA — NOT ACTUAL COMPANY RESULTS.</w:t>
      </w:r>
    </w:p>
    <w:p>
      <w:r>
        <w:t>For valuation claims: ILLUSTRATIVE HYPOTHESIS — RELATIONSHIP TO VALUATION REQUIRES EMPIRICAL VALIDATION.</w:t>
      </w:r>
    </w:p>
    <w:p>
      <w:pPr>
        <w:pStyle w:val="Heading1"/>
      </w:pPr>
      <w:r>
        <w:t>30. Recommended Formal Data Objects</w:t>
      </w:r>
    </w:p>
    <w:p>
      <w:r>
        <w:t>The POC implies at least: Thesis Claim Object; Thesis Version Object; Thesis Assumption Object; Thesis Target Object; Initiative Object; Change Event Object; Economic Movement Object; Movement Classification Object; Attribution Object; Attribution Candidate Driver Object; Competing Driver Object; Counterfactual Object; Attribution Allocation Object; Evidence Object; Evidence Requirement Object; Evidence Validation Object; Confidence State Object; Approval Object; Population Eligibility Object; Economic Perimeter Object; Rod State Object; Rod Maturity Object; Convergence State Object; and Exit Defense Package Object.</w:t>
      </w:r>
    </w:p>
    <w:p>
      <w:r>
        <w:t>Each should include temporal and lineage metadata such as created timestamp/by, effective from/to, updated timestamp/by, version, source, source system, source record reference, current state, prior state, confidence, validation state, evidence references, and lineage references.</w:t>
      </w:r>
    </w:p>
    <w:p>
      <w:pPr>
        <w:pStyle w:val="Heading1"/>
      </w:pPr>
      <w:r>
        <w:t>31. Recommended Immediate Build Sequence</w:t>
      </w:r>
    </w:p>
    <w:p>
      <w:pPr>
        <w:pStyle w:val="ListNumber"/>
      </w:pPr>
      <w:r>
        <w:t>1. Formalize the Claim Object schema and thesis versioning rules.</w:t>
      </w:r>
    </w:p>
    <w:p>
      <w:pPr>
        <w:pStyle w:val="ListNumber"/>
      </w:pPr>
      <w:r>
        <w:t>2. Define Economic Movement and Movement Classification objects.</w:t>
      </w:r>
    </w:p>
    <w:p>
      <w:pPr>
        <w:pStyle w:val="ListNumber"/>
      </w:pPr>
      <w:r>
        <w:t>3. Define the Attribution Object and candidate / competing-driver model.</w:t>
      </w:r>
    </w:p>
    <w:p>
      <w:pPr>
        <w:pStyle w:val="ListNumber"/>
      </w:pPr>
      <w:r>
        <w:t>4. Define the Counterfactual Object.</w:t>
      </w:r>
    </w:p>
    <w:p>
      <w:pPr>
        <w:pStyle w:val="ListNumber"/>
      </w:pPr>
      <w:r>
        <w:t>5. Build the time-aware Evidence Allocation Engine.</w:t>
      </w:r>
    </w:p>
    <w:p>
      <w:pPr>
        <w:pStyle w:val="ListNumber"/>
      </w:pPr>
      <w:r>
        <w:t>6. Define confidence calculations at atom, molecule, rod, and convergence levels.</w:t>
      </w:r>
    </w:p>
    <w:p>
      <w:pPr>
        <w:pStyle w:val="ListNumber"/>
      </w:pPr>
      <w:r>
        <w:t>7. Map Claim / Attribution / Evidence objects to crystal atom types.</w:t>
      </w:r>
    </w:p>
    <w:p>
      <w:pPr>
        <w:pStyle w:val="ListNumber"/>
      </w:pPr>
      <w:r>
        <w:t>8. Define exact data-driven geometric rendering rules.</w:t>
      </w:r>
    </w:p>
    <w:p>
      <w:pPr>
        <w:pStyle w:val="ListNumber"/>
      </w:pPr>
      <w:r>
        <w:t>9. Build the Data Channel Rod state machine.</w:t>
      </w:r>
    </w:p>
    <w:p>
      <w:pPr>
        <w:pStyle w:val="ListNumber"/>
      </w:pPr>
      <w:r>
        <w:t>10. Build cross-rod convergence and reconciliation rules.</w:t>
      </w:r>
    </w:p>
    <w:p>
      <w:pPr>
        <w:pStyle w:val="ListNumber"/>
      </w:pPr>
      <w:r>
        <w:t>11. Drive operational reporting only from converged governed states.</w:t>
      </w:r>
    </w:p>
    <w:p>
      <w:pPr>
        <w:pStyle w:val="ListNumber"/>
      </w:pPr>
      <w:r>
        <w:t>12. Generate an automated Exit Defense Package from the evidence graph.</w:t>
      </w:r>
    </w:p>
    <w:p>
      <w:pPr>
        <w:pStyle w:val="Heading1"/>
      </w:pPr>
      <w:r>
        <w:t>Bottom-Line Annotated Conclusion</w:t>
      </w:r>
    </w:p>
    <w:p>
      <w:r>
        <w:t>This working session materially changed the framing of the POC. The starting artifact looked like a sophisticated thesis-to-financial-impact workbook.</w:t>
      </w:r>
    </w:p>
    <w:p>
      <w:r>
        <w:t>The resulting architecture is closer to a time-aware, geometric evidence and attribution system that models organizational beliefs as governed claims, observes economic movement, tests causal attribution, accumulates evidence across parallel journey rods, and continuously calculates how much claimed enterprise value is currently defensible.</w:t>
      </w:r>
    </w:p>
    <w:p>
      <w:r>
        <w:t>The Orbit is not just the 3D visualization of the data. The Orbit represents the convergence engine.</w:t>
      </w:r>
    </w:p>
    <w:p>
      <w:r>
        <w:t>The crystal geometry is the visual and potentially computational expression of bounded truth + evidence + time + lineage + confidence + cross-rod reconciliation.</w:t>
      </w:r>
    </w:p>
    <w:p>
      <w:r>
        <w:t>That is the biggest conceptual outcome of this working session.</w:t>
      </w:r>
    </w:p>
    <w:sectPr w:rsidR="00FC693F" w:rsidRPr="0006063C" w:rsidSect="00034616">
      <w:footerReference w:type="default" r:id="rId9"/>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Salt Basin Holdings | Illustrative Conceptual Product Architecture |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