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6202D" w14:textId="77777777" w:rsidR="00803340" w:rsidRPr="00803340" w:rsidRDefault="00803340" w:rsidP="00803340">
      <w:pPr>
        <w:pStyle w:val="Kop2"/>
        <w:rPr>
          <w:lang w:val="en-US"/>
        </w:rPr>
      </w:pPr>
      <w:r w:rsidRPr="00803340">
        <w:rPr>
          <w:lang w:val="en-US"/>
        </w:rPr>
        <w:t>What do experts look at when determining the NOC?</w:t>
      </w:r>
    </w:p>
    <w:p w14:paraId="358BD908" w14:textId="77777777" w:rsidR="00803340" w:rsidRPr="00803340" w:rsidRDefault="00803340" w:rsidP="00803340">
      <w:pPr>
        <w:pStyle w:val="Kop2"/>
        <w:rPr>
          <w:lang w:val="en-US"/>
        </w:rPr>
      </w:pPr>
      <w:r w:rsidRPr="00803340">
        <w:rPr>
          <w:lang w:val="en-US"/>
        </w:rPr>
        <w:t>What information helps experts decide between two NOC values?</w:t>
      </w:r>
    </w:p>
    <w:p w14:paraId="10EB9C39" w14:textId="2AF13992"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 xml:space="preserve">One individual can have two different amounts of repeats for a single </w:t>
      </w:r>
      <w:r w:rsidR="00B60705">
        <w:rPr>
          <w:lang w:val="en-US"/>
        </w:rPr>
        <w:t>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w:t>
      </w:r>
      <w:r w:rsidR="0013790A">
        <w:rPr>
          <w:lang w:val="en-US"/>
        </w:rPr>
        <w:t xml:space="preserve">These STR are measured by </w:t>
      </w:r>
      <w:r w:rsidR="00A54B1E">
        <w:rPr>
          <w:lang w:val="en-US"/>
        </w:rPr>
        <w:t xml:space="preserve">a process called </w:t>
      </w:r>
      <w:r w:rsidR="0013790A">
        <w:rPr>
          <w:lang w:val="en-US"/>
        </w:rPr>
        <w:t>electrophoresis</w:t>
      </w:r>
      <w:r w:rsidR="0013790A">
        <w:rPr>
          <w:lang w:val="en-US"/>
        </w:rPr>
        <w:t xml:space="preserve">,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one of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nits</w:t>
      </w:r>
      <w:r w:rsidR="00A54B1E" w:rsidRPr="00A54B1E">
        <w:rPr>
          <w:lang w:val="en-US"/>
        </w:rPr>
        <w:t xml:space="preserve">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xml:space="preserve">. This is usually easily discerned by looking at the </w:t>
      </w:r>
      <w:r>
        <w:rPr>
          <w:lang w:val="en-US"/>
        </w:rPr>
        <w:t>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w:t>
      </w:r>
      <w:r w:rsidRPr="00E00FC5">
        <w:rPr>
          <w:lang w:val="en-US"/>
        </w:rPr>
        <w:t xml:space="preserve">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w:t>
      </w:r>
      <w:r w:rsidRPr="00E00FC5">
        <w:rPr>
          <w:lang w:val="en-US"/>
        </w:rPr>
        <w:t xml:space="preserve">If the DNA was degraded, </w:t>
      </w:r>
      <w:r w:rsidRPr="00E00FC5">
        <w:rPr>
          <w:lang w:val="en-US"/>
        </w:rPr>
        <w:t xml:space="preserve">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t xml:space="preserve">In general, it is more difficult to discern the NOC, when the number of donors increases. </w:t>
      </w:r>
    </w:p>
    <w:p w14:paraId="129ACD76" w14:textId="5B765994" w:rsidR="00B41424" w:rsidRDefault="00B41424" w:rsidP="00803340">
      <w:pPr>
        <w:rPr>
          <w:lang w:val="en-US"/>
        </w:rPr>
      </w:pPr>
      <w:r>
        <w:rPr>
          <w:lang w:val="en-US"/>
        </w:rPr>
        <w:lastRenderedPageBreak/>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On average, when assessing mixtures</w:t>
      </w:r>
      <w:r w:rsidR="00D32618">
        <w:rPr>
          <w:lang w:val="en-US"/>
        </w:rPr>
        <w:t xml:space="preserve">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proofErr w:type="spellStart"/>
      <w:r w:rsidRPr="00803340">
        <w:rPr>
          <w:b/>
          <w:bCs/>
          <w:lang w:val="en-US"/>
        </w:rPr>
        <w:t>nC</w:t>
      </w:r>
      <w:proofErr w:type="spellEnd"/>
      <w:r w:rsidRPr="00803340">
        <w:rPr>
          <w:b/>
          <w:bCs/>
          <w:lang w:val="en-US"/>
        </w:rPr>
        <w:t xml:space="preserve">-tool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by simulations performed on the TAC.</w:t>
      </w:r>
      <w:r>
        <w:rPr>
          <w:lang w:val="en-US"/>
        </w:rPr>
        <w:t xml:space="preserve">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spellStart"/>
      <w:proofErr w:type="gramStart"/>
      <w:r>
        <w:rPr>
          <w:b/>
          <w:bCs/>
          <w:lang w:val="en-US"/>
        </w:rPr>
        <w:t>TODO:find</w:t>
      </w:r>
      <w:proofErr w:type="spellEnd"/>
      <w:proofErr w:type="gram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lastRenderedPageBreak/>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proofErr w:type="spellStart"/>
      <w:r w:rsidR="00390A3F" w:rsidRPr="00803340">
        <w:rPr>
          <w:b/>
          <w:bCs/>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fail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7AE80B32" w14:textId="5CE1C176" w:rsidR="00D1459E" w:rsidRDefault="00D1459E">
      <w:pPr>
        <w:rPr>
          <w:lang w:val="en-US"/>
        </w:rPr>
      </w:pPr>
      <w:r>
        <w:rPr>
          <w:lang w:val="en-US"/>
        </w:rPr>
        <w:br w:type="page"/>
      </w:r>
    </w:p>
    <w:p w14:paraId="676C03C7" w14:textId="77777777" w:rsidR="00D1459E" w:rsidRDefault="00D1459E" w:rsidP="00D1459E">
      <w:pPr>
        <w:pStyle w:val="Kop1"/>
        <w:rPr>
          <w:lang w:val="en-US"/>
        </w:rPr>
      </w:pPr>
      <w:r>
        <w:rPr>
          <w:lang w:val="en-US"/>
        </w:rPr>
        <w:lastRenderedPageBreak/>
        <w:t>Notes metrics</w:t>
      </w:r>
    </w:p>
    <w:p w14:paraId="1B32FDB8" w14:textId="77777777" w:rsidR="00A411C5" w:rsidRDefault="00A411C5" w:rsidP="00A411C5">
      <w:pPr>
        <w:rPr>
          <w:lang w:val="en-US"/>
        </w:rPr>
      </w:pPr>
    </w:p>
    <w:p w14:paraId="0CCD0167" w14:textId="32E68A3D" w:rsidR="00A411C5" w:rsidRDefault="00A411C5" w:rsidP="00A411C5">
      <w:pPr>
        <w:pStyle w:val="Lijstalinea"/>
        <w:numPr>
          <w:ilvl w:val="0"/>
          <w:numId w:val="1"/>
        </w:numPr>
        <w:rPr>
          <w:lang w:val="en-US"/>
        </w:rPr>
      </w:pPr>
      <w:r w:rsidRPr="00A411C5">
        <w:rPr>
          <w:lang w:val="en-US"/>
        </w:rPr>
        <w:t xml:space="preserve">Accurate </w:t>
      </w:r>
      <w:proofErr w:type="spellStart"/>
      <w:r w:rsidRPr="00A411C5">
        <w:rPr>
          <w:lang w:val="en-US"/>
        </w:rPr>
        <w:t>w.r.t.</w:t>
      </w:r>
      <w:proofErr w:type="spellEnd"/>
      <w:r w:rsidRPr="00A411C5">
        <w:rPr>
          <w:lang w:val="en-US"/>
        </w:rPr>
        <w:t xml:space="preserve"> true effects of variables</w:t>
      </w:r>
    </w:p>
    <w:p w14:paraId="51522804" w14:textId="77777777" w:rsidR="003C07A7" w:rsidRDefault="003C07A7" w:rsidP="00A411C5">
      <w:pPr>
        <w:pStyle w:val="Lijstalinea"/>
        <w:numPr>
          <w:ilvl w:val="0"/>
          <w:numId w:val="1"/>
        </w:numPr>
        <w:rPr>
          <w:lang w:val="en-US"/>
        </w:rPr>
      </w:pPr>
    </w:p>
    <w:p w14:paraId="0A8DD2C7" w14:textId="2A988A8A" w:rsidR="00A411C5" w:rsidRDefault="00A411C5" w:rsidP="00A411C5">
      <w:pPr>
        <w:pStyle w:val="Lijstalinea"/>
        <w:numPr>
          <w:ilvl w:val="0"/>
          <w:numId w:val="1"/>
        </w:numPr>
        <w:rPr>
          <w:lang w:val="en-US"/>
        </w:rPr>
      </w:pPr>
      <w:r>
        <w:rPr>
          <w:lang w:val="en-US"/>
        </w:rPr>
        <w:t>Speed?</w:t>
      </w:r>
    </w:p>
    <w:p w14:paraId="3907A63A" w14:textId="2B48BA0B" w:rsidR="00585361" w:rsidRDefault="00585361" w:rsidP="00585361">
      <w:pPr>
        <w:rPr>
          <w:lang w:val="en-US"/>
        </w:rPr>
      </w:pPr>
    </w:p>
    <w:p w14:paraId="2016070C" w14:textId="0D3DCDA2" w:rsidR="00585361" w:rsidRDefault="00585361" w:rsidP="00585361">
      <w:pPr>
        <w:pStyle w:val="Kop2"/>
        <w:rPr>
          <w:lang w:val="en-US"/>
        </w:rPr>
      </w:pPr>
      <w:r>
        <w:rPr>
          <w:lang w:val="en-US"/>
        </w:rPr>
        <w:t xml:space="preserve">Counterfactuals </w:t>
      </w:r>
      <w:r>
        <w:rPr>
          <w:lang w:val="en-US"/>
        </w:rPr>
        <w:fldChar w:fldCharType="begin"/>
      </w:r>
      <w:r w:rsidR="00403C22">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03C22">
        <w:rPr>
          <w:noProof/>
          <w:lang w:val="en-US"/>
        </w:rPr>
        <w:t>[13]</w:t>
      </w:r>
      <w:r>
        <w:rPr>
          <w:lang w:val="en-US"/>
        </w:rPr>
        <w:fldChar w:fldCharType="end"/>
      </w:r>
    </w:p>
    <w:p w14:paraId="010B2501" w14:textId="21CF56EE" w:rsidR="00585361" w:rsidRDefault="00097A52" w:rsidP="00585361">
      <w:pPr>
        <w:rPr>
          <w:lang w:val="en-US"/>
        </w:rPr>
      </w:pPr>
      <w:r>
        <w:rPr>
          <w:lang w:val="en-US"/>
        </w:rPr>
        <w:t>“</w:t>
      </w:r>
      <w:r w:rsidRPr="00097A52">
        <w:rPr>
          <w:lang w:val="en-US"/>
        </w:rPr>
        <w:t>MOC returns a Pareto set of counterfactuals that represents different trade-offs between our proposed objectives, and which are constructed to be diverse in feature space.</w:t>
      </w:r>
      <w:r>
        <w:rPr>
          <w:lang w:val="en-US"/>
        </w:rPr>
        <w:t>”</w:t>
      </w:r>
    </w:p>
    <w:p w14:paraId="00EA0E17" w14:textId="00FF2F2A" w:rsidR="00097A52" w:rsidRDefault="00097A52" w:rsidP="00097A52">
      <w:pPr>
        <w:pStyle w:val="Lijstalinea"/>
        <w:numPr>
          <w:ilvl w:val="0"/>
          <w:numId w:val="1"/>
        </w:numPr>
        <w:rPr>
          <w:lang w:val="en-US"/>
        </w:rPr>
      </w:pPr>
      <w:r>
        <w:rPr>
          <w:lang w:val="en-US"/>
        </w:rPr>
        <w:t>Low number of feature changes (sparse explanations)</w:t>
      </w:r>
    </w:p>
    <w:p w14:paraId="58C111A8" w14:textId="20226021" w:rsidR="00097A52" w:rsidRDefault="00097A52" w:rsidP="00097A52">
      <w:pPr>
        <w:pStyle w:val="Lijstalinea"/>
        <w:numPr>
          <w:ilvl w:val="0"/>
          <w:numId w:val="1"/>
        </w:numPr>
        <w:rPr>
          <w:lang w:val="en-US"/>
        </w:rPr>
      </w:pPr>
      <w:r>
        <w:rPr>
          <w:lang w:val="en-US"/>
        </w:rPr>
        <w:t>Close to nearest observed data points (plausible explanations)</w:t>
      </w:r>
    </w:p>
    <w:p w14:paraId="61CE9DF7" w14:textId="67C3335F" w:rsidR="00117CF6" w:rsidRDefault="00117CF6" w:rsidP="00117CF6">
      <w:pPr>
        <w:rPr>
          <w:lang w:val="en-US"/>
        </w:rPr>
      </w:pPr>
    </w:p>
    <w:p w14:paraId="5134FCE0" w14:textId="0052DB07" w:rsidR="00F32470" w:rsidRDefault="00F32470" w:rsidP="00F32470">
      <w:pPr>
        <w:pStyle w:val="Kop2"/>
        <w:rPr>
          <w:lang w:val="en-US"/>
        </w:rPr>
      </w:pPr>
      <w:r>
        <w:rPr>
          <w:lang w:val="en-US"/>
        </w:rPr>
        <w:t xml:space="preserve">ICE / PD plots / </w:t>
      </w:r>
    </w:p>
    <w:p w14:paraId="05A9516C" w14:textId="5BC9D582" w:rsidR="00F32470" w:rsidRDefault="00F32470" w:rsidP="00F32470">
      <w:pPr>
        <w:rPr>
          <w:lang w:val="en-US"/>
        </w:rPr>
      </w:pPr>
      <w:r>
        <w:rPr>
          <w:lang w:val="en-US"/>
        </w:rPr>
        <w:t>ICE paper about PD plots: “</w:t>
      </w:r>
      <w:r w:rsidRPr="00F32470">
        <w:rPr>
          <w:lang w:val="en-US"/>
        </w:rPr>
        <w:t>Note that the approximation here is twofold: we estimate the true model with fˆ, the</w:t>
      </w:r>
      <w:r>
        <w:rPr>
          <w:lang w:val="en-US"/>
        </w:rPr>
        <w:t xml:space="preserve"> </w:t>
      </w:r>
      <w:r w:rsidRPr="00F32470">
        <w:rPr>
          <w:lang w:val="en-US"/>
        </w:rPr>
        <w:t xml:space="preserve">output of a statistical learning algorithm, and we estimate the integral over </w:t>
      </w:r>
      <w:proofErr w:type="spellStart"/>
      <w:r w:rsidRPr="00F32470">
        <w:rPr>
          <w:lang w:val="en-US"/>
        </w:rPr>
        <w:t>xC</w:t>
      </w:r>
      <w:proofErr w:type="spellEnd"/>
      <w:r w:rsidRPr="00F32470">
        <w:rPr>
          <w:lang w:val="en-US"/>
        </w:rPr>
        <w:t xml:space="preserve"> by averaging</w:t>
      </w:r>
      <w:r>
        <w:rPr>
          <w:lang w:val="en-US"/>
        </w:rPr>
        <w:t xml:space="preserve"> </w:t>
      </w:r>
      <w:r w:rsidRPr="00F32470">
        <w:rPr>
          <w:lang w:val="en-US"/>
        </w:rPr>
        <w:t xml:space="preserve">over the N </w:t>
      </w:r>
      <w:proofErr w:type="spellStart"/>
      <w:r w:rsidRPr="00F32470">
        <w:rPr>
          <w:lang w:val="en-US"/>
        </w:rPr>
        <w:t>xC</w:t>
      </w:r>
      <w:proofErr w:type="spellEnd"/>
      <w:r w:rsidRPr="00F32470">
        <w:rPr>
          <w:lang w:val="en-US"/>
        </w:rPr>
        <w:t xml:space="preserve"> values observed in the training set.</w:t>
      </w:r>
      <w:r>
        <w:rPr>
          <w:lang w:val="en-US"/>
        </w:rPr>
        <w:t>”</w:t>
      </w:r>
    </w:p>
    <w:p w14:paraId="6910CF8A" w14:textId="10CD76C3" w:rsidR="00D668F9" w:rsidRDefault="00D668F9" w:rsidP="00D668F9">
      <w:pPr>
        <w:rPr>
          <w:lang w:val="en-US"/>
        </w:rPr>
      </w:pPr>
      <w:r>
        <w:rPr>
          <w:lang w:val="en-US"/>
        </w:rPr>
        <w:t>“</w:t>
      </w:r>
      <w:r w:rsidRPr="00D668F9">
        <w:rPr>
          <w:lang w:val="en-US"/>
        </w:rPr>
        <w:t>Visually, ICE plots disaggregate the output of classical PDPs. Rather than plot the</w:t>
      </w:r>
      <w:r>
        <w:rPr>
          <w:lang w:val="en-US"/>
        </w:rPr>
        <w:t xml:space="preserve"> </w:t>
      </w:r>
      <w:r w:rsidRPr="00D668F9">
        <w:rPr>
          <w:lang w:val="en-US"/>
        </w:rPr>
        <w:t>target covariates’ average partial effect on the predicted response, we instead plot the N</w:t>
      </w:r>
      <w:r>
        <w:rPr>
          <w:lang w:val="en-US"/>
        </w:rPr>
        <w:t xml:space="preserve"> </w:t>
      </w:r>
      <w:r w:rsidRPr="00D668F9">
        <w:rPr>
          <w:lang w:val="en-US"/>
        </w:rPr>
        <w:t xml:space="preserve">estimated </w:t>
      </w:r>
      <w:proofErr w:type="gramStart"/>
      <w:r w:rsidRPr="00D668F9">
        <w:rPr>
          <w:lang w:val="en-US"/>
        </w:rPr>
        <w:t xml:space="preserve">conditional </w:t>
      </w:r>
      <w:r>
        <w:rPr>
          <w:lang w:val="en-US"/>
        </w:rPr>
        <w:t xml:space="preserve"> e</w:t>
      </w:r>
      <w:r w:rsidRPr="00D668F9">
        <w:rPr>
          <w:lang w:val="en-US"/>
        </w:rPr>
        <w:t>xpectation</w:t>
      </w:r>
      <w:proofErr w:type="gramEnd"/>
      <w:r w:rsidRPr="00D668F9">
        <w:rPr>
          <w:lang w:val="en-US"/>
        </w:rPr>
        <w:t xml:space="preserve"> curves: each reflects the predicted response as a function</w:t>
      </w:r>
      <w:r>
        <w:rPr>
          <w:lang w:val="en-US"/>
        </w:rPr>
        <w:t xml:space="preserve"> </w:t>
      </w:r>
      <w:r w:rsidRPr="00D668F9">
        <w:rPr>
          <w:lang w:val="en-US"/>
        </w:rPr>
        <w:t xml:space="preserve">of covariate </w:t>
      </w:r>
      <w:proofErr w:type="spellStart"/>
      <w:r w:rsidRPr="00D668F9">
        <w:rPr>
          <w:lang w:val="en-US"/>
        </w:rPr>
        <w:t>xS</w:t>
      </w:r>
      <w:proofErr w:type="spellEnd"/>
      <w:r w:rsidRPr="00D668F9">
        <w:rPr>
          <w:lang w:val="en-US"/>
        </w:rPr>
        <w:t xml:space="preserve">, conditional on an observed </w:t>
      </w:r>
      <w:proofErr w:type="spellStart"/>
      <w:r w:rsidRPr="00D668F9">
        <w:rPr>
          <w:lang w:val="en-US"/>
        </w:rPr>
        <w:t>xC</w:t>
      </w:r>
      <w:proofErr w:type="spellEnd"/>
      <w:r w:rsidRPr="00D668F9">
        <w:rPr>
          <w:lang w:val="en-US"/>
        </w:rPr>
        <w:t>.</w:t>
      </w:r>
      <w:r>
        <w:rPr>
          <w:lang w:val="en-US"/>
        </w:rPr>
        <w:t>”</w:t>
      </w:r>
    </w:p>
    <w:p w14:paraId="3551D6E8" w14:textId="1FAE4160" w:rsidR="006D7D8E" w:rsidRDefault="006D7D8E" w:rsidP="00D668F9">
      <w:pPr>
        <w:rPr>
          <w:lang w:val="en-US"/>
        </w:rPr>
      </w:pP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69172B7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03C22">
        <w:rPr>
          <w:lang w:val="en-US"/>
        </w:rPr>
        <w:instrText xml:space="preserve"> ADDIN EN.CITE &lt;EndNote&gt;&lt;Cite&gt;&lt;Author&gt;Kim&lt;/Author&gt;&lt;Year&gt;2016&lt;/Year&gt;&lt;RecNum&gt;101&lt;/RecNum&gt;&lt;DisplayText&gt;[14, 15]&lt;/DisplayText&gt;&lt;record&gt;&lt;rec-number&gt;101&lt;/rec-number&gt;&lt;foreign-keys&gt;&lt;key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03C22">
        <w:rPr>
          <w:noProof/>
          <w:lang w:val="en-US"/>
        </w:rPr>
        <w:t>[14, 15]</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7CAB175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03C22">
        <w:rPr>
          <w:lang w:val="en-US"/>
        </w:rPr>
        <w:instrText xml:space="preserve"> ADDIN EN.CITE &lt;EndNote&gt;&lt;Cite&gt;&lt;Author&gt;Lakkaraju&lt;/Author&gt;&lt;Year&gt;2017&lt;/Year&gt;&lt;RecNum&gt;102&lt;/RecNum&gt;&lt;DisplayText&gt;[16]&lt;/DisplayText&gt;&lt;record&gt;&lt;rec-number&gt;102&lt;/rec-number&gt;&lt;foreign-keys&gt;&lt;key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03C22">
        <w:rPr>
          <w:noProof/>
          <w:lang w:val="en-US"/>
        </w:rPr>
        <w:t>[16]</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03C22">
        <w:rPr>
          <w:lang w:val="en-US"/>
        </w:rPr>
        <w:instrText xml:space="preserve"> ADDIN EN.CITE &lt;EndNote&gt;&lt;Cite&gt;&lt;Author&gt;Lundberg&lt;/Author&gt;&lt;Year&gt;2017&lt;/Year&gt;&lt;RecNum&gt;103&lt;/RecNum&gt;&lt;DisplayText&gt;[17]&lt;/DisplayText&gt;&lt;record&gt;&lt;rec-number&gt;103&lt;/rec-number&gt;&lt;foreign-keys&gt;&lt;key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03C22">
        <w:rPr>
          <w:noProof/>
          <w:lang w:val="en-US"/>
        </w:rPr>
        <w:t>[17]</w:t>
      </w:r>
      <w:r w:rsidR="002B024B">
        <w:rPr>
          <w:lang w:val="en-US"/>
        </w:rPr>
        <w:fldChar w:fldCharType="end"/>
      </w:r>
      <w:r w:rsidR="002B024B">
        <w:rPr>
          <w:lang w:val="en-US"/>
        </w:rPr>
        <w:t>.</w:t>
      </w:r>
    </w:p>
    <w:p w14:paraId="0DB33FD6" w14:textId="392175E0"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 </w:instrText>
      </w:r>
      <w:r w:rsidR="00403C22">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EN.CITE.DATA </w:instrText>
      </w:r>
      <w:r w:rsidR="00403C22">
        <w:rPr>
          <w:lang w:val="en-US"/>
        </w:rPr>
      </w:r>
      <w:r w:rsidR="00403C22">
        <w:rPr>
          <w:lang w:val="en-US"/>
        </w:rPr>
        <w:fldChar w:fldCharType="end"/>
      </w:r>
      <w:r>
        <w:rPr>
          <w:lang w:val="en-US"/>
        </w:rPr>
        <w:fldChar w:fldCharType="separate"/>
      </w:r>
      <w:r w:rsidR="00403C22">
        <w:rPr>
          <w:noProof/>
          <w:lang w:val="en-US"/>
        </w:rPr>
        <w:t>[18]</w:t>
      </w:r>
      <w:r>
        <w:rPr>
          <w:lang w:val="en-US"/>
        </w:rPr>
        <w:fldChar w:fldCharType="end"/>
      </w:r>
      <w:r>
        <w:rPr>
          <w:lang w:val="en-US"/>
        </w:rPr>
        <w:t>.</w:t>
      </w:r>
    </w:p>
    <w:p w14:paraId="7F2239F6" w14:textId="77777777" w:rsidR="00355580" w:rsidRDefault="00355580" w:rsidP="005B0270">
      <w:pPr>
        <w:rPr>
          <w:lang w:val="en-US"/>
        </w:rPr>
      </w:pPr>
    </w:p>
    <w:p w14:paraId="62A5EA8C" w14:textId="43E0C336" w:rsidR="00355580" w:rsidRDefault="00355580" w:rsidP="005B0270">
      <w:pPr>
        <w:rPr>
          <w:lang w:val="en-US"/>
        </w:rPr>
      </w:pPr>
      <w:r>
        <w:rPr>
          <w:lang w:val="en-US"/>
        </w:rPr>
        <w:t xml:space="preserve">The literature about explainable machine learning on tabular data often refers to domains where such tools are used in decision support settings. Domain experts are provided with an ML model which has automated their task such as determining whether or not someone is granted a loan, or whether a patient is at risk for developing cancer. The explanations are then required to help the experts determine if the prediction is trustworthy. Sometimes these explanations do not seem to </w:t>
      </w:r>
      <w:r>
        <w:rPr>
          <w:lang w:val="en-US"/>
        </w:rPr>
        <w:lastRenderedPageBreak/>
        <w:t>correspond well with intuition. This can be caused by various underlying issues, but this is not often made clear to the user. Examples of such issues are</w:t>
      </w:r>
    </w:p>
    <w:p w14:paraId="04122957" w14:textId="77777777" w:rsidR="00355580" w:rsidRDefault="00355580" w:rsidP="00355580">
      <w:pPr>
        <w:pStyle w:val="Lijstalinea"/>
        <w:numPr>
          <w:ilvl w:val="0"/>
          <w:numId w:val="1"/>
        </w:numPr>
        <w:rPr>
          <w:lang w:val="en-US"/>
        </w:rPr>
      </w:pPr>
      <w:r>
        <w:rPr>
          <w:lang w:val="en-US"/>
        </w:rPr>
        <w:t>The features listed should not contribute to the prediction in the way that they are shown</w:t>
      </w:r>
    </w:p>
    <w:p w14:paraId="4EFAD14D" w14:textId="50B13C05" w:rsidR="00355580" w:rsidRDefault="00355580" w:rsidP="00355580">
      <w:pPr>
        <w:pStyle w:val="Lijstalinea"/>
        <w:numPr>
          <w:ilvl w:val="1"/>
          <w:numId w:val="1"/>
        </w:numPr>
        <w:rPr>
          <w:lang w:val="en-US"/>
        </w:rPr>
      </w:pPr>
      <w:r>
        <w:rPr>
          <w:lang w:val="en-US"/>
        </w:rPr>
        <w:t>Maybe the feature is highly correlated with another feature, which causes the model to assign all contribution to one, therefore skewing perception.</w:t>
      </w:r>
    </w:p>
    <w:p w14:paraId="73D16442" w14:textId="77777777" w:rsidR="002E06F3" w:rsidRDefault="00355580" w:rsidP="00355580">
      <w:pPr>
        <w:pStyle w:val="Lijstalinea"/>
        <w:numPr>
          <w:ilvl w:val="1"/>
          <w:numId w:val="1"/>
        </w:numPr>
        <w:rPr>
          <w:lang w:val="en-US"/>
        </w:rPr>
      </w:pPr>
      <w:r>
        <w:rPr>
          <w:lang w:val="en-US"/>
        </w:rPr>
        <w:t>Maybe the feature value is underrepresented in the training set, which causes the model to make decisions on little data, with as a result, a poor generalization</w:t>
      </w:r>
    </w:p>
    <w:p w14:paraId="0A82F29E" w14:textId="77777777" w:rsidR="007355B8" w:rsidRDefault="002E06F3" w:rsidP="002E06F3">
      <w:pPr>
        <w:pStyle w:val="Lijstalinea"/>
        <w:numPr>
          <w:ilvl w:val="0"/>
          <w:numId w:val="1"/>
        </w:numPr>
        <w:rPr>
          <w:lang w:val="en-US"/>
        </w:rPr>
      </w:pPr>
      <w:r>
        <w:rPr>
          <w:lang w:val="en-US"/>
        </w:rPr>
        <w:t>The model is uncertain</w:t>
      </w:r>
    </w:p>
    <w:p w14:paraId="542D7173" w14:textId="77777777" w:rsidR="007355B8" w:rsidRDefault="007355B8" w:rsidP="007355B8">
      <w:pPr>
        <w:rPr>
          <w:lang w:val="en-US"/>
        </w:rPr>
      </w:pPr>
    </w:p>
    <w:p w14:paraId="0DB49995" w14:textId="31E3AB61" w:rsidR="007355B8" w:rsidRDefault="007355B8" w:rsidP="007355B8">
      <w:pPr>
        <w:rPr>
          <w:lang w:val="en-US"/>
        </w:rPr>
      </w:pPr>
      <w:r>
        <w:rPr>
          <w:lang w:val="en-US"/>
        </w:rPr>
        <w:t>Show prototypes and criticisms</w:t>
      </w:r>
      <w:r w:rsidR="0042197B">
        <w:rPr>
          <w:lang w:val="en-US"/>
        </w:rPr>
        <w:t xml:space="preserve"> </w:t>
      </w:r>
    </w:p>
    <w:p w14:paraId="082C74B2" w14:textId="77777777" w:rsidR="00B60914" w:rsidRDefault="00B60914" w:rsidP="007355B8">
      <w:pPr>
        <w:rPr>
          <w:lang w:val="en-US"/>
        </w:rPr>
      </w:pPr>
    </w:p>
    <w:p w14:paraId="1764FF30" w14:textId="77777777" w:rsidR="00B60914" w:rsidRDefault="00B60914" w:rsidP="007355B8">
      <w:pPr>
        <w:rPr>
          <w:lang w:val="en-US"/>
        </w:rPr>
      </w:pPr>
    </w:p>
    <w:p w14:paraId="6A2AE347" w14:textId="77777777" w:rsidR="00EC446D" w:rsidRDefault="00EC446D">
      <w:pPr>
        <w:rPr>
          <w:lang w:val="en-US"/>
        </w:rPr>
      </w:pPr>
      <w:r>
        <w:rPr>
          <w:lang w:val="en-US"/>
        </w:rPr>
        <w:br w:type="page"/>
      </w:r>
    </w:p>
    <w:p w14:paraId="401AE66F" w14:textId="263EDD26" w:rsidR="00D1459E" w:rsidRDefault="00B60914" w:rsidP="007355B8">
      <w:pPr>
        <w:rPr>
          <w:lang w:val="en-US"/>
        </w:rPr>
      </w:pPr>
      <w:r>
        <w:rPr>
          <w:lang w:val="en-US"/>
        </w:rPr>
        <w:lastRenderedPageBreak/>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EN.CITE.DATA </w:instrText>
      </w:r>
      <w:r w:rsidR="00403C22">
        <w:rPr>
          <w:lang w:val="en-US"/>
        </w:rPr>
      </w:r>
      <w:r w:rsidR="00403C22">
        <w:rPr>
          <w:lang w:val="en-US"/>
        </w:rPr>
        <w:fldChar w:fldCharType="end"/>
      </w:r>
      <w:r w:rsidR="0049214D">
        <w:rPr>
          <w:lang w:val="en-US"/>
        </w:rPr>
        <w:fldChar w:fldCharType="separate"/>
      </w:r>
      <w:r w:rsidR="00403C22">
        <w:rPr>
          <w:noProof/>
          <w:lang w:val="en-US"/>
        </w:rPr>
        <w:t>[19-25]</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fldChar w:fldCharType="separate"/>
      </w:r>
      <w:r w:rsidR="00403C22">
        <w:rPr>
          <w:noProof/>
          <w:lang w:val="en-US"/>
        </w:rPr>
        <w:t>[19-23]</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 </w:instrText>
      </w:r>
      <w:r w:rsidR="00403C22">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fldChar w:fldCharType="separate"/>
      </w:r>
      <w:r w:rsidR="00403C22">
        <w:rPr>
          <w:noProof/>
          <w:lang w:val="en-US"/>
        </w:rPr>
        <w:t>[23]</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03C22">
        <w:rPr>
          <w:lang w:val="en-US"/>
        </w:rPr>
        <w:instrText xml:space="preserve"> ADDIN EN.CITE &lt;EndNote&gt;&lt;Cite&gt;&lt;Author&gt;Lipton&lt;/Author&gt;&lt;Year&gt;2018&lt;/Year&gt;&lt;RecNum&gt;97&lt;/RecNum&gt;&lt;DisplayText&gt;[24]&lt;/DisplayText&gt;&lt;record&gt;&lt;rec-number&gt;97&lt;/rec-number&gt;&lt;foreign-keys&gt;&lt;key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03C22">
        <w:rPr>
          <w:noProof/>
          <w:lang w:val="en-US"/>
        </w:rPr>
        <w:t>[24]</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03C22">
        <w:rPr>
          <w:lang w:val="en-US"/>
        </w:rPr>
        <w:instrText xml:space="preserve"> ADDIN EN.CITE &lt;EndNote&gt;&lt;Cite&gt;&lt;Author&gt;Murdoch&lt;/Author&gt;&lt;Year&gt;2019&lt;/Year&gt;&lt;RecNum&gt;98&lt;/RecNum&gt;&lt;DisplayText&gt;[25]&lt;/DisplayText&gt;&lt;record&gt;&lt;rec-number&gt;98&lt;/rec-number&gt;&lt;foreign-keys&gt;&lt;key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03C22">
        <w:rPr>
          <w:noProof/>
          <w:lang w:val="en-US"/>
        </w:rPr>
        <w:t>[25]</w:t>
      </w:r>
      <w:r w:rsidR="0049214D">
        <w:rPr>
          <w:lang w:val="en-US"/>
        </w:rPr>
        <w:fldChar w:fldCharType="end"/>
      </w:r>
      <w:r w:rsidR="0049214D">
        <w:rPr>
          <w:lang w:val="en-US"/>
        </w:rPr>
        <w:t>.</w:t>
      </w:r>
      <w:r w:rsidR="00D1459E" w:rsidRPr="007355B8">
        <w:rPr>
          <w:lang w:val="en-US"/>
        </w:rPr>
        <w:br w:type="page"/>
      </w:r>
    </w:p>
    <w:p w14:paraId="401AB027" w14:textId="77777777" w:rsidR="00836999" w:rsidRDefault="00BF2F17" w:rsidP="00836999">
      <w:pPr>
        <w:pStyle w:val="Kop2"/>
        <w:rPr>
          <w:lang w:val="en-US"/>
        </w:rPr>
      </w:pPr>
      <w:r>
        <w:rPr>
          <w:lang w:val="en-US"/>
        </w:rPr>
        <w:lastRenderedPageBreak/>
        <w:t>Counterfactual explanations</w:t>
      </w:r>
    </w:p>
    <w:p w14:paraId="66DFDC72" w14:textId="77777777" w:rsidR="00836999" w:rsidRDefault="00836999" w:rsidP="00836999">
      <w:pPr>
        <w:rPr>
          <w:lang w:val="en-US"/>
        </w:rPr>
      </w:pPr>
    </w:p>
    <w:p w14:paraId="54B6D1CC" w14:textId="494E9611" w:rsidR="00DB29C8" w:rsidRDefault="00DB29C8" w:rsidP="00836999">
      <w:pPr>
        <w:rPr>
          <w:lang w:val="en-US"/>
        </w:rPr>
      </w:pPr>
      <w:r>
        <w:rPr>
          <w:lang w:val="en-US"/>
        </w:rPr>
        <w:br w:type="page"/>
      </w:r>
    </w:p>
    <w:p w14:paraId="56069B94" w14:textId="77777777" w:rsidR="00DB29C8" w:rsidRPr="007355B8" w:rsidRDefault="00DB29C8" w:rsidP="007355B8">
      <w:pPr>
        <w:rPr>
          <w:lang w:val="en-US"/>
        </w:rPr>
      </w:pPr>
    </w:p>
    <w:p w14:paraId="507798AA" w14:textId="77777777" w:rsidR="007355B8" w:rsidRPr="00355580" w:rsidRDefault="007355B8" w:rsidP="002E06F3">
      <w:pPr>
        <w:pStyle w:val="Lijstalinea"/>
        <w:numPr>
          <w:ilvl w:val="0"/>
          <w:numId w:val="1"/>
        </w:numPr>
        <w:rPr>
          <w:lang w:val="en-US"/>
        </w:rPr>
      </w:pPr>
    </w:p>
    <w:p w14:paraId="1DC4F9F6" w14:textId="77777777" w:rsidR="00FF6918" w:rsidRPr="001F12BB" w:rsidRDefault="00FF6918" w:rsidP="001F12BB">
      <w:pPr>
        <w:rPr>
          <w:lang w:val="en-US"/>
        </w:rPr>
      </w:pPr>
    </w:p>
    <w:p w14:paraId="06D1A201" w14:textId="77777777" w:rsidR="00050CB8" w:rsidRPr="00050CB8" w:rsidRDefault="00EE6E83" w:rsidP="00050CB8">
      <w:pPr>
        <w:pStyle w:val="EndNoteBibliography"/>
        <w:spacing w:after="0"/>
        <w:ind w:left="720" w:hanging="720"/>
      </w:pPr>
      <w:r>
        <w:fldChar w:fldCharType="begin"/>
      </w:r>
      <w:r>
        <w:instrText xml:space="preserve"> ADDIN EN.REFLIST </w:instrText>
      </w:r>
      <w:r>
        <w:fldChar w:fldCharType="separate"/>
      </w:r>
      <w:r w:rsidR="00050CB8" w:rsidRPr="00050CB8">
        <w:t>1.</w:t>
      </w:r>
      <w:r w:rsidR="00050CB8" w:rsidRPr="00050CB8">
        <w:tab/>
        <w:t xml:space="preserve">Benschop, C., </w:t>
      </w:r>
      <w:r w:rsidR="00050CB8" w:rsidRPr="00050CB8">
        <w:rPr>
          <w:i/>
        </w:rPr>
        <w:t>PowerPlex Fusion 6C Profile analysis &amp; interpretation.</w:t>
      </w:r>
      <w:r w:rsidR="00050CB8" w:rsidRPr="00050CB8">
        <w:t xml:space="preserve"> 2020.</w:t>
      </w:r>
    </w:p>
    <w:p w14:paraId="5388190E" w14:textId="77777777" w:rsidR="00050CB8" w:rsidRPr="00050CB8" w:rsidRDefault="00050CB8" w:rsidP="00050CB8">
      <w:pPr>
        <w:pStyle w:val="EndNoteBibliography"/>
        <w:spacing w:after="0"/>
        <w:ind w:left="720" w:hanging="720"/>
      </w:pPr>
      <w:r w:rsidRPr="00050CB8">
        <w:t>2.</w:t>
      </w:r>
      <w:r w:rsidRPr="00050CB8">
        <w:tab/>
        <w:t xml:space="preserve">Heidebrecht, B.J., </w:t>
      </w:r>
      <w:r w:rsidRPr="00050CB8">
        <w:rPr>
          <w:i/>
        </w:rPr>
        <w:t>Mixture Interpretation (Interpretation of Mixed DNA Profiles with STRs Only)</w:t>
      </w:r>
      <w:r w:rsidRPr="00050CB8">
        <w:t xml:space="preserve">, in </w:t>
      </w:r>
      <w:r w:rsidRPr="00050CB8">
        <w:rPr>
          <w:i/>
        </w:rPr>
        <w:t>Encyclopedia of Forensic Sciences: Second Edition</w:t>
      </w:r>
      <w:r w:rsidRPr="00050CB8">
        <w:t>. 2013. p. 243-251.</w:t>
      </w:r>
    </w:p>
    <w:p w14:paraId="66ACCA9B" w14:textId="77777777" w:rsidR="00050CB8" w:rsidRPr="00050CB8" w:rsidRDefault="00050CB8" w:rsidP="00050CB8">
      <w:pPr>
        <w:pStyle w:val="EndNoteBibliography"/>
        <w:spacing w:after="0"/>
        <w:ind w:left="720" w:hanging="720"/>
      </w:pPr>
      <w:r w:rsidRPr="00050CB8">
        <w:t>3.</w:t>
      </w:r>
      <w:r w:rsidRPr="00050CB8">
        <w:tab/>
        <w:t xml:space="preserve">Benschop, C.C.G., et al., </w:t>
      </w:r>
      <w:r w:rsidRPr="00050CB8">
        <w:rPr>
          <w:i/>
        </w:rPr>
        <w:t>The effect of varying the number of contributors on likelihood ratios for complex DNA mixtures.</w:t>
      </w:r>
      <w:r w:rsidRPr="00050CB8">
        <w:t xml:space="preserve"> Forensic Science International: Genetics, 2015. </w:t>
      </w:r>
      <w:r w:rsidRPr="00050CB8">
        <w:rPr>
          <w:b/>
        </w:rPr>
        <w:t>19</w:t>
      </w:r>
      <w:r w:rsidRPr="00050CB8">
        <w:t>: p. 92-99.</w:t>
      </w:r>
    </w:p>
    <w:p w14:paraId="1C530BF7" w14:textId="77777777" w:rsidR="00050CB8" w:rsidRPr="00050CB8" w:rsidRDefault="00050CB8" w:rsidP="00050CB8">
      <w:pPr>
        <w:pStyle w:val="EndNoteBibliography"/>
        <w:spacing w:after="0"/>
        <w:ind w:left="720" w:hanging="720"/>
      </w:pPr>
      <w:r w:rsidRPr="00050CB8">
        <w:t>4.</w:t>
      </w:r>
      <w:r w:rsidRPr="00050CB8">
        <w:tab/>
        <w:t xml:space="preserve">Haned, H., et al., </w:t>
      </w:r>
      <w:r w:rsidRPr="00050CB8">
        <w:rPr>
          <w:i/>
        </w:rPr>
        <w:t>Estimating the Number of Contributors to Forensic DNA Mixtures: Does Maximum Likelihood Perform Better Than Maximum Allele Count?</w:t>
      </w:r>
      <w:r w:rsidRPr="00050CB8">
        <w:t xml:space="preserve"> Journal of Forensic Sciences, 2011. </w:t>
      </w:r>
      <w:r w:rsidRPr="00050CB8">
        <w:rPr>
          <w:b/>
        </w:rPr>
        <w:t>56</w:t>
      </w:r>
      <w:r w:rsidRPr="00050CB8">
        <w:t>(1): p. 23-28.</w:t>
      </w:r>
    </w:p>
    <w:p w14:paraId="78B3E2A0" w14:textId="77777777" w:rsidR="00050CB8" w:rsidRPr="00050CB8" w:rsidRDefault="00050CB8" w:rsidP="00050CB8">
      <w:pPr>
        <w:pStyle w:val="EndNoteBibliography"/>
        <w:spacing w:after="0"/>
        <w:ind w:left="720" w:hanging="720"/>
      </w:pPr>
      <w:r w:rsidRPr="00050CB8">
        <w:t>5.</w:t>
      </w:r>
      <w:r w:rsidRPr="00050CB8">
        <w:tab/>
        <w:t xml:space="preserve">Paoletti, D.R., et al., </w:t>
      </w:r>
      <w:r w:rsidRPr="00050CB8">
        <w:rPr>
          <w:i/>
        </w:rPr>
        <w:t>Empirical analysis of the STR profiles resulting from conceptual mixtures.</w:t>
      </w:r>
      <w:r w:rsidRPr="00050CB8">
        <w:t xml:space="preserve"> Journal of Forensic Sciences, 2005. </w:t>
      </w:r>
      <w:r w:rsidRPr="00050CB8">
        <w:rPr>
          <w:b/>
        </w:rPr>
        <w:t>50</w:t>
      </w:r>
      <w:r w:rsidRPr="00050CB8">
        <w:t>(6): p. 1361-1366.</w:t>
      </w:r>
    </w:p>
    <w:p w14:paraId="58960365" w14:textId="77777777" w:rsidR="00050CB8" w:rsidRPr="00050CB8" w:rsidRDefault="00050CB8" w:rsidP="00050CB8">
      <w:pPr>
        <w:pStyle w:val="EndNoteBibliography"/>
        <w:spacing w:after="0"/>
        <w:ind w:left="720" w:hanging="720"/>
      </w:pPr>
      <w:r w:rsidRPr="00050CB8">
        <w:t>6.</w:t>
      </w:r>
      <w:r w:rsidRPr="00050CB8">
        <w:tab/>
        <w:t xml:space="preserve">Benschop, C.C.G., et al., </w:t>
      </w:r>
      <w:r w:rsidRPr="00050CB8">
        <w:rPr>
          <w:i/>
        </w:rPr>
        <w:t>Automated estimation of the number of contributors in autosomal short tandem repeat profiles using a machine learning approach.</w:t>
      </w:r>
      <w:r w:rsidRPr="00050CB8">
        <w:t xml:space="preserve"> Forensic Science International: Genetics, 2019. </w:t>
      </w:r>
      <w:r w:rsidRPr="00050CB8">
        <w:rPr>
          <w:b/>
        </w:rPr>
        <w:t>43</w:t>
      </w:r>
      <w:r w:rsidRPr="00050CB8">
        <w:t>: p. 102150.</w:t>
      </w:r>
    </w:p>
    <w:p w14:paraId="2890449D" w14:textId="77777777" w:rsidR="00050CB8" w:rsidRPr="00050CB8" w:rsidRDefault="00050CB8" w:rsidP="00050CB8">
      <w:pPr>
        <w:pStyle w:val="EndNoteBibliography"/>
        <w:spacing w:after="0"/>
        <w:ind w:left="720" w:hanging="720"/>
      </w:pPr>
      <w:r w:rsidRPr="00050CB8">
        <w:t>7.</w:t>
      </w:r>
      <w:r w:rsidRPr="00050CB8">
        <w:tab/>
        <w:t xml:space="preserve">Benschop, C., A. Backx, and T. Sijen, </w:t>
      </w:r>
      <w:r w:rsidRPr="00050CB8">
        <w:rPr>
          <w:i/>
        </w:rPr>
        <w:t>Automated estimation of the number of contributors in autosomal STR profiles.</w:t>
      </w:r>
      <w:r w:rsidRPr="00050CB8">
        <w:t xml:space="preserve"> Forensic Science International: Genetics Supplement Series, 2019. </w:t>
      </w:r>
      <w:r w:rsidRPr="00050CB8">
        <w:rPr>
          <w:b/>
        </w:rPr>
        <w:t>7</w:t>
      </w:r>
      <w:r w:rsidRPr="00050CB8">
        <w:t>.</w:t>
      </w:r>
    </w:p>
    <w:p w14:paraId="1D289FFC" w14:textId="77777777" w:rsidR="00050CB8" w:rsidRPr="00050CB8" w:rsidRDefault="00050CB8" w:rsidP="00050CB8">
      <w:pPr>
        <w:pStyle w:val="EndNoteBibliography"/>
        <w:spacing w:after="0"/>
        <w:ind w:left="720" w:hanging="720"/>
      </w:pPr>
      <w:r w:rsidRPr="00050CB8">
        <w:t>8.</w:t>
      </w:r>
      <w:r w:rsidRPr="00050CB8">
        <w:tab/>
        <w:t xml:space="preserve">Gill, P., et al., </w:t>
      </w:r>
      <w:r w:rsidRPr="00050CB8">
        <w:rPr>
          <w:i/>
        </w:rPr>
        <w:t>Interpretation of complex DNA profiles using empirical models and a method to measure their robustness.</w:t>
      </w:r>
      <w:r w:rsidRPr="00050CB8">
        <w:t xml:space="preserve"> Forensic Science International: Genetics, 2008. </w:t>
      </w:r>
      <w:r w:rsidRPr="00050CB8">
        <w:rPr>
          <w:b/>
        </w:rPr>
        <w:t>2</w:t>
      </w:r>
      <w:r w:rsidRPr="00050CB8">
        <w:t>(2): p. 91-103.</w:t>
      </w:r>
    </w:p>
    <w:p w14:paraId="307A4AB0" w14:textId="77777777" w:rsidR="00050CB8" w:rsidRPr="00050CB8" w:rsidRDefault="00050CB8" w:rsidP="00050CB8">
      <w:pPr>
        <w:pStyle w:val="EndNoteBibliography"/>
        <w:spacing w:after="0"/>
        <w:ind w:left="720" w:hanging="720"/>
      </w:pPr>
      <w:r w:rsidRPr="00050CB8">
        <w:t>9.</w:t>
      </w:r>
      <w:r w:rsidRPr="00050CB8">
        <w:tab/>
        <w:t xml:space="preserve">Dørum, G. and T. Egeland, </w:t>
      </w:r>
      <w:r w:rsidRPr="00050CB8">
        <w:rPr>
          <w:i/>
        </w:rPr>
        <w:t>Likelihood ratios for complex mixtures with relatives.</w:t>
      </w:r>
      <w:r w:rsidRPr="00050CB8">
        <w:t xml:space="preserve"> Forensic Science International: Genetics Supplement Series, 2013. </w:t>
      </w:r>
      <w:r w:rsidRPr="00050CB8">
        <w:rPr>
          <w:b/>
        </w:rPr>
        <w:t>4</w:t>
      </w:r>
      <w:r w:rsidRPr="00050CB8">
        <w:t>(1): p. e61-e62.</w:t>
      </w:r>
    </w:p>
    <w:p w14:paraId="5A191A01" w14:textId="77777777" w:rsidR="00050CB8" w:rsidRPr="00050CB8" w:rsidRDefault="00050CB8" w:rsidP="00050CB8">
      <w:pPr>
        <w:pStyle w:val="EndNoteBibliography"/>
        <w:spacing w:after="0"/>
        <w:ind w:left="720" w:hanging="720"/>
      </w:pPr>
      <w:r w:rsidRPr="00050CB8">
        <w:t>10.</w:t>
      </w:r>
      <w:r w:rsidRPr="00050CB8">
        <w:tab/>
        <w:t xml:space="preserve">Coble, M.D., et al., </w:t>
      </w:r>
      <w:r w:rsidRPr="00050CB8">
        <w:rPr>
          <w:i/>
        </w:rPr>
        <w:t>Uncertainty in the number of contributors in the proposed new CODIS set.</w:t>
      </w:r>
      <w:r w:rsidRPr="00050CB8">
        <w:t xml:space="preserve"> Forensic Science International: Genetics, 2015. </w:t>
      </w:r>
      <w:r w:rsidRPr="00050CB8">
        <w:rPr>
          <w:b/>
        </w:rPr>
        <w:t>19</w:t>
      </w:r>
      <w:r w:rsidRPr="00050CB8">
        <w:t>: p. 207-211.</w:t>
      </w:r>
    </w:p>
    <w:p w14:paraId="7DD3F9E2" w14:textId="77777777" w:rsidR="00050CB8" w:rsidRPr="00050CB8" w:rsidRDefault="00050CB8" w:rsidP="00050CB8">
      <w:pPr>
        <w:pStyle w:val="EndNoteBibliography"/>
        <w:spacing w:after="0"/>
        <w:ind w:left="720" w:hanging="720"/>
      </w:pPr>
      <w:r w:rsidRPr="00050CB8">
        <w:t>11.</w:t>
      </w:r>
      <w:r w:rsidRPr="00050CB8">
        <w:tab/>
        <w:t xml:space="preserve">Kruijver, M., et al., </w:t>
      </w:r>
      <w:r w:rsidRPr="00050CB8">
        <w:rPr>
          <w:i/>
        </w:rPr>
        <w:t>Estimating the number of contributors to a DNA profile using decision trees.</w:t>
      </w:r>
      <w:r w:rsidRPr="00050CB8">
        <w:t xml:space="preserve"> Forensic Science International: Genetics.</w:t>
      </w:r>
    </w:p>
    <w:p w14:paraId="4BB7CCCA" w14:textId="77777777" w:rsidR="00050CB8" w:rsidRPr="00050CB8" w:rsidRDefault="00050CB8" w:rsidP="00050CB8">
      <w:pPr>
        <w:pStyle w:val="EndNoteBibliography"/>
        <w:spacing w:after="0"/>
        <w:ind w:left="720" w:hanging="720"/>
      </w:pPr>
      <w:r w:rsidRPr="00050CB8">
        <w:t>12.</w:t>
      </w:r>
      <w:r w:rsidRPr="00050CB8">
        <w:tab/>
        <w:t xml:space="preserve">Tao, R., et al., </w:t>
      </w:r>
      <w:r w:rsidRPr="00050CB8">
        <w:rPr>
          <w:i/>
        </w:rPr>
        <w:t>Separation/extraction, detection, and interpretation of DNA mixtures in forensic science (review).</w:t>
      </w:r>
      <w:r w:rsidRPr="00050CB8">
        <w:t xml:space="preserve"> International Journal of Legal Medicine, 2018. </w:t>
      </w:r>
      <w:r w:rsidRPr="00050CB8">
        <w:rPr>
          <w:b/>
        </w:rPr>
        <w:t>132</w:t>
      </w:r>
      <w:r w:rsidRPr="00050CB8">
        <w:t>.</w:t>
      </w:r>
    </w:p>
    <w:p w14:paraId="3AEE383D" w14:textId="77777777" w:rsidR="00050CB8" w:rsidRPr="00050CB8" w:rsidRDefault="00050CB8" w:rsidP="00050CB8">
      <w:pPr>
        <w:pStyle w:val="EndNoteBibliography"/>
        <w:spacing w:after="0"/>
        <w:ind w:left="720" w:hanging="720"/>
      </w:pPr>
      <w:r w:rsidRPr="00050CB8">
        <w:t>13.</w:t>
      </w:r>
      <w:r w:rsidRPr="00050CB8">
        <w:tab/>
        <w:t xml:space="preserve">Dandl, S., et al. </w:t>
      </w:r>
      <w:r w:rsidRPr="00050CB8">
        <w:rPr>
          <w:i/>
        </w:rPr>
        <w:t>Multi-Objective Counterfactual Explanations</w:t>
      </w:r>
      <w:r w:rsidRPr="00050CB8">
        <w:t xml:space="preserve">. in </w:t>
      </w:r>
      <w:r w:rsidRPr="00050CB8">
        <w:rPr>
          <w:i/>
        </w:rPr>
        <w:t>Parallel Problem Solving from Nature – PPSN XVI</w:t>
      </w:r>
      <w:r w:rsidRPr="00050CB8">
        <w:t>. 2020. Cham: Springer International Publishing.</w:t>
      </w:r>
    </w:p>
    <w:p w14:paraId="13AD19D9" w14:textId="77777777" w:rsidR="00050CB8" w:rsidRPr="00050CB8" w:rsidRDefault="00050CB8" w:rsidP="00050CB8">
      <w:pPr>
        <w:pStyle w:val="EndNoteBibliography"/>
        <w:spacing w:after="0"/>
        <w:ind w:left="720" w:hanging="720"/>
      </w:pPr>
      <w:r w:rsidRPr="00050CB8">
        <w:t>14.</w:t>
      </w:r>
      <w:r w:rsidRPr="00050CB8">
        <w:tab/>
        <w:t xml:space="preserve">Kim, B., O. Koyejo, and R. Khanna. </w:t>
      </w:r>
      <w:r w:rsidRPr="00050CB8">
        <w:rPr>
          <w:i/>
        </w:rPr>
        <w:t>Examples are not enough, learn to criticize! Criticism for Interpretability</w:t>
      </w:r>
      <w:r w:rsidRPr="00050CB8">
        <w:t xml:space="preserve">. in </w:t>
      </w:r>
      <w:r w:rsidRPr="00050CB8">
        <w:rPr>
          <w:i/>
        </w:rPr>
        <w:t>NIPS</w:t>
      </w:r>
      <w:r w:rsidRPr="00050CB8">
        <w:t>. 2016.</w:t>
      </w:r>
    </w:p>
    <w:p w14:paraId="170B37AD" w14:textId="77777777" w:rsidR="00050CB8" w:rsidRPr="00050CB8" w:rsidRDefault="00050CB8" w:rsidP="00050CB8">
      <w:pPr>
        <w:pStyle w:val="EndNoteBibliography"/>
        <w:spacing w:after="0"/>
        <w:ind w:left="720" w:hanging="720"/>
      </w:pPr>
      <w:r w:rsidRPr="00050CB8">
        <w:t>15.</w:t>
      </w:r>
      <w:r w:rsidRPr="00050CB8">
        <w:tab/>
        <w:t xml:space="preserve">Ribeiro, M.T., S. Singh, and C. Guestrin. </w:t>
      </w:r>
      <w:r w:rsidRPr="00050CB8">
        <w:rPr>
          <w:i/>
        </w:rPr>
        <w:t>Anchors: High-Precision Model-Agnostic Explanations</w:t>
      </w:r>
      <w:r w:rsidRPr="00050CB8">
        <w:t xml:space="preserve">. in </w:t>
      </w:r>
      <w:r w:rsidRPr="00050CB8">
        <w:rPr>
          <w:i/>
        </w:rPr>
        <w:t>AAAI</w:t>
      </w:r>
      <w:r w:rsidRPr="00050CB8">
        <w:t>. 2018.</w:t>
      </w:r>
    </w:p>
    <w:p w14:paraId="4E48B7C2" w14:textId="77777777" w:rsidR="00050CB8" w:rsidRPr="00050CB8" w:rsidRDefault="00050CB8" w:rsidP="00050CB8">
      <w:pPr>
        <w:pStyle w:val="EndNoteBibliography"/>
        <w:spacing w:after="0"/>
        <w:ind w:left="720" w:hanging="720"/>
      </w:pPr>
      <w:r w:rsidRPr="00050CB8">
        <w:t>16.</w:t>
      </w:r>
      <w:r w:rsidRPr="00050CB8">
        <w:tab/>
        <w:t xml:space="preserve">Lakkaraju, H., et al., </w:t>
      </w:r>
      <w:r w:rsidRPr="00050CB8">
        <w:rPr>
          <w:i/>
        </w:rPr>
        <w:t>Interpretable &amp; Explorable Approximations of Black Box Models.</w:t>
      </w:r>
      <w:r w:rsidRPr="00050CB8">
        <w:t xml:space="preserve"> 2017.</w:t>
      </w:r>
    </w:p>
    <w:p w14:paraId="63A7E7E9" w14:textId="77777777" w:rsidR="00050CB8" w:rsidRPr="00050CB8" w:rsidRDefault="00050CB8" w:rsidP="00050CB8">
      <w:pPr>
        <w:pStyle w:val="EndNoteBibliography"/>
        <w:spacing w:after="0"/>
        <w:ind w:left="720" w:hanging="720"/>
      </w:pPr>
      <w:r w:rsidRPr="00050CB8">
        <w:t>17.</w:t>
      </w:r>
      <w:r w:rsidRPr="00050CB8">
        <w:tab/>
        <w:t xml:space="preserve">Lundberg, S. and S.-I. Lee, </w:t>
      </w:r>
      <w:r w:rsidRPr="00050CB8">
        <w:rPr>
          <w:i/>
        </w:rPr>
        <w:t>A Unified Approach to Interpreting Model Predictions</w:t>
      </w:r>
      <w:r w:rsidRPr="00050CB8">
        <w:t>. 2017.</w:t>
      </w:r>
    </w:p>
    <w:p w14:paraId="251E1E1A" w14:textId="77777777" w:rsidR="00050CB8" w:rsidRPr="00050CB8" w:rsidRDefault="00050CB8" w:rsidP="00050CB8">
      <w:pPr>
        <w:pStyle w:val="EndNoteBibliography"/>
        <w:spacing w:after="0"/>
        <w:ind w:left="720" w:hanging="720"/>
      </w:pPr>
      <w:r w:rsidRPr="00050CB8">
        <w:t>18.</w:t>
      </w:r>
      <w:r w:rsidRPr="00050CB8">
        <w:tab/>
        <w:t xml:space="preserve">Lundberg, S.M., et al., </w:t>
      </w:r>
      <w:r w:rsidRPr="00050CB8">
        <w:rPr>
          <w:i/>
        </w:rPr>
        <w:t>Explainable machine-learning predictions for the prevention of hypoxaemia during surgery.</w:t>
      </w:r>
      <w:r w:rsidRPr="00050CB8">
        <w:t xml:space="preserve"> Nat Biomed Eng, 2018. </w:t>
      </w:r>
      <w:r w:rsidRPr="00050CB8">
        <w:rPr>
          <w:b/>
        </w:rPr>
        <w:t>2</w:t>
      </w:r>
      <w:r w:rsidRPr="00050CB8">
        <w:t>(10): p. 749-760.</w:t>
      </w:r>
    </w:p>
    <w:p w14:paraId="799A4C09" w14:textId="77777777" w:rsidR="00050CB8" w:rsidRPr="00050CB8" w:rsidRDefault="00050CB8" w:rsidP="00050CB8">
      <w:pPr>
        <w:pStyle w:val="EndNoteBibliography"/>
        <w:spacing w:after="0"/>
        <w:ind w:left="720" w:hanging="720"/>
      </w:pPr>
      <w:r w:rsidRPr="00050CB8">
        <w:t>19.</w:t>
      </w:r>
      <w:r w:rsidRPr="00050CB8">
        <w:tab/>
        <w:t xml:space="preserve">Du, M., N. Liu, and X. Hu, </w:t>
      </w:r>
      <w:r w:rsidRPr="00050CB8">
        <w:rPr>
          <w:i/>
        </w:rPr>
        <w:t>Techniques for interpretable machine learning.</w:t>
      </w:r>
      <w:r w:rsidRPr="00050CB8">
        <w:t xml:space="preserve"> Communications of the ACM, 2020. </w:t>
      </w:r>
      <w:r w:rsidRPr="00050CB8">
        <w:rPr>
          <w:b/>
        </w:rPr>
        <w:t>63</w:t>
      </w:r>
      <w:r w:rsidRPr="00050CB8">
        <w:t>(1): p. 68-77.</w:t>
      </w:r>
    </w:p>
    <w:p w14:paraId="3E3B1C00" w14:textId="77777777" w:rsidR="00050CB8" w:rsidRPr="00050CB8" w:rsidRDefault="00050CB8" w:rsidP="00050CB8">
      <w:pPr>
        <w:pStyle w:val="EndNoteBibliography"/>
        <w:spacing w:after="0"/>
        <w:ind w:left="720" w:hanging="720"/>
      </w:pPr>
      <w:r w:rsidRPr="00050CB8">
        <w:t>20.</w:t>
      </w:r>
      <w:r w:rsidRPr="00050CB8">
        <w:tab/>
        <w:t xml:space="preserve">Adadi, A. and M. Berrada, </w:t>
      </w:r>
      <w:r w:rsidRPr="00050CB8">
        <w:rPr>
          <w:i/>
        </w:rPr>
        <w:t>Peeking Inside the Black-Box: A Survey on Explainable Artificial Intelligence (XAI).</w:t>
      </w:r>
      <w:r w:rsidRPr="00050CB8">
        <w:t xml:space="preserve"> IEEE Access, 2018. </w:t>
      </w:r>
      <w:r w:rsidRPr="00050CB8">
        <w:rPr>
          <w:b/>
        </w:rPr>
        <w:t>6</w:t>
      </w:r>
      <w:r w:rsidRPr="00050CB8">
        <w:t>: p. 52138-52160.</w:t>
      </w:r>
    </w:p>
    <w:p w14:paraId="39AD2B97" w14:textId="77777777" w:rsidR="00050CB8" w:rsidRPr="00050CB8" w:rsidRDefault="00050CB8" w:rsidP="00050CB8">
      <w:pPr>
        <w:pStyle w:val="EndNoteBibliography"/>
        <w:spacing w:after="0"/>
        <w:ind w:left="720" w:hanging="720"/>
      </w:pPr>
      <w:r w:rsidRPr="00050CB8">
        <w:t>21.</w:t>
      </w:r>
      <w:r w:rsidRPr="00050CB8">
        <w:tab/>
        <w:t xml:space="preserve">Barredo Arrieta, A., et al., </w:t>
      </w:r>
      <w:r w:rsidRPr="00050CB8">
        <w:rPr>
          <w:i/>
        </w:rPr>
        <w:t>Explainable Artificial Intelligence (XAI): Concepts, taxonomies, opportunities and challenges toward responsible AI.</w:t>
      </w:r>
      <w:r w:rsidRPr="00050CB8">
        <w:t xml:space="preserve"> Information Fusion, 2020. </w:t>
      </w:r>
      <w:r w:rsidRPr="00050CB8">
        <w:rPr>
          <w:b/>
        </w:rPr>
        <w:t>58</w:t>
      </w:r>
      <w:r w:rsidRPr="00050CB8">
        <w:t>: p. 82-115.</w:t>
      </w:r>
    </w:p>
    <w:p w14:paraId="5F733641" w14:textId="77777777" w:rsidR="00050CB8" w:rsidRPr="00050CB8" w:rsidRDefault="00050CB8" w:rsidP="00050CB8">
      <w:pPr>
        <w:pStyle w:val="EndNoteBibliography"/>
        <w:spacing w:after="0"/>
        <w:ind w:left="720" w:hanging="720"/>
      </w:pPr>
      <w:r w:rsidRPr="00050CB8">
        <w:t>22.</w:t>
      </w:r>
      <w:r w:rsidRPr="00050CB8">
        <w:tab/>
        <w:t xml:space="preserve">Carvalho, D.V., E.M. Pereira, and J.S. Cardoso, </w:t>
      </w:r>
      <w:r w:rsidRPr="00050CB8">
        <w:rPr>
          <w:i/>
        </w:rPr>
        <w:t>Machine learning interpretability: A survey on methods and metrics.</w:t>
      </w:r>
      <w:r w:rsidRPr="00050CB8">
        <w:t xml:space="preserve"> Electronics (Switzerland), 2019. </w:t>
      </w:r>
      <w:r w:rsidRPr="00050CB8">
        <w:rPr>
          <w:b/>
        </w:rPr>
        <w:t>8</w:t>
      </w:r>
      <w:r w:rsidRPr="00050CB8">
        <w:t>(8).</w:t>
      </w:r>
    </w:p>
    <w:p w14:paraId="72D49AED" w14:textId="77777777" w:rsidR="00050CB8" w:rsidRPr="00050CB8" w:rsidRDefault="00050CB8" w:rsidP="00050CB8">
      <w:pPr>
        <w:pStyle w:val="EndNoteBibliography"/>
        <w:spacing w:after="0"/>
        <w:ind w:left="720" w:hanging="720"/>
      </w:pPr>
      <w:r w:rsidRPr="00050CB8">
        <w:t>23.</w:t>
      </w:r>
      <w:r w:rsidRPr="00050CB8">
        <w:tab/>
        <w:t xml:space="preserve">Gilpin, L.H., et al. </w:t>
      </w:r>
      <w:r w:rsidRPr="00050CB8">
        <w:rPr>
          <w:i/>
        </w:rPr>
        <w:t>Explaining Explanations: An Overview of Interpretability of Machine Learning</w:t>
      </w:r>
      <w:r w:rsidRPr="00050CB8">
        <w:t xml:space="preserve">. in </w:t>
      </w:r>
      <w:r w:rsidRPr="00050CB8">
        <w:rPr>
          <w:i/>
        </w:rPr>
        <w:t>2018 IEEE 5th International Conference on Data Science and Advanced Analytics (DSAA)</w:t>
      </w:r>
      <w:r w:rsidRPr="00050CB8">
        <w:t>. 2018.</w:t>
      </w:r>
    </w:p>
    <w:p w14:paraId="340ED85F" w14:textId="77777777" w:rsidR="00050CB8" w:rsidRPr="00050CB8" w:rsidRDefault="00050CB8" w:rsidP="00050CB8">
      <w:pPr>
        <w:pStyle w:val="EndNoteBibliography"/>
        <w:spacing w:after="0"/>
        <w:ind w:left="720" w:hanging="720"/>
      </w:pPr>
      <w:r w:rsidRPr="00050CB8">
        <w:lastRenderedPageBreak/>
        <w:t>24.</w:t>
      </w:r>
      <w:r w:rsidRPr="00050CB8">
        <w:tab/>
        <w:t xml:space="preserve">Lipton, Z.C., </w:t>
      </w:r>
      <w:r w:rsidRPr="00050CB8">
        <w:rPr>
          <w:i/>
        </w:rPr>
        <w:t>The mythos of model interpretability: In machine learning, the concept of interpretability is both important and slippery.</w:t>
      </w:r>
      <w:r w:rsidRPr="00050CB8">
        <w:t xml:space="preserve"> Queue, 2018. </w:t>
      </w:r>
      <w:r w:rsidRPr="00050CB8">
        <w:rPr>
          <w:b/>
        </w:rPr>
        <w:t>16</w:t>
      </w:r>
      <w:r w:rsidRPr="00050CB8">
        <w:t>(3).</w:t>
      </w:r>
    </w:p>
    <w:p w14:paraId="2BB7C007" w14:textId="77777777" w:rsidR="00050CB8" w:rsidRPr="00050CB8" w:rsidRDefault="00050CB8" w:rsidP="00050CB8">
      <w:pPr>
        <w:pStyle w:val="EndNoteBibliography"/>
        <w:ind w:left="720" w:hanging="720"/>
      </w:pPr>
      <w:r w:rsidRPr="00050CB8">
        <w:t>25.</w:t>
      </w:r>
      <w:r w:rsidRPr="00050CB8">
        <w:tab/>
        <w:t xml:space="preserve">Murdoch, W.J., et al., </w:t>
      </w:r>
      <w:r w:rsidRPr="00050CB8">
        <w:rPr>
          <w:i/>
        </w:rPr>
        <w:t>Definitions, methods, and applications in interpretable machine learning.</w:t>
      </w:r>
      <w:r w:rsidRPr="00050CB8">
        <w:t xml:space="preserve"> Proceedings of the National Academy of Sciences of the United States of America, 2019. </w:t>
      </w:r>
      <w:r w:rsidRPr="00050CB8">
        <w:rPr>
          <w:b/>
        </w:rPr>
        <w:t>116</w:t>
      </w:r>
      <w:r w:rsidRPr="00050CB8">
        <w:t>(44): p. 22071-22080.</w:t>
      </w:r>
    </w:p>
    <w:p w14:paraId="5923D8D3" w14:textId="774EF91D"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94&lt;/item&gt;&lt;/record-ids&gt;&lt;/item&gt;&lt;/Libraries&gt;"/>
  </w:docVars>
  <w:rsids>
    <w:rsidRoot w:val="00EE6E83"/>
    <w:rsid w:val="000311B2"/>
    <w:rsid w:val="00035EC2"/>
    <w:rsid w:val="00050CB8"/>
    <w:rsid w:val="0009591F"/>
    <w:rsid w:val="00097A52"/>
    <w:rsid w:val="000C2608"/>
    <w:rsid w:val="000C471B"/>
    <w:rsid w:val="00100E8B"/>
    <w:rsid w:val="00117CF6"/>
    <w:rsid w:val="0013790A"/>
    <w:rsid w:val="00154CF7"/>
    <w:rsid w:val="00171F1B"/>
    <w:rsid w:val="001D76EB"/>
    <w:rsid w:val="001F12BB"/>
    <w:rsid w:val="00256AA7"/>
    <w:rsid w:val="00290F64"/>
    <w:rsid w:val="002B024B"/>
    <w:rsid w:val="002E06F3"/>
    <w:rsid w:val="0030431C"/>
    <w:rsid w:val="00355580"/>
    <w:rsid w:val="00390A3F"/>
    <w:rsid w:val="003974A2"/>
    <w:rsid w:val="003A00BD"/>
    <w:rsid w:val="003A76C1"/>
    <w:rsid w:val="003C07A7"/>
    <w:rsid w:val="00403C22"/>
    <w:rsid w:val="0042197B"/>
    <w:rsid w:val="00452E5D"/>
    <w:rsid w:val="0049214D"/>
    <w:rsid w:val="004947A7"/>
    <w:rsid w:val="00506259"/>
    <w:rsid w:val="00527BF4"/>
    <w:rsid w:val="00530310"/>
    <w:rsid w:val="00553A69"/>
    <w:rsid w:val="00575209"/>
    <w:rsid w:val="00585361"/>
    <w:rsid w:val="005B0270"/>
    <w:rsid w:val="006023B6"/>
    <w:rsid w:val="006136EE"/>
    <w:rsid w:val="006B35C3"/>
    <w:rsid w:val="006D7D8E"/>
    <w:rsid w:val="007355B8"/>
    <w:rsid w:val="007517D1"/>
    <w:rsid w:val="00803340"/>
    <w:rsid w:val="00836999"/>
    <w:rsid w:val="00844834"/>
    <w:rsid w:val="008A325F"/>
    <w:rsid w:val="008F40FD"/>
    <w:rsid w:val="00900D5D"/>
    <w:rsid w:val="009C1545"/>
    <w:rsid w:val="00A411C5"/>
    <w:rsid w:val="00A52321"/>
    <w:rsid w:val="00A54B1E"/>
    <w:rsid w:val="00A70D82"/>
    <w:rsid w:val="00AA2D37"/>
    <w:rsid w:val="00AC4700"/>
    <w:rsid w:val="00AD1359"/>
    <w:rsid w:val="00B2662F"/>
    <w:rsid w:val="00B41424"/>
    <w:rsid w:val="00B60705"/>
    <w:rsid w:val="00B60914"/>
    <w:rsid w:val="00BA123D"/>
    <w:rsid w:val="00BE042E"/>
    <w:rsid w:val="00BF2F17"/>
    <w:rsid w:val="00C23AE3"/>
    <w:rsid w:val="00C23D89"/>
    <w:rsid w:val="00D042E7"/>
    <w:rsid w:val="00D1459E"/>
    <w:rsid w:val="00D32618"/>
    <w:rsid w:val="00D668F9"/>
    <w:rsid w:val="00D926ED"/>
    <w:rsid w:val="00D96FD0"/>
    <w:rsid w:val="00D97EAC"/>
    <w:rsid w:val="00DB29C8"/>
    <w:rsid w:val="00E00FC5"/>
    <w:rsid w:val="00E85267"/>
    <w:rsid w:val="00EB3A1D"/>
    <w:rsid w:val="00EC446D"/>
    <w:rsid w:val="00EE6E83"/>
    <w:rsid w:val="00F04E4F"/>
    <w:rsid w:val="00F32470"/>
    <w:rsid w:val="00F42295"/>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9</Pages>
  <Words>6373</Words>
  <Characters>35054</Characters>
  <Application>Microsoft Office Word</Application>
  <DocSecurity>0</DocSecurity>
  <Lines>292</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47</cp:revision>
  <dcterms:created xsi:type="dcterms:W3CDTF">2020-11-19T11:39:00Z</dcterms:created>
  <dcterms:modified xsi:type="dcterms:W3CDTF">2020-12-04T18:35:00Z</dcterms:modified>
</cp:coreProperties>
</file>