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5268" w14:textId="45DB7AF2" w:rsidR="00EC446D" w:rsidRPr="002D261F" w:rsidRDefault="00050CB8" w:rsidP="00803340">
      <w:pPr>
        <w:rPr>
          <w:lang w:val="en-US"/>
        </w:rPr>
      </w:pPr>
      <w:r w:rsidRPr="002D261F">
        <w:rPr>
          <w:lang w:val="en-US"/>
        </w:rPr>
        <w:t xml:space="preserve">In 2019, a Machine Learning (ML) model was created that derived the NOC with an accuracy of roughly 82% </w:t>
      </w:r>
      <w:r w:rsidRPr="002D261F">
        <w:rPr>
          <w:lang w:val="en-US"/>
        </w:rPr>
        <w:fldChar w:fldCharType="begin"/>
      </w:r>
      <w:r w:rsidR="00F3261F">
        <w:rPr>
          <w:lang w:val="en-US"/>
        </w:rPr>
        <w:instrText xml:space="preserve"> ADDIN EN.CITE &lt;EndNote&gt;&lt;Cite&gt;&lt;Author&gt;Benschop&lt;/Author&gt;&lt;Year&gt;2019&lt;/Year&gt;&lt;RecNum&gt;2&lt;/RecNum&gt;&lt;DisplayText&gt;[1]&lt;/DisplayText&gt;&lt;record&gt;&lt;rec-number&gt;2&lt;/rec-number&gt;&lt;foreign-keys&gt;&lt;key app="EN" db-id="p22005xv5srwpxeed275s99yfvez9tfr995s" timestamp="1605012904"&gt;2&lt;/key&gt;&lt;/foreign-keys&gt;&lt;ref-type name="Journal Article"&gt;17&lt;/ref-type&gt;&lt;contributors&gt;&lt;authors&gt;&lt;author&gt;Benschop, Corina C. G.&lt;/author&gt;&lt;author&gt;van der Linden, Jennifer&lt;/author&gt;&lt;author&gt;Hoogenboom, Jerry&lt;/author&gt;&lt;author&gt;Ypma, Rolf&lt;/author&gt;&lt;author&gt;Haned, Hinda&lt;/author&gt;&lt;/authors&gt;&lt;/contributors&gt;&lt;titles&gt;&lt;title&gt;Automated estimation of the number of contributors in autosomal short tandem repeat profiles using a machine learning approach&lt;/title&gt;&lt;secondary-title&gt;Forensic Science International: Genetics&lt;/secondary-title&gt;&lt;/titles&gt;&lt;periodical&gt;&lt;full-title&gt;Forensic Science International: Genetics&lt;/full-title&gt;&lt;/periodical&gt;&lt;pages&gt;102150&lt;/pages&gt;&lt;volume&gt;43&lt;/volume&gt;&lt;keywords&gt;&lt;keyword&gt;DNA profile interpretation&lt;/keyword&gt;&lt;keyword&gt;DNA mixtures&lt;/keyword&gt;&lt;keyword&gt;Number of contributors&lt;/keyword&gt;&lt;keyword&gt;Machine learning&lt;/keyword&gt;&lt;/keywords&gt;&lt;dates&gt;&lt;year&gt;2019&lt;/year&gt;&lt;pub-dates&gt;&lt;date&gt;2019/11/01/&lt;/date&gt;&lt;/pub-dates&gt;&lt;/dates&gt;&lt;isbn&gt;1872-4973&lt;/isbn&gt;&lt;urls&gt;&lt;related-urls&gt;&lt;url&gt;http://www.sciencedirect.com/science/article/pii/S1872497319303436&lt;/url&gt;&lt;/related-urls&gt;&lt;/urls&gt;&lt;electronic-resource-num&gt;https://doi.org/10.1016/j.fsigen.2019.102150&lt;/electronic-resource-num&gt;&lt;/record&gt;&lt;/Cite&gt;&lt;/EndNote&gt;</w:instrText>
      </w:r>
      <w:r w:rsidRPr="002D261F">
        <w:rPr>
          <w:lang w:val="en-US"/>
        </w:rPr>
        <w:fldChar w:fldCharType="separate"/>
      </w:r>
      <w:r w:rsidR="00F3261F">
        <w:rPr>
          <w:noProof/>
          <w:lang w:val="en-US"/>
        </w:rPr>
        <w:t>[1]</w:t>
      </w:r>
      <w:r w:rsidRPr="002D261F">
        <w:rPr>
          <w:lang w:val="en-US"/>
        </w:rPr>
        <w:fldChar w:fldCharType="end"/>
      </w:r>
      <w:r w:rsidRPr="002D261F">
        <w:rPr>
          <w:lang w:val="en-US"/>
        </w:rPr>
        <w:t xml:space="preserve">. This Random Forest (RF) model was trained based on 590 profiles of 2-5 person mixtures, obtained from </w:t>
      </w:r>
      <w:proofErr w:type="spellStart"/>
      <w:proofErr w:type="gramStart"/>
      <w:r w:rsidRPr="002D261F">
        <w:rPr>
          <w:b/>
          <w:bCs/>
          <w:lang w:val="en-US"/>
        </w:rPr>
        <w:t>TODO:find</w:t>
      </w:r>
      <w:proofErr w:type="spellEnd"/>
      <w:proofErr w:type="gramEnd"/>
      <w:r w:rsidRPr="002D261F">
        <w:rPr>
          <w:b/>
          <w:bCs/>
          <w:lang w:val="en-US"/>
        </w:rPr>
        <w:t xml:space="preserve"> how many </w:t>
      </w:r>
      <w:r w:rsidRPr="002D261F">
        <w:rPr>
          <w:lang w:val="en-US"/>
        </w:rPr>
        <w:t xml:space="preserve"> donors. The data used for training was not the original electrophoresis results, but consists of 19 features such as the MAC, locus-specific information, and other statistical features of the data.</w:t>
      </w:r>
    </w:p>
    <w:p w14:paraId="63F86519" w14:textId="77777777" w:rsidR="00050CB8" w:rsidRPr="002D261F" w:rsidRDefault="00050CB8" w:rsidP="00803340">
      <w:pPr>
        <w:rPr>
          <w:b/>
          <w:bCs/>
          <w:lang w:val="en-US"/>
        </w:rPr>
      </w:pPr>
    </w:p>
    <w:p w14:paraId="58F7D17D" w14:textId="49578597" w:rsidR="00D926ED" w:rsidRPr="002D261F" w:rsidRDefault="00D926ED" w:rsidP="00803340">
      <w:pPr>
        <w:rPr>
          <w:b/>
          <w:bCs/>
          <w:lang w:val="en-US"/>
        </w:rPr>
      </w:pPr>
      <w:r w:rsidRPr="002D261F">
        <w:rPr>
          <w:b/>
          <w:bCs/>
          <w:lang w:val="en-US"/>
        </w:rPr>
        <w:t xml:space="preserve">Decision Tree </w:t>
      </w:r>
      <w:r w:rsidRPr="002D261F">
        <w:rPr>
          <w:b/>
          <w:bCs/>
          <w:lang w:val="en-US"/>
        </w:rPr>
        <w:fldChar w:fldCharType="begin"/>
      </w:r>
      <w:r w:rsidR="0073574B">
        <w:rPr>
          <w:b/>
          <w:bCs/>
          <w:lang w:val="en-US"/>
        </w:rPr>
        <w:instrText xml:space="preserve"> ADDIN EN.CITE &lt;EndNote&gt;&lt;Cite&gt;&lt;Author&gt;Kruijver&lt;/Author&gt;&lt;RecNum&gt;70&lt;/RecNum&gt;&lt;DisplayText&gt;[2]&lt;/DisplayText&gt;&lt;record&gt;&lt;rec-number&gt;70&lt;/rec-number&gt;&lt;foreign-keys&gt;&lt;key app="EN" db-id="p22005xv5srwpxeed275s99yfvez9tfr995s" timestamp="1605105447"&gt;70&lt;/key&gt;&lt;/foreign-keys&gt;&lt;ref-type name="Journal Article"&gt;17&lt;/ref-type&gt;&lt;contributors&gt;&lt;authors&gt;&lt;author&gt;Kruijver, Maarten&lt;/author&gt;&lt;author&gt;Kelly, Hannah&lt;/author&gt;&lt;author&gt;Cheng, Kevin&lt;/author&gt;&lt;author&gt;Lin, Meng-Han&lt;/author&gt;&lt;author&gt;Morawitz, Judi&lt;/author&gt;&lt;author&gt;Russell, Laura&lt;/author&gt;&lt;author&gt;Buckleton, John&lt;/author&gt;&lt;author&gt;Bright, Jo-Anne&lt;/author&gt;&lt;/authors&gt;&lt;/contributors&gt;&lt;titles&gt;&lt;title&gt;Estimating the number of contributors to a DNA profile using decision trees&lt;/title&gt;&lt;secondary-title&gt;Forensic Science International: Genetics&lt;/secondary-title&gt;&lt;/titles&gt;&lt;periodical&gt;&lt;full-title&gt;Forensic Science International: Genetics&lt;/full-title&gt;&lt;/periodical&gt;&lt;dates&gt;&lt;/dates&gt;&lt;publisher&gt;Elsevier&lt;/publisher&gt;&lt;isbn&gt;1872-4973&lt;/isbn&gt;&lt;accession-num&gt;102407&lt;/accession-num&gt;&lt;urls&gt;&lt;related-urls&gt;&lt;url&gt;https://doi.org/10.1016/j.fsigen.2020.102407&lt;/url&gt;&lt;/related-urls&gt;&lt;/urls&gt;&lt;electronic-resource-num&gt;10.1016/j.fsigen.2020.102407&lt;/electronic-resource-num&gt;&lt;access-date&gt;2020/11/11&lt;/access-date&gt;&lt;/record&gt;&lt;/Cite&gt;&lt;/EndNote&gt;</w:instrText>
      </w:r>
      <w:r w:rsidRPr="002D261F">
        <w:rPr>
          <w:b/>
          <w:bCs/>
          <w:lang w:val="en-US"/>
        </w:rPr>
        <w:fldChar w:fldCharType="separate"/>
      </w:r>
      <w:r w:rsidR="0073574B">
        <w:rPr>
          <w:b/>
          <w:bCs/>
          <w:noProof/>
          <w:lang w:val="en-US"/>
        </w:rPr>
        <w:t>[2]</w:t>
      </w:r>
      <w:r w:rsidRPr="002D261F">
        <w:rPr>
          <w:b/>
          <w:bCs/>
          <w:lang w:val="en-US"/>
        </w:rPr>
        <w:fldChar w:fldCharType="end"/>
      </w:r>
    </w:p>
    <w:p w14:paraId="4184B49A" w14:textId="324E31DB" w:rsidR="00D926ED" w:rsidRPr="002D261F" w:rsidRDefault="00D926ED" w:rsidP="00D926ED">
      <w:pPr>
        <w:rPr>
          <w:lang w:val="en-US"/>
        </w:rPr>
      </w:pPr>
      <w:r w:rsidRPr="002D261F">
        <w:rPr>
          <w:lang w:val="en-US"/>
        </w:rPr>
        <w:t>Derive NOC from</w:t>
      </w:r>
    </w:p>
    <w:p w14:paraId="7CDB6F2E" w14:textId="19F9BA06" w:rsidR="00D926ED" w:rsidRPr="002D261F" w:rsidRDefault="00D926ED" w:rsidP="00D926ED">
      <w:pPr>
        <w:pStyle w:val="Lijstalinea"/>
        <w:numPr>
          <w:ilvl w:val="0"/>
          <w:numId w:val="1"/>
        </w:numPr>
        <w:rPr>
          <w:lang w:val="en-US"/>
        </w:rPr>
      </w:pPr>
      <w:r w:rsidRPr="002D261F">
        <w:rPr>
          <w:lang w:val="en-US"/>
        </w:rPr>
        <w:t xml:space="preserve">Decision tree with </w:t>
      </w:r>
    </w:p>
    <w:p w14:paraId="1C624835" w14:textId="0557801C" w:rsidR="006136EE" w:rsidRPr="002D261F" w:rsidRDefault="006136EE" w:rsidP="006136EE">
      <w:pPr>
        <w:rPr>
          <w:lang w:val="en-US"/>
        </w:rPr>
      </w:pPr>
      <w:r w:rsidRPr="002D261F">
        <w:rPr>
          <w:lang w:val="en-US"/>
        </w:rPr>
        <w:t xml:space="preserve">Tested various ML approached (RF / MLP / LDA), showing similar performance to the RF19 model. They obtained very high performance (96%) with </w:t>
      </w:r>
      <w:proofErr w:type="gramStart"/>
      <w:r w:rsidRPr="002D261F">
        <w:rPr>
          <w:lang w:val="en-US"/>
        </w:rPr>
        <w:t>a</w:t>
      </w:r>
      <w:proofErr w:type="gramEnd"/>
      <w:r w:rsidRPr="002D261F">
        <w:rPr>
          <w:lang w:val="en-US"/>
        </w:rPr>
        <w:t xml:space="preserve"> RFC 35 model.</w:t>
      </w:r>
    </w:p>
    <w:p w14:paraId="02532305" w14:textId="16655082" w:rsidR="00D926ED" w:rsidRPr="002D261F" w:rsidRDefault="00452E5D" w:rsidP="00452E5D">
      <w:pPr>
        <w:rPr>
          <w:lang w:val="en-US"/>
        </w:rPr>
      </w:pPr>
      <w:r w:rsidRPr="002D261F">
        <w:rPr>
          <w:lang w:val="en-US"/>
        </w:rPr>
        <w:t>Difference with [2] is “</w:t>
      </w:r>
      <w:proofErr w:type="spellStart"/>
      <w:r w:rsidRPr="002D261F">
        <w:rPr>
          <w:lang w:val="en-US"/>
        </w:rPr>
        <w:t>Benschop</w:t>
      </w:r>
      <w:proofErr w:type="spellEnd"/>
      <w:r w:rsidRPr="002D261F">
        <w:rPr>
          <w:lang w:val="en-US"/>
        </w:rPr>
        <w:t xml:space="preserve"> et al. used 1174 unique donors to construct 590 profiles [20], whereas the </w:t>
      </w:r>
      <w:proofErr w:type="spellStart"/>
      <w:r w:rsidRPr="002D261F">
        <w:rPr>
          <w:lang w:val="en-US"/>
        </w:rPr>
        <w:t>PROVEDIt</w:t>
      </w:r>
      <w:proofErr w:type="spellEnd"/>
      <w:r w:rsidRPr="002D261F">
        <w:rPr>
          <w:lang w:val="en-US"/>
        </w:rPr>
        <w:t xml:space="preserve"> dataset only had 26 unique donors within the 766 profiles used”</w:t>
      </w:r>
    </w:p>
    <w:p w14:paraId="47CE3A35" w14:textId="66F6C8EE" w:rsidR="00100E8B" w:rsidRPr="002D261F" w:rsidRDefault="00100E8B" w:rsidP="00452E5D">
      <w:pPr>
        <w:rPr>
          <w:lang w:val="en-US"/>
        </w:rPr>
      </w:pPr>
      <w:r w:rsidRPr="002D261F">
        <w:rPr>
          <w:lang w:val="en-US"/>
        </w:rPr>
        <w:t>This means that the classifiers probably overfit to certain donors.</w:t>
      </w:r>
    </w:p>
    <w:p w14:paraId="2487451A" w14:textId="23BB8FD5" w:rsidR="00F42295" w:rsidRPr="002D261F" w:rsidRDefault="00F42295" w:rsidP="00F42295">
      <w:pPr>
        <w:rPr>
          <w:lang w:val="en-US"/>
        </w:rPr>
      </w:pPr>
      <w:r w:rsidRPr="002D261F">
        <w:rPr>
          <w:lang w:val="en-US"/>
        </w:rPr>
        <w:t xml:space="preserve">“In conclusion, the decision tree method for </w:t>
      </w:r>
      <w:proofErr w:type="spellStart"/>
      <w:r w:rsidRPr="002D261F">
        <w:rPr>
          <w:lang w:val="en-US"/>
        </w:rPr>
        <w:t>NoC</w:t>
      </w:r>
      <w:proofErr w:type="spellEnd"/>
      <w:r w:rsidRPr="002D261F">
        <w:rPr>
          <w:lang w:val="en-US"/>
        </w:rPr>
        <w:t xml:space="preserve"> assignment has been shown to be over 77% accurate, with increasing performance with improved stutter and artefact filters”</w:t>
      </w:r>
    </w:p>
    <w:p w14:paraId="6D89B239" w14:textId="68CBFEC3" w:rsidR="00F42295" w:rsidRPr="002D261F" w:rsidRDefault="00F42295" w:rsidP="00F42295">
      <w:pPr>
        <w:rPr>
          <w:lang w:val="en-US"/>
        </w:rPr>
      </w:pPr>
      <w:r w:rsidRPr="002D261F">
        <w:rPr>
          <w:lang w:val="en-US"/>
        </w:rPr>
        <w:t>They used a decision tree to classify peaks as stutter or allele.</w:t>
      </w:r>
    </w:p>
    <w:p w14:paraId="1FEB89F7" w14:textId="3F8012EF" w:rsidR="008A325F" w:rsidRPr="002D261F" w:rsidRDefault="008A325F" w:rsidP="00EE6E83">
      <w:pPr>
        <w:rPr>
          <w:lang w:val="en-US"/>
        </w:rPr>
      </w:pPr>
    </w:p>
    <w:p w14:paraId="2F632ED2" w14:textId="0B03B1A2" w:rsidR="001F12BB" w:rsidRPr="002D261F" w:rsidRDefault="001F12BB" w:rsidP="00803340">
      <w:pPr>
        <w:rPr>
          <w:b/>
          <w:bCs/>
          <w:lang w:val="en-US"/>
        </w:rPr>
      </w:pPr>
      <w:r w:rsidRPr="002D261F">
        <w:rPr>
          <w:b/>
          <w:bCs/>
          <w:lang w:val="en-US"/>
        </w:rPr>
        <w:t xml:space="preserve">Background STR mixture interpretation </w:t>
      </w:r>
      <w:r w:rsidRPr="002D261F">
        <w:rPr>
          <w:b/>
          <w:bCs/>
          <w:lang w:val="en-US"/>
        </w:rPr>
        <w:fldChar w:fldCharType="begin"/>
      </w:r>
      <w:r w:rsidR="0073574B">
        <w:rPr>
          <w:b/>
          <w:bCs/>
          <w:lang w:val="en-US"/>
        </w:rPr>
        <w:instrText xml:space="preserve"> ADDIN EN.CITE &lt;EndNote&gt;&lt;Cite&gt;&lt;Author&gt;Tao&lt;/Author&gt;&lt;Year&gt;2018&lt;/Year&gt;&lt;RecNum&gt;74&lt;/RecNum&gt;&lt;DisplayText&gt;[3]&lt;/DisplayText&gt;&lt;record&gt;&lt;rec-number&gt;74&lt;/rec-number&gt;&lt;foreign-keys&gt;&lt;key app="EN" db-id="p22005xv5srwpxeed275s99yfvez9tfr995s" timestamp="1605189579"&gt;74&lt;/key&gt;&lt;/foreign-keys&gt;&lt;ref-type name="Journal Article"&gt;17&lt;/ref-type&gt;&lt;contributors&gt;&lt;authors&gt;&lt;author&gt;Tao, Ruiyang&lt;/author&gt;&lt;author&gt;Wang, Shouyu&lt;/author&gt;&lt;author&gt;Jiashuo, Zhang&lt;/author&gt;&lt;author&gt;Zhang, Jingyi&lt;/author&gt;&lt;author&gt;Sheng, Xiang&lt;/author&gt;&lt;author&gt;Zhang, Suhua&lt;/author&gt;&lt;author&gt;Li, Chengtao&lt;/author&gt;&lt;/authors&gt;&lt;/contributors&gt;&lt;titles&gt;&lt;title&gt;Separation/extraction, detection, and interpretation of DNA mixtures in forensic science (review)&lt;/title&gt;&lt;secondary-title&gt;International Journal of Legal Medicine&lt;/secondary-title&gt;&lt;/titles&gt;&lt;periodical&gt;&lt;full-title&gt;International Journal of Legal Medicine&lt;/full-title&gt;&lt;/periodical&gt;&lt;volume&gt;132&lt;/volume&gt;&lt;dates&gt;&lt;year&gt;2018&lt;/year&gt;&lt;pub-dates&gt;&lt;date&gt;05/25&lt;/date&gt;&lt;/pub-dates&gt;&lt;/dates&gt;&lt;urls&gt;&lt;/urls&gt;&lt;electronic-resource-num&gt;10.1007/s00414-018-1862-0&lt;/electronic-resource-num&gt;&lt;/record&gt;&lt;/Cite&gt;&lt;/EndNote&gt;</w:instrText>
      </w:r>
      <w:r w:rsidRPr="002D261F">
        <w:rPr>
          <w:b/>
          <w:bCs/>
          <w:lang w:val="en-US"/>
        </w:rPr>
        <w:fldChar w:fldCharType="separate"/>
      </w:r>
      <w:r w:rsidR="0073574B">
        <w:rPr>
          <w:b/>
          <w:bCs/>
          <w:noProof/>
          <w:lang w:val="en-US"/>
        </w:rPr>
        <w:t>[3]</w:t>
      </w:r>
      <w:r w:rsidRPr="002D261F">
        <w:rPr>
          <w:b/>
          <w:bCs/>
          <w:lang w:val="en-US"/>
        </w:rPr>
        <w:fldChar w:fldCharType="end"/>
      </w:r>
    </w:p>
    <w:p w14:paraId="0DB5786B" w14:textId="0DCC7B51" w:rsidR="003A00BD" w:rsidRPr="002D261F" w:rsidRDefault="003A00BD" w:rsidP="003A00BD">
      <w:pPr>
        <w:rPr>
          <w:lang w:val="en-US"/>
        </w:rPr>
      </w:pPr>
      <w:r w:rsidRPr="002D261F">
        <w:rPr>
          <w:lang w:val="en-US"/>
        </w:rPr>
        <w:t xml:space="preserve">Information about how statistical analysis is done </w:t>
      </w:r>
      <w:r w:rsidR="00900D5D" w:rsidRPr="002D261F">
        <w:rPr>
          <w:lang w:val="en-US"/>
        </w:rPr>
        <w:t>to determine the LR with the</w:t>
      </w:r>
      <w:r w:rsidRPr="002D261F">
        <w:rPr>
          <w:lang w:val="en-US"/>
        </w:rPr>
        <w:t xml:space="preserve"> </w:t>
      </w:r>
      <w:proofErr w:type="spellStart"/>
      <w:r w:rsidRPr="002D261F">
        <w:rPr>
          <w:lang w:val="en-US"/>
        </w:rPr>
        <w:t>Hd</w:t>
      </w:r>
      <w:proofErr w:type="spellEnd"/>
      <w:r w:rsidRPr="002D261F">
        <w:rPr>
          <w:lang w:val="en-US"/>
        </w:rPr>
        <w:t xml:space="preserve"> and Hp.</w:t>
      </w:r>
      <w:r w:rsidR="00FF6918" w:rsidRPr="002D261F">
        <w:rPr>
          <w:lang w:val="en-US"/>
        </w:rPr>
        <w:t xml:space="preserve"> Showing that the LR is still the de-facto standard method.</w:t>
      </w:r>
    </w:p>
    <w:p w14:paraId="28F6620C" w14:textId="0127767D" w:rsidR="001F12BB" w:rsidRPr="002D261F" w:rsidRDefault="001F12BB" w:rsidP="001F12BB">
      <w:pPr>
        <w:rPr>
          <w:lang w:val="en-US"/>
        </w:rPr>
      </w:pPr>
      <w:r w:rsidRPr="002D261F">
        <w:rPr>
          <w:lang w:val="en-US"/>
        </w:rPr>
        <w:t>“The peak height information is of benefit for analyzing mixed profiles.”</w:t>
      </w:r>
    </w:p>
    <w:p w14:paraId="61F95979" w14:textId="338BBD09" w:rsidR="00FF6918" w:rsidRPr="002D261F" w:rsidRDefault="00FF6918" w:rsidP="00FF6918">
      <w:pPr>
        <w:rPr>
          <w:lang w:val="en-US"/>
        </w:rPr>
      </w:pPr>
      <w:r w:rsidRPr="002D261F">
        <w:rPr>
          <w:lang w:val="en-US"/>
        </w:rPr>
        <w:t xml:space="preserve">“The effect of incorrect estimation of the number of donors (caused by allele sharing) to the LR value was examined by </w:t>
      </w:r>
      <w:proofErr w:type="spellStart"/>
      <w:r w:rsidRPr="002D261F">
        <w:rPr>
          <w:lang w:val="en-US"/>
        </w:rPr>
        <w:t>Benschop</w:t>
      </w:r>
      <w:proofErr w:type="spellEnd"/>
      <w:r w:rsidRPr="002D261F">
        <w:rPr>
          <w:lang w:val="en-US"/>
        </w:rPr>
        <w:t xml:space="preserve"> (…) and was illustrated to exert a great effect on the LR” </w:t>
      </w:r>
      <w:r w:rsidRPr="002D261F">
        <w:rPr>
          <w:lang w:val="en-US"/>
        </w:rPr>
        <w:fldChar w:fldCharType="begin"/>
      </w:r>
      <w:r w:rsidR="0073574B">
        <w:rPr>
          <w:lang w:val="en-US"/>
        </w:rPr>
        <w:instrText xml:space="preserve"> ADDIN EN.CITE &lt;EndNote&gt;&lt;Cite&gt;&lt;Author&gt;Benschop&lt;/Author&gt;&lt;Year&gt;2015&lt;/Year&gt;&lt;RecNum&gt;22&lt;/RecNum&gt;&lt;DisplayText&gt;[4]&lt;/DisplayText&gt;&lt;record&gt;&lt;rec-number&gt;22&lt;/rec-number&gt;&lt;foreign-keys&gt;&lt;key app="EN" db-id="p22005xv5srwpxeed275s99yfvez9tfr995s" timestamp="1605013614"&gt;22&lt;/key&gt;&lt;/foreign-keys&gt;&lt;ref-type name="Journal Article"&gt;17&lt;/ref-type&gt;&lt;contributors&gt;&lt;authors&gt;&lt;author&gt;Benschop, C. C. G.&lt;/author&gt;&lt;author&gt;Haned, H.&lt;/author&gt;&lt;author&gt;Jeurissen, L.&lt;/author&gt;&lt;author&gt;Gill, P. D.&lt;/author&gt;&lt;author&gt;Sijen, T.&lt;/author&gt;&lt;/authors&gt;&lt;/contributors&gt;&lt;auth-address&gt;Department of Human Biological Traces, Netherlands Forensic Institute, P.O. Box 24044, The Hague, 2490, Netherlands&amp;#xD;National Institute of Public Health, Department of Forensic Biology, P.O. Box 4404 Nydalen, Oslo, 0403, Norway&amp;#xD;National Institute of Public Health, Department of Forensic Medicine, P.O. Box 4950 Nydalen, Oslo, 0424, Norway&lt;/auth-address&gt;&lt;titles&gt;&lt;title&gt;The effect of varying the number of contributors on likelihood ratios for complex DNA mixtures&lt;/title&gt;&lt;secondary-title&gt;Forensic Science International: Genetics&lt;/secondary-title&gt;&lt;/titles&gt;&lt;periodical&gt;&lt;full-title&gt;Forensic Science International: Genetics&lt;/full-title&gt;&lt;/periodical&gt;&lt;pages&gt;92-99&lt;/pages&gt;&lt;volume&gt;19&lt;/volume&gt;&lt;keywords&gt;&lt;keyword&gt;Forensic science&lt;/keyword&gt;&lt;keyword&gt;High order mixtures&lt;/keyword&gt;&lt;keyword&gt;Likelihood ratios&lt;/keyword&gt;&lt;keyword&gt;Next Generation Multiplex (NGM)&lt;/keyword&gt;&lt;keyword&gt;Number of contributors&lt;/keyword&gt;&lt;keyword&gt;Probative value&lt;/keyword&gt;&lt;/keywords&gt;&lt;dates&gt;&lt;year&gt;2015&lt;/year&gt;&lt;/dates&gt;&lt;work-type&gt;Article&lt;/work-type&gt;&lt;urls&gt;&lt;related-urls&gt;&lt;url&gt;https://www.scopus.com/inward/record.uri?eid=2-s2.0-84937556327&amp;amp;doi=10.1016%2fj.fsigen.2015.07.003&amp;amp;partnerID=40&amp;amp;md5=48ea9f68117c6937087a7b08879f3607&lt;/url&gt;&lt;/related-urls&gt;&lt;/urls&gt;&lt;electronic-resource-num&gt;10.1016/j.fsigen.2015.07.003&lt;/electronic-resource-num&gt;&lt;remote-database-name&gt;Scopus&lt;/remote-database-name&gt;&lt;/record&gt;&lt;/Cite&gt;&lt;/EndNote&gt;</w:instrText>
      </w:r>
      <w:r w:rsidRPr="002D261F">
        <w:rPr>
          <w:lang w:val="en-US"/>
        </w:rPr>
        <w:fldChar w:fldCharType="separate"/>
      </w:r>
      <w:r w:rsidR="0073574B">
        <w:rPr>
          <w:noProof/>
          <w:lang w:val="en-US"/>
        </w:rPr>
        <w:t>[4]</w:t>
      </w:r>
      <w:r w:rsidRPr="002D261F">
        <w:rPr>
          <w:lang w:val="en-US"/>
        </w:rPr>
        <w:fldChar w:fldCharType="end"/>
      </w:r>
    </w:p>
    <w:p w14:paraId="080687C2" w14:textId="07C79B85" w:rsidR="001D76EB" w:rsidRPr="0073574B" w:rsidRDefault="001D76EB" w:rsidP="001D76EB">
      <w:pPr>
        <w:rPr>
          <w:b/>
          <w:bCs/>
          <w:lang w:val="en-US"/>
        </w:rPr>
      </w:pPr>
      <w:r w:rsidRPr="002D261F">
        <w:rPr>
          <w:b/>
          <w:bCs/>
          <w:lang w:val="en-US"/>
        </w:rPr>
        <w:t>Background about NFI-</w:t>
      </w:r>
      <w:r w:rsidR="00390A3F" w:rsidRPr="002D261F">
        <w:rPr>
          <w:b/>
          <w:bCs/>
          <w:lang w:val="en-US"/>
        </w:rPr>
        <w:t>u</w:t>
      </w:r>
      <w:r w:rsidRPr="002D261F">
        <w:rPr>
          <w:b/>
          <w:bCs/>
          <w:lang w:val="en-US"/>
        </w:rPr>
        <w:t xml:space="preserve">sed software for LR calculation </w:t>
      </w:r>
      <w:proofErr w:type="spellStart"/>
      <w:r w:rsidR="00390A3F" w:rsidRPr="002D261F">
        <w:rPr>
          <w:b/>
          <w:bCs/>
          <w:lang w:val="en-US"/>
        </w:rPr>
        <w:t>DNAStatistX</w:t>
      </w:r>
      <w:proofErr w:type="spellEnd"/>
    </w:p>
    <w:p w14:paraId="6D491DAC" w14:textId="0DCCD401" w:rsidR="00BE042E" w:rsidRPr="002D261F" w:rsidRDefault="001D76EB" w:rsidP="001D76EB">
      <w:pPr>
        <w:rPr>
          <w:lang w:val="en-US"/>
        </w:rPr>
      </w:pPr>
      <w:r w:rsidRPr="002D261F">
        <w:rPr>
          <w:lang w:val="en-US"/>
        </w:rPr>
        <w:t xml:space="preserve">Shows the importance of correct NOC estimations: under-assigned number of </w:t>
      </w:r>
      <w:r w:rsidR="00390A3F" w:rsidRPr="002D261F">
        <w:rPr>
          <w:lang w:val="en-US"/>
        </w:rPr>
        <w:t>contributors</w:t>
      </w:r>
      <w:r w:rsidRPr="002D261F">
        <w:rPr>
          <w:lang w:val="en-US"/>
        </w:rPr>
        <w:t xml:space="preserve"> can </w:t>
      </w:r>
      <w:r w:rsidR="00390A3F" w:rsidRPr="002D261F">
        <w:rPr>
          <w:lang w:val="en-US"/>
        </w:rPr>
        <w:t>cause</w:t>
      </w:r>
      <w:r w:rsidRPr="002D261F">
        <w:rPr>
          <w:lang w:val="en-US"/>
        </w:rPr>
        <w:t xml:space="preserve"> the model the </w:t>
      </w:r>
      <w:proofErr w:type="gramStart"/>
      <w:r w:rsidRPr="002D261F">
        <w:rPr>
          <w:lang w:val="en-US"/>
        </w:rPr>
        <w:t>fail</w:t>
      </w:r>
      <w:proofErr w:type="gramEnd"/>
      <w:r w:rsidRPr="002D261F">
        <w:rPr>
          <w:lang w:val="en-US"/>
        </w:rPr>
        <w:t xml:space="preserve"> calculating the LR because the observed peaks cannot be well explained.</w:t>
      </w:r>
      <w:r w:rsidR="00BE042E" w:rsidRPr="002D261F">
        <w:rPr>
          <w:lang w:val="en-US"/>
        </w:rPr>
        <w:t xml:space="preserve"> </w:t>
      </w:r>
    </w:p>
    <w:p w14:paraId="05EDD1EE" w14:textId="67175B2A" w:rsidR="00BE042E" w:rsidRPr="002D261F" w:rsidRDefault="00BE042E" w:rsidP="001D76EB">
      <w:pPr>
        <w:rPr>
          <w:lang w:val="en-US"/>
        </w:rPr>
      </w:pPr>
      <w:r w:rsidRPr="002D261F">
        <w:rPr>
          <w:lang w:val="en-US"/>
        </w:rPr>
        <w:t>Also includes the NOC model</w:t>
      </w:r>
      <w:r w:rsidR="00D96FD0" w:rsidRPr="002D261F">
        <w:rPr>
          <w:lang w:val="en-US"/>
        </w:rPr>
        <w:t xml:space="preserve"> + the generic RF11 model (with a lower accuracy of ~</w:t>
      </w:r>
    </w:p>
    <w:p w14:paraId="6EB8D8D9" w14:textId="07E74DFF" w:rsidR="00BE042E" w:rsidRPr="002D261F" w:rsidRDefault="00BE042E" w:rsidP="001D76EB">
      <w:pPr>
        <w:rPr>
          <w:lang w:val="en-US"/>
        </w:rPr>
      </w:pPr>
      <w:r w:rsidRPr="002D261F">
        <w:rPr>
          <w:lang w:val="en-US"/>
        </w:rPr>
        <w:t xml:space="preserve">Also includes the </w:t>
      </w:r>
      <w:proofErr w:type="spellStart"/>
      <w:r w:rsidRPr="002D261F">
        <w:rPr>
          <w:lang w:val="en-US"/>
        </w:rPr>
        <w:t>LoCIM</w:t>
      </w:r>
      <w:proofErr w:type="spellEnd"/>
      <w:r w:rsidRPr="002D261F">
        <w:rPr>
          <w:lang w:val="en-US"/>
        </w:rPr>
        <w:t xml:space="preserve"> method for inferring the major contributor.</w:t>
      </w:r>
    </w:p>
    <w:p w14:paraId="5BD8D753" w14:textId="77777777" w:rsidR="009D12D3" w:rsidRPr="002D261F" w:rsidRDefault="009D12D3" w:rsidP="008D236C">
      <w:pPr>
        <w:rPr>
          <w:lang w:val="en-US"/>
        </w:rPr>
      </w:pPr>
    </w:p>
    <w:p w14:paraId="5084DDD5" w14:textId="77777777" w:rsidR="009D12D3" w:rsidRPr="002D261F" w:rsidRDefault="009D12D3" w:rsidP="008D236C">
      <w:pPr>
        <w:rPr>
          <w:lang w:val="en-US"/>
        </w:rPr>
      </w:pPr>
    </w:p>
    <w:p w14:paraId="3EFC2FFB" w14:textId="77777777" w:rsidR="00C81B6E" w:rsidRPr="00C81B6E" w:rsidRDefault="00C81B6E" w:rsidP="00C81B6E">
      <w:pPr>
        <w:rPr>
          <w:b/>
          <w:bCs/>
          <w:lang w:val="en-US"/>
        </w:rPr>
      </w:pPr>
      <w:r w:rsidRPr="00C81B6E">
        <w:rPr>
          <w:b/>
          <w:bCs/>
          <w:lang w:val="en-US"/>
        </w:rPr>
        <w:t>“Short, disjoint rules are easier to interpret than hierarchies like decision lists or trees (</w:t>
      </w:r>
      <w:proofErr w:type="spellStart"/>
      <w:r w:rsidRPr="00C81B6E">
        <w:rPr>
          <w:b/>
          <w:bCs/>
          <w:lang w:val="en-US"/>
        </w:rPr>
        <w:t>Lakkaraju</w:t>
      </w:r>
      <w:proofErr w:type="spellEnd"/>
      <w:r w:rsidRPr="00C81B6E">
        <w:rPr>
          <w:b/>
          <w:bCs/>
          <w:lang w:val="en-US"/>
        </w:rPr>
        <w:t xml:space="preserve">, Bach, and </w:t>
      </w:r>
      <w:proofErr w:type="spellStart"/>
      <w:r w:rsidRPr="00C81B6E">
        <w:rPr>
          <w:b/>
          <w:bCs/>
          <w:lang w:val="en-US"/>
        </w:rPr>
        <w:t>Leskovec</w:t>
      </w:r>
      <w:proofErr w:type="spellEnd"/>
      <w:r w:rsidRPr="00C81B6E">
        <w:rPr>
          <w:b/>
          <w:bCs/>
          <w:lang w:val="en-US"/>
        </w:rPr>
        <w:t xml:space="preserve"> 2016)”</w:t>
      </w:r>
    </w:p>
    <w:p w14:paraId="676C03C7" w14:textId="21BFF06A" w:rsidR="00D1459E" w:rsidRPr="002D261F" w:rsidRDefault="00D1459E" w:rsidP="008D236C">
      <w:pPr>
        <w:rPr>
          <w:lang w:val="en-US"/>
        </w:rPr>
      </w:pPr>
      <w:r w:rsidRPr="002D261F">
        <w:rPr>
          <w:lang w:val="en-US"/>
        </w:rPr>
        <w:br w:type="page"/>
      </w:r>
    </w:p>
    <w:p w14:paraId="1B32FDB8" w14:textId="77777777" w:rsidR="00A411C5" w:rsidRPr="002D261F" w:rsidRDefault="00A411C5" w:rsidP="00A411C5">
      <w:pPr>
        <w:rPr>
          <w:lang w:val="en-US"/>
        </w:rPr>
      </w:pPr>
    </w:p>
    <w:p w14:paraId="3551D6E8" w14:textId="31865E4E" w:rsidR="006D7D8E" w:rsidRPr="002D261F" w:rsidRDefault="00463B0C" w:rsidP="00463B0C">
      <w:pPr>
        <w:pStyle w:val="Kop1"/>
        <w:rPr>
          <w:lang w:val="en-US"/>
        </w:rPr>
      </w:pPr>
      <w:r w:rsidRPr="002D261F">
        <w:rPr>
          <w:lang w:val="en-US"/>
        </w:rPr>
        <w:t>Evaluation</w:t>
      </w:r>
    </w:p>
    <w:p w14:paraId="11445B0E" w14:textId="524A61E3" w:rsidR="00F04E4F" w:rsidRPr="002D261F" w:rsidRDefault="006B35C3" w:rsidP="005B0270">
      <w:pPr>
        <w:rPr>
          <w:lang w:val="en-US"/>
        </w:rPr>
      </w:pPr>
      <w:r w:rsidRPr="002D261F">
        <w:rPr>
          <w:lang w:val="en-US"/>
        </w:rPr>
        <w:t xml:space="preserve">Explanations should have few features, as humans pick usually just a few reasons. They should be specific to the problem at hand, and every instance should be explained in the same deterministic way </w:t>
      </w:r>
      <w:r w:rsidRPr="002D261F">
        <w:rPr>
          <w:lang w:val="en-US"/>
        </w:rPr>
        <w:fldChar w:fldCharType="begin"/>
      </w:r>
      <w:r w:rsidR="00A57DF1">
        <w:rPr>
          <w:lang w:val="en-US"/>
        </w:rPr>
        <w:instrText xml:space="preserve"> ADDIN EN.CITE &lt;EndNote&gt;&lt;Cite&gt;&lt;Author&gt;Lakkaraju&lt;/Author&gt;&lt;Year&gt;2017&lt;/Year&gt;&lt;RecNum&gt;102&lt;/RecNum&gt;&lt;DisplayText&gt;[5]&lt;/DisplayText&gt;&lt;record&gt;&lt;rec-number&gt;102&lt;/rec-number&gt;&lt;foreign-keys&gt;&lt;key app="EN" db-id="p22005xv5srwpxeed275s99yfvez9tfr995s" timestamp="1606403285"&gt;102&lt;/key&gt;&lt;/foreign-keys&gt;&lt;ref-type name="Journal Article"&gt;17&lt;/ref-type&gt;&lt;contributors&gt;&lt;authors&gt;&lt;author&gt;Lakkaraju, Himabindu&lt;/author&gt;&lt;author&gt;Kamar, Ece&lt;/author&gt;&lt;author&gt;Caruana, Rich&lt;/author&gt;&lt;author&gt;Leskovec, Jure&lt;/author&gt;&lt;/authors&gt;&lt;/contributors&gt;&lt;titles&gt;&lt;title&gt;Interpretable &amp;amp; Explorable Approximations of Black Box Models&lt;/title&gt;&lt;/titles&gt;&lt;dates&gt;&lt;year&gt;2017&lt;/year&gt;&lt;pub-dates&gt;&lt;date&gt;07/04&lt;/date&gt;&lt;/pub-dates&gt;&lt;/dates&gt;&lt;urls&gt;&lt;/urls&gt;&lt;/record&gt;&lt;/Cite&gt;&lt;/EndNote&gt;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A57DF1">
        <w:rPr>
          <w:noProof/>
          <w:lang w:val="en-US"/>
        </w:rPr>
        <w:t>[5]</w:t>
      </w:r>
      <w:r w:rsidRPr="002D261F">
        <w:rPr>
          <w:lang w:val="en-US"/>
        </w:rPr>
        <w:fldChar w:fldCharType="end"/>
      </w:r>
      <w:r w:rsidRPr="002D261F">
        <w:rPr>
          <w:lang w:val="en-US"/>
        </w:rPr>
        <w:t>.</w:t>
      </w:r>
      <w:r w:rsidR="002B024B" w:rsidRPr="002D261F">
        <w:rPr>
          <w:lang w:val="en-US"/>
        </w:rPr>
        <w:t xml:space="preserve"> Deterministic, or consistent feature attributions </w:t>
      </w:r>
      <w:r w:rsidR="002B024B" w:rsidRPr="002D261F">
        <w:rPr>
          <w:lang w:val="en-US"/>
        </w:rPr>
        <w:fldChar w:fldCharType="begin"/>
      </w:r>
      <w:r w:rsidR="00A57DF1">
        <w:rPr>
          <w:lang w:val="en-US"/>
        </w:rPr>
        <w:instrText xml:space="preserve"> ADDIN EN.CITE &lt;EndNote&gt;&lt;Cite&gt;&lt;Author&gt;Lundberg&lt;/Author&gt;&lt;Year&gt;2017&lt;/Year&gt;&lt;RecNum&gt;103&lt;/RecNum&gt;&lt;DisplayText&gt;[6]&lt;/DisplayText&gt;&lt;record&gt;&lt;rec-number&gt;103&lt;/rec-number&gt;&lt;foreign-keys&gt;&lt;key app="EN" db-id="p22005xv5srwpxeed275s99yfvez9tfr995s" timestamp="1606404188"&gt;103&lt;/key&gt;&lt;/foreign-keys&gt;&lt;ref-type name="Book"&gt;6&lt;/ref-type&gt;&lt;contributors&gt;&lt;authors&gt;&lt;author&gt;Lundberg, Scott&lt;/author&gt;&lt;author&gt;Lee, Su-In&lt;/author&gt;&lt;/authors&gt;&lt;/contributors&gt;&lt;titles&gt;&lt;title&gt;A Unified Approach to Interpreting Model Predictions&lt;/title&gt;&lt;/titles&gt;&lt;dates&gt;&lt;year&gt;2017&lt;/year&gt;&lt;/dates&gt;&lt;urls&gt;&lt;/urls&gt;&lt;/record&gt;&lt;/Cite&gt;&lt;/EndNote&gt;</w:instrText>
      </w:r>
      <w:r w:rsidR="002B024B" w:rsidRPr="002D261F">
        <w:rPr>
          <w:lang w:val="en-US"/>
        </w:rPr>
        <w:fldChar w:fldCharType="separate"/>
      </w:r>
      <w:r w:rsidR="00A57DF1">
        <w:rPr>
          <w:noProof/>
          <w:lang w:val="en-US"/>
        </w:rPr>
        <w:t>[6]</w:t>
      </w:r>
      <w:r w:rsidR="002B024B" w:rsidRPr="002D261F">
        <w:rPr>
          <w:lang w:val="en-US"/>
        </w:rPr>
        <w:fldChar w:fldCharType="end"/>
      </w:r>
      <w:r w:rsidR="002B024B" w:rsidRPr="002D261F">
        <w:rPr>
          <w:lang w:val="en-US"/>
        </w:rPr>
        <w:t>.</w:t>
      </w:r>
    </w:p>
    <w:p w14:paraId="0DB33FD6" w14:textId="040FD023" w:rsidR="00F04E4F" w:rsidRPr="002D261F" w:rsidRDefault="00F04E4F" w:rsidP="005B0270">
      <w:pPr>
        <w:rPr>
          <w:lang w:val="en-US"/>
        </w:rPr>
      </w:pPr>
      <w:r w:rsidRPr="002D261F">
        <w:rPr>
          <w:lang w:val="en-US"/>
        </w:rPr>
        <w:t xml:space="preserve">Exploration using several visual aids </w:t>
      </w:r>
      <w:r w:rsidRPr="002D261F">
        <w:rPr>
          <w:lang w:val="en-US"/>
        </w:rPr>
        <w:fldChar w:fldCharType="begin">
          <w:fldData xml:space="preserve">PEVuZE5vdGU+PENpdGU+PEF1dGhvcj5MdW5kYmVyZzwvQXV0aG9yPjxZZWFyPjIwMTg8L1llYXI+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</w:fldData>
        </w:fldChar>
      </w:r>
      <w:r w:rsidR="00A57DF1">
        <w:rPr>
          <w:lang w:val="en-US"/>
        </w:rPr>
        <w:instrText xml:space="preserve"> ADDIN EN.CITE </w:instrText>
      </w:r>
      <w:r w:rsidR="00A57DF1">
        <w:rPr>
          <w:lang w:val="en-US"/>
        </w:rPr>
        <w:fldChar w:fldCharType="begin">
          <w:fldData xml:space="preserve">PEVuZE5vdGU+PENpdGU+PEF1dGhvcj5MdW5kYmVyZzwvQXV0aG9yPjxZZWFyPjIwMTg8L1llYXI+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</w:fldData>
        </w:fldChar>
      </w:r>
      <w:r w:rsidR="00A57DF1">
        <w:rPr>
          <w:lang w:val="en-US"/>
        </w:rPr>
        <w:instrText xml:space="preserve"> ADDIN EN.CITE.DATA </w:instrText>
      </w:r>
      <w:r w:rsidR="00A57DF1">
        <w:rPr>
          <w:lang w:val="en-US"/>
        </w:rPr>
      </w:r>
      <w:r w:rsidR="00A57DF1">
        <w:rPr>
          <w:lang w:val="en-US"/>
        </w:rPr>
        <w:fldChar w:fldCharType="end"/>
      </w:r>
      <w:r w:rsidRPr="002D261F">
        <w:rPr>
          <w:lang w:val="en-US"/>
        </w:rPr>
      </w:r>
      <w:r w:rsidRPr="002D261F">
        <w:rPr>
          <w:lang w:val="en-US"/>
        </w:rPr>
        <w:fldChar w:fldCharType="separate"/>
      </w:r>
      <w:r w:rsidR="00A57DF1">
        <w:rPr>
          <w:noProof/>
          <w:lang w:val="en-US"/>
        </w:rPr>
        <w:t>[7]</w:t>
      </w:r>
      <w:r w:rsidRPr="002D261F">
        <w:rPr>
          <w:lang w:val="en-US"/>
        </w:rPr>
        <w:fldChar w:fldCharType="end"/>
      </w:r>
      <w:r w:rsidRPr="002D261F">
        <w:rPr>
          <w:lang w:val="en-US"/>
        </w:rPr>
        <w:t>.</w:t>
      </w:r>
    </w:p>
    <w:p w14:paraId="5CEDA36D" w14:textId="23E5246B" w:rsidR="00FA45B6" w:rsidRDefault="007D6E54" w:rsidP="00EE1F6B">
      <w:pPr>
        <w:pStyle w:val="Geenafstand"/>
        <w:spacing w:line="360" w:lineRule="auto"/>
        <w:ind w:firstLine="720"/>
        <w:jc w:val="left"/>
        <w:rPr>
          <w:rFonts w:ascii="Arial" w:hAnsi="Arial" w:cs="Arial"/>
        </w:rPr>
      </w:pPr>
      <w:r>
        <w:rPr>
          <w:lang w:val="en-US"/>
        </w:rPr>
        <w:br/>
      </w:r>
      <w:r>
        <w:rPr>
          <w:lang w:val="en-US"/>
        </w:rPr>
        <w:br/>
      </w:r>
      <w:r w:rsidR="00EE1F6B" w:rsidRPr="00EE1F6B">
        <w:rPr>
          <w:rStyle w:val="Kop3Char"/>
        </w:rPr>
        <w:t>MISC COUNTERFACTUAL METHODS</w:t>
      </w:r>
      <w:r>
        <w:rPr>
          <w:lang w:val="en-US"/>
        </w:rPr>
        <w:br/>
      </w:r>
      <w:r w:rsidR="00FA45B6">
        <w:rPr>
          <w:rFonts w:ascii="Arial" w:hAnsi="Arial" w:cs="Arial"/>
        </w:rPr>
        <w:t xml:space="preserve">Linear optimization </w:t>
      </w:r>
      <w:r w:rsidR="00FA45B6">
        <w:rPr>
          <w:rFonts w:ascii="Arial" w:hAnsi="Arial" w:cs="Arial"/>
        </w:rPr>
        <w:fldChar w:fldCharType="begin"/>
      </w:r>
      <w:r w:rsidR="00A57DF1">
        <w:rPr>
          <w:rFonts w:ascii="Arial" w:hAnsi="Arial" w:cs="Arial"/>
        </w:rPr>
        <w:instrText xml:space="preserve"> ADDIN EN.CITE &lt;EndNote&gt;&lt;Cite&gt;&lt;Author&gt;Russell&lt;/Author&gt;&lt;Year&gt;2019&lt;/Year&gt;&lt;RecNum&gt;174&lt;/RecNum&gt;&lt;DisplayText&gt;[8]&lt;/DisplayText&gt;&lt;record&gt;&lt;rec-number&gt;174&lt;/rec-number&gt;&lt;foreign-keys&gt;&lt;key app="EN" db-id="p22005xv5srwpxeed275s99yfvez9tfr995s" timestamp="1606496892"&gt;174&lt;/key&gt;&lt;/foreign-keys&gt;&lt;ref-type name="Conference Proceedings"&gt;10&lt;/ref-type&gt;&lt;contributors&gt;&lt;authors&gt;&lt;author&gt;Russell, C.&lt;/author&gt;&lt;/authors&gt;&lt;/contributors&gt;&lt;titles&gt;&lt;title&gt;Efficient search for diverse coherent explanations&lt;/title&gt;&lt;/titles&gt;&lt;pages&gt;20-28&lt;/pages&gt;&lt;dates&gt;&lt;year&gt;2019&lt;/year&gt;&lt;/dates&gt;&lt;work-type&gt;Conference Paper&lt;/work-type&gt;&lt;urls&gt;&lt;related-urls&gt;&lt;url&gt;https://www.scopus.com/inward/record.uri?eid=2-s2.0-85061808954&amp;amp;doi=10.1145%2f3287560.3287569&amp;amp;partnerID=40&amp;amp;md5=808d92255a92e4b62500fddc3f2f0ed9&lt;/url&gt;&lt;/related-urls&gt;&lt;/urls&gt;&lt;custom3&gt;FAT* 2019 - Proceedings of the 2019 Conference on Fairness, Accountability, and Transparency&lt;/custom3&gt;&lt;electronic-resource-num&gt;10.1145/3287560.3287569&lt;/electronic-resource-num&gt;&lt;remote-database-name&gt;Scopus&lt;/remote-database-name&gt;&lt;/record&gt;&lt;/Cite&gt;&lt;/EndNote&gt;</w:instrText>
      </w:r>
      <w:r w:rsidR="00FA45B6">
        <w:rPr>
          <w:rFonts w:ascii="Arial" w:hAnsi="Arial" w:cs="Arial"/>
        </w:rPr>
        <w:fldChar w:fldCharType="separate"/>
      </w:r>
      <w:r w:rsidR="00A57DF1">
        <w:rPr>
          <w:rFonts w:ascii="Arial" w:hAnsi="Arial" w:cs="Arial"/>
          <w:noProof/>
        </w:rPr>
        <w:t>[8]</w:t>
      </w:r>
      <w:r w:rsidR="00FA45B6">
        <w:rPr>
          <w:rFonts w:ascii="Arial" w:hAnsi="Arial" w:cs="Arial"/>
        </w:rPr>
        <w:fldChar w:fldCharType="end"/>
      </w:r>
      <w:r w:rsidR="00FA45B6">
        <w:rPr>
          <w:rFonts w:ascii="Arial" w:hAnsi="Arial" w:cs="Arial"/>
        </w:rPr>
        <w:t xml:space="preserve">, learning a local decision tree </w:t>
      </w:r>
      <w:r w:rsidR="00FA45B6">
        <w:rPr>
          <w:rFonts w:ascii="Arial" w:hAnsi="Arial" w:cs="Arial"/>
        </w:rPr>
        <w:fldChar w:fldCharType="begin"/>
      </w:r>
      <w:r w:rsidR="00A57DF1">
        <w:rPr>
          <w:rFonts w:ascii="Arial" w:hAnsi="Arial" w:cs="Arial"/>
        </w:rPr>
        <w:instrText xml:space="preserve"> ADDIN EN.CITE &lt;EndNote&gt;&lt;Cite&gt;&lt;Author&gt;Guidotti&lt;/Author&gt;&lt;Year&gt;2019&lt;/Year&gt;&lt;RecNum&gt;166&lt;/RecNum&gt;&lt;DisplayText&gt;[9]&lt;/DisplayText&gt;&lt;record&gt;&lt;rec-number&gt;166&lt;/rec-number&gt;&lt;foreign-keys&gt;&lt;key app="EN" db-id="p22005xv5srwpxeed275s99yfvez9tfr995s" timestamp="1606496892"&gt;166&lt;/key&gt;&lt;/foreign-keys&gt;&lt;ref-type name="Journal Article"&gt;17&lt;/ref-type&gt;&lt;contributors&gt;&lt;authors&gt;&lt;author&gt;Guidotti, R.&lt;/author&gt;&lt;author&gt;Monreale, A.&lt;/author&gt;&lt;author&gt;Giannotti, F.&lt;/author&gt;&lt;author&gt;Pedreschi, D.&lt;/author&gt;&lt;author&gt;Ruggieri, S.&lt;/author&gt;&lt;author&gt;Turini, F.&lt;/author&gt;&lt;/authors&gt;&lt;/contributors&gt;&lt;titles&gt;&lt;title&gt;Factual and Counterfactual Explanations for Black Box Decision Making&lt;/title&gt;&lt;secondary-title&gt;IEEE Intelligent Systems&lt;/secondary-title&gt;&lt;/titles&gt;&lt;periodical&gt;&lt;full-title&gt;IEEE Intelligent Systems&lt;/full-title&gt;&lt;/periodical&gt;&lt;pages&gt;14-23&lt;/pages&gt;&lt;volume&gt;34&lt;/volume&gt;&lt;number&gt;6&lt;/number&gt;&lt;dates&gt;&lt;year&gt;2019&lt;/year&gt;&lt;/dates&gt;&lt;work-type&gt;Article&lt;/work-type&gt;&lt;urls&gt;&lt;related-urls&gt;&lt;url&gt;https://www.scopus.com/inward/record.uri?eid=2-s2.0-85076272618&amp;amp;doi=10.1109%2fMIS.2019.2957223&amp;amp;partnerID=40&amp;amp;md5=e2b958485d1510a355f1cff6dbf0efa2&lt;/url&gt;&lt;url&gt;https://ieeexplore.ieee.org/document/8920138/&lt;/url&gt;&lt;/related-urls&gt;&lt;/urls&gt;&lt;custom7&gt;8920138&lt;/custom7&gt;&lt;electronic-resource-num&gt;10.1109/MIS.2019.2957223&lt;/electronic-resource-num&gt;&lt;remote-database-name&gt;Scopus&lt;/remote-database-name&gt;&lt;/record&gt;&lt;/Cite&gt;&lt;/EndNote&gt;</w:instrText>
      </w:r>
      <w:r w:rsidR="00FA45B6">
        <w:rPr>
          <w:rFonts w:ascii="Arial" w:hAnsi="Arial" w:cs="Arial"/>
        </w:rPr>
        <w:fldChar w:fldCharType="separate"/>
      </w:r>
      <w:r w:rsidR="00A57DF1">
        <w:rPr>
          <w:rFonts w:ascii="Arial" w:hAnsi="Arial" w:cs="Arial"/>
          <w:noProof/>
        </w:rPr>
        <w:t>[9]</w:t>
      </w:r>
      <w:r w:rsidR="00FA45B6">
        <w:rPr>
          <w:rFonts w:ascii="Arial" w:hAnsi="Arial" w:cs="Arial"/>
        </w:rPr>
        <w:fldChar w:fldCharType="end"/>
      </w:r>
      <w:r w:rsidR="00FA45B6">
        <w:rPr>
          <w:rFonts w:ascii="Arial" w:hAnsi="Arial" w:cs="Arial"/>
        </w:rPr>
        <w:t>,</w:t>
      </w:r>
    </w:p>
    <w:p w14:paraId="721D01F6" w14:textId="37EE66EE" w:rsidR="00047224" w:rsidRDefault="00EE1F6B">
      <w:pPr>
        <w:rPr>
          <w:rFonts w:ascii="Arial" w:hAnsi="Arial" w:cs="Arial"/>
          <w:lang w:val="en-US"/>
        </w:rPr>
      </w:pPr>
      <w:r w:rsidRPr="00EE1F6B">
        <w:rPr>
          <w:rFonts w:ascii="Arial" w:hAnsi="Arial" w:cs="Arial"/>
          <w:lang w:val="en-US"/>
        </w:rPr>
        <w:t xml:space="preserve">Using the gradient of the loss with respect to the input </w:t>
      </w:r>
      <w:r>
        <w:rPr>
          <w:rFonts w:ascii="Arial" w:hAnsi="Arial" w:cs="Arial"/>
        </w:rPr>
        <w:fldChar w:fldCharType="begin"/>
      </w:r>
      <w:r w:rsidR="00A57DF1" w:rsidRPr="00A57DF1">
        <w:rPr>
          <w:rFonts w:ascii="Arial" w:hAnsi="Arial" w:cs="Arial"/>
          <w:lang w:val="en-US"/>
        </w:rPr>
        <w:instrText xml:space="preserve"> ADDIN EN.CITE &lt;EndNote&gt;&lt;Cite&gt;&lt;Author&gt;Moore&lt;/Author&gt;&lt;Year&gt;2019&lt;/Year&gt;&lt;RecNum&gt;171&lt;/RecNum&gt;&lt;DisplayText&gt;[10]&lt;/DisplayText&gt;&lt;record&gt;&lt;rec-number&gt;171&lt;/rec-number&gt;&lt;foreign-keys&gt;&lt;key app="EN" db-id="p22005xv5srwpxeed275s99yfvez9tfr995s" timestamp="1606496892"&gt;171&lt;/key&gt;&lt;/foreign-keys&gt;&lt;ref-type name="Serial"&gt;57&lt;/ref-type&gt;&lt;contributors&gt;&lt;authors&gt;&lt;author&gt;Moore, J.&lt;/author&gt;&lt;author&gt;Hammerla, N.&lt;/author&gt;&lt;author&gt;Watkins, C.&lt;/author&gt;&lt;/authors&gt;&lt;/contributors&gt;&lt;titles&gt;&lt;title&gt;Explaining deep learning models with constrained adversarial examples&lt;/title&gt;&lt;/titles&gt;&lt;pages&gt;43-56&lt;/pages&gt;&lt;volume&gt;11670 LNAI&lt;/volume&gt;&lt;dates&gt;&lt;year&gt;2019&lt;/year&gt;&lt;/dates&gt;&lt;work-type&gt;Conference Paper&lt;/work-type&gt;&lt;urls&gt;&lt;related-urls&gt;&lt;url&gt;https://www.scopus.com/inward/record.uri?eid=2-s2.0-85072855374&amp;amp;doi=10.1007%2f978-3-030-29908-8_4&amp;amp;partnerID=40&amp;amp;md5=12b7c44d2531f7a31ad11dab42e5841b&lt;/url&gt;&lt;url&gt;https://link.springer.com/chapter/10.1007%2F978-3-030-29908-8_4&lt;/url&gt;&lt;/related-urls&gt;&lt;/urls&gt;&lt;custom3&gt;Lecture Notes in Computer Science (including subseries Lecture Notes in Artificial Intelligence and Lecture Notes in Bioinformatics)&lt;/custom3&gt;&lt;electronic-resource-num&gt;10.1007/978-3-030-29908-8_4&lt;/electronic-resource-num&gt;&lt;remote-database-name&gt;Scopus&lt;/remote-database-name&gt;&lt;/record&gt;&lt;/Cite&gt;&lt;/EndNote&gt;</w:instrText>
      </w:r>
      <w:r>
        <w:rPr>
          <w:rFonts w:ascii="Arial" w:hAnsi="Arial" w:cs="Arial"/>
        </w:rPr>
        <w:fldChar w:fldCharType="separate"/>
      </w:r>
      <w:r w:rsidR="00A57DF1" w:rsidRPr="00A57DF1">
        <w:rPr>
          <w:rFonts w:ascii="Arial" w:hAnsi="Arial" w:cs="Arial"/>
          <w:noProof/>
          <w:lang w:val="en-US"/>
        </w:rPr>
        <w:t>[10]</w:t>
      </w:r>
      <w:r>
        <w:rPr>
          <w:rFonts w:ascii="Arial" w:hAnsi="Arial" w:cs="Arial"/>
        </w:rPr>
        <w:fldChar w:fldCharType="end"/>
      </w:r>
      <w:r w:rsidRPr="00EE1F6B">
        <w:rPr>
          <w:rFonts w:ascii="Arial" w:hAnsi="Arial" w:cs="Arial"/>
          <w:lang w:val="en-US"/>
        </w:rPr>
        <w:t>, a method that is based on the data, not on the classifier</w:t>
      </w:r>
    </w:p>
    <w:p w14:paraId="5DE13F97" w14:textId="48AF7A7F" w:rsidR="00047224" w:rsidRDefault="00047224" w:rsidP="00047224">
      <w:pPr>
        <w:pStyle w:val="Geenafstan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However, their method is based on highly-dimensional (1000+), behavioural or textual data </w:t>
      </w:r>
      <w:r>
        <w:rPr>
          <w:rFonts w:ascii="Arial" w:hAnsi="Arial" w:cs="Arial"/>
        </w:rPr>
        <w:fldChar w:fldCharType="begin"/>
      </w:r>
      <w:r w:rsidR="00A57DF1">
        <w:rPr>
          <w:rFonts w:ascii="Arial" w:hAnsi="Arial" w:cs="Arial"/>
        </w:rPr>
        <w:instrText xml:space="preserve"> ADDIN EN.CITE &lt;EndNote&gt;&lt;Cite&gt;&lt;Author&gt;Ramon&lt;/Author&gt;&lt;Year&gt;2020&lt;/Year&gt;&lt;RecNum&gt;205&lt;/RecNum&gt;&lt;DisplayText&gt;[11]&lt;/DisplayText&gt;&lt;record&gt;&lt;rec-number&gt;205&lt;/rec-number&gt;&lt;foreign-keys&gt;&lt;key app="EN" db-id="p22005xv5srwpxeed275s99yfvez9tfr995s" timestamp="1613145645"&gt;205&lt;/key&gt;&lt;/foreign-keys&gt;&lt;ref-type name="Journal Article"&gt;17&lt;/ref-type&gt;&lt;contributors&gt;&lt;authors&gt;&lt;author&gt;Ramon, Y.&lt;/author&gt;&lt;author&gt;Martens, D.&lt;/author&gt;&lt;author&gt;Provost, F.&lt;/author&gt;&lt;author&gt;Evgeniou, T.&lt;/author&gt;&lt;/authors&gt;&lt;/contributors&gt;&lt;titles&gt;&lt;title&gt;A comparison of instance-level counterfactual explanation algorithms for behavioral and textual data: SEDC, LIME-C and SHAP-C&lt;/title&gt;&lt;secondary-title&gt;Advances in Data Analysis and Classification&lt;/secondary-title&gt;&lt;/titles&gt;&lt;periodical&gt;&lt;full-title&gt;Advances in Data Analysis and Classification&lt;/full-title&gt;&lt;/periodical&gt;&lt;pages&gt;801-819&lt;/pages&gt;&lt;volume&gt;14&lt;/volume&gt;&lt;number&gt;4&lt;/number&gt;&lt;dates&gt;&lt;year&gt;2020&lt;/year&gt;&lt;/dates&gt;&lt;work-type&gt;Article&lt;/work-type&gt;&lt;urls&gt;&lt;related-urls&gt;&lt;url&gt;https://www.scopus.com/inward/record.uri?eid=2-s2.0-85090239807&amp;amp;doi=10.1007%2fs11634-020-00418-3&amp;amp;partnerID=40&amp;amp;md5=34bfe431ccfb38178c96aafeae670fed&lt;/url&gt;&lt;/related-urls&gt;&lt;/urls&gt;&lt;electronic-resource-num&gt;10.1007/s11634-020-00418-3&lt;/electronic-resource-num&gt;&lt;remote-database-name&gt;Scopus&lt;/remote-database-name&gt;&lt;/record&gt;&lt;/Cite&gt;&lt;/EndNote&gt;</w:instrText>
      </w:r>
      <w:r>
        <w:rPr>
          <w:rFonts w:ascii="Arial" w:hAnsi="Arial" w:cs="Arial"/>
        </w:rPr>
        <w:fldChar w:fldCharType="separate"/>
      </w:r>
      <w:r w:rsidR="00A57DF1">
        <w:rPr>
          <w:rFonts w:ascii="Arial" w:hAnsi="Arial" w:cs="Arial"/>
          <w:noProof/>
        </w:rPr>
        <w:t>[11]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 Setting a value to zero is no</w:t>
      </w:r>
      <w:r w:rsidR="009B522B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viable in our dataset since this does not correspond to a realistic feature value.</w:t>
      </w:r>
    </w:p>
    <w:p w14:paraId="53863FA6" w14:textId="31EA594D" w:rsidR="00307911" w:rsidRPr="00307911" w:rsidRDefault="00307911" w:rsidP="00307911">
      <w:pPr>
        <w:pStyle w:val="Geenafstand"/>
        <w:spacing w:line="36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FACE makes use of the training data to form a connected path from one instance to one of the target prediction</w:t>
      </w:r>
      <w:r w:rsidR="005C2A9A">
        <w:rPr>
          <w:rFonts w:ascii="Arial" w:hAnsi="Arial" w:cs="Arial"/>
          <w:iCs/>
        </w:rPr>
        <w:t>s</w:t>
      </w:r>
      <w:r>
        <w:rPr>
          <w:rFonts w:ascii="Arial" w:hAnsi="Arial" w:cs="Arial"/>
          <w:iCs/>
        </w:rPr>
        <w:t>. This relies heavily on the data having certain areas of higher density, and having connected areas from one prediction to the next. This might not be present in sparser real-life datasets. Their focus lies on if the transition is feasible, not if the end result is. There is not constraint for correlated features.</w:t>
      </w:r>
    </w:p>
    <w:p w14:paraId="61D1E17C" w14:textId="77777777" w:rsidR="00EC3095" w:rsidRDefault="00EC3095">
      <w:pPr>
        <w:rPr>
          <w:lang w:val="en-US"/>
        </w:rPr>
      </w:pPr>
    </w:p>
    <w:p w14:paraId="6D73A330" w14:textId="77777777" w:rsidR="00EC3095" w:rsidRDefault="00EC3095" w:rsidP="00EC3095">
      <w:pPr>
        <w:pStyle w:val="Kop3"/>
        <w:rPr>
          <w:lang w:val="en-US"/>
        </w:rPr>
      </w:pPr>
      <w:r>
        <w:rPr>
          <w:lang w:val="en-US"/>
        </w:rPr>
        <w:t>Example realism score with NOC estimation</w:t>
      </w:r>
    </w:p>
    <w:p w14:paraId="08485097" w14:textId="77777777" w:rsidR="00EC3095" w:rsidRDefault="00EC3095" w:rsidP="00EC3095">
      <w:pPr>
        <w:pStyle w:val="Geenafstand"/>
        <w:spacing w:line="36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As an example, consider a profile with a Total Allele Count (TAC) of 98 and a Maximum Allele Count (MAC) of 6, that was predicted to have 4 contributors. To generate a counterfactual with a prediction of 3 contributors, the program might propose a profile with a TAC of 30. Though this would make the model predict a NOC of 3, the combination of the original MAC value of 6, with the new TAC value of 30 is impossible. There are a total of 23 loci in the profile; if there are 30 alleles in the entire profile (TAC), that would leave either 1 or 2 alleles per locus (30/23). It would thus be highly unlikely, or even impossible to have a locus with 6 alleles (MAC). </w:t>
      </w:r>
    </w:p>
    <w:p w14:paraId="393ED15E" w14:textId="1F8FDF3B" w:rsidR="009609F8" w:rsidRPr="002D261F" w:rsidRDefault="00D1459E" w:rsidP="00EC3095">
      <w:pPr>
        <w:pStyle w:val="Kop3"/>
        <w:rPr>
          <w:color w:val="2F5496" w:themeColor="accent1" w:themeShade="BF"/>
          <w:sz w:val="26"/>
          <w:szCs w:val="26"/>
          <w:lang w:val="en-US"/>
        </w:rPr>
      </w:pPr>
      <w:r w:rsidRPr="002D261F">
        <w:rPr>
          <w:lang w:val="en-US"/>
        </w:rPr>
        <w:br w:type="page"/>
      </w:r>
    </w:p>
    <w:p w14:paraId="026D31DE" w14:textId="00AAC26F" w:rsidR="005A2969" w:rsidRPr="002D261F" w:rsidRDefault="005A2969" w:rsidP="005A29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2D26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lastRenderedPageBreak/>
        <w:t xml:space="preserve">Which model-agnostic counterfactual explanation techniques exist and what </w:t>
      </w:r>
      <w:r w:rsidR="0077606F" w:rsidRPr="002D26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problems can they be applied to</w:t>
      </w:r>
      <w:r w:rsidRPr="002D26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?</w:t>
      </w:r>
    </w:p>
    <w:p w14:paraId="608CE318" w14:textId="03E28300" w:rsidR="005A2969" w:rsidRPr="002D261F" w:rsidRDefault="005A2969" w:rsidP="00836999">
      <w:pPr>
        <w:rPr>
          <w:lang w:val="en-US"/>
        </w:rPr>
      </w:pPr>
      <w:r w:rsidRPr="002D261F">
        <w:rPr>
          <w:lang w:val="en-US"/>
        </w:rPr>
        <w:fldChar w:fldCharType="begin"/>
      </w:r>
      <w:r w:rsidR="00A57DF1">
        <w:rPr>
          <w:lang w:val="en-US"/>
        </w:rPr>
        <w:instrText xml:space="preserve"> ADDIN EN.CITE &lt;EndNote&gt;&lt;Cite&gt;&lt;Author&gt;Wachter&lt;/Author&gt;&lt;Year&gt;2018&lt;/Year&gt;&lt;RecNum&gt;111&lt;/RecNum&gt;&lt;DisplayText&gt;[12]&lt;/DisplayText&gt;&lt;record&gt;&lt;rec-number&gt;111&lt;/rec-number&gt;&lt;foreign-keys&gt;&lt;key app="EN" db-id="p22005xv5srwpxeed275s99yfvez9tfr995s" timestamp="1606492186"&gt;111&lt;/key&gt;&lt;/foreign-keys&gt;&lt;ref-type name="Journal Article"&gt;17&lt;/ref-type&gt;&lt;contributors&gt;&lt;authors&gt;&lt;author&gt;Wachter, Sandra&lt;/author&gt;&lt;author&gt;Mittelstadt, Brent&lt;/author&gt;&lt;author&gt;Russell, Chris&lt;/author&gt;&lt;/authors&gt;&lt;/contributors&gt;&lt;titles&gt;&lt;title&gt;Counterfactual Explanations Without Opening the Black Box: Automated Decisions and the GDPR&lt;/title&gt;&lt;secondary-title&gt;Harvard journal of law &amp;amp; technology&lt;/secondary-title&gt;&lt;/titles&gt;&lt;periodical&gt;&lt;full-title&gt;Harvard journal of law &amp;amp; technology&lt;/full-title&gt;&lt;/periodical&gt;&lt;pages&gt;841-887&lt;/pages&gt;&lt;volume&gt;31&lt;/volume&gt;&lt;dates&gt;&lt;year&gt;2018&lt;/year&gt;&lt;pub-dates&gt;&lt;date&gt;04/01&lt;/date&gt;&lt;/pub-dates&gt;&lt;/dates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A57DF1">
        <w:rPr>
          <w:noProof/>
          <w:lang w:val="en-US"/>
        </w:rPr>
        <w:t>[12]</w:t>
      </w:r>
      <w:r w:rsidRPr="002D261F">
        <w:rPr>
          <w:lang w:val="en-US"/>
        </w:rPr>
        <w:fldChar w:fldCharType="end"/>
      </w:r>
      <w:r w:rsidR="00F51526">
        <w:rPr>
          <w:lang w:val="en-US"/>
        </w:rPr>
        <w:t xml:space="preserve"> Wachter</w:t>
      </w:r>
    </w:p>
    <w:p w14:paraId="3C77FE73" w14:textId="543FBC54" w:rsidR="008D236C" w:rsidRPr="002D261F" w:rsidRDefault="008D236C" w:rsidP="00836999">
      <w:pPr>
        <w:rPr>
          <w:lang w:val="en-US"/>
        </w:rPr>
      </w:pPr>
      <w:r w:rsidRPr="002D261F">
        <w:rPr>
          <w:lang w:val="en-US"/>
        </w:rPr>
        <w:t xml:space="preserve">Two reasons that the authors </w:t>
      </w:r>
      <w:r w:rsidR="00D307AC" w:rsidRPr="002D261F">
        <w:rPr>
          <w:lang w:val="en-US"/>
        </w:rPr>
        <w:t>mention</w:t>
      </w:r>
      <w:r w:rsidRPr="002D261F">
        <w:rPr>
          <w:lang w:val="en-US"/>
        </w:rPr>
        <w:t xml:space="preserve"> which are also relevant to the current case</w:t>
      </w:r>
      <w:r w:rsidR="00D307AC" w:rsidRPr="002D261F">
        <w:rPr>
          <w:lang w:val="en-US"/>
        </w:rPr>
        <w:t>:</w:t>
      </w:r>
      <w:r w:rsidRPr="002D261F">
        <w:rPr>
          <w:lang w:val="en-US"/>
        </w:rPr>
        <w:t xml:space="preserve"> </w:t>
      </w:r>
    </w:p>
    <w:p w14:paraId="085902E7" w14:textId="031B69AE" w:rsidR="005A2969" w:rsidRPr="002D261F" w:rsidRDefault="005A2969" w:rsidP="008D236C">
      <w:pPr>
        <w:pStyle w:val="Lijstalinea"/>
        <w:numPr>
          <w:ilvl w:val="0"/>
          <w:numId w:val="10"/>
        </w:numPr>
        <w:rPr>
          <w:lang w:val="en-US"/>
        </w:rPr>
      </w:pPr>
      <w:r w:rsidRPr="002D261F">
        <w:rPr>
          <w:lang w:val="en-US"/>
        </w:rPr>
        <w:t>Understand why a decision was made</w:t>
      </w:r>
    </w:p>
    <w:p w14:paraId="5A7BC347" w14:textId="7E1C7D99" w:rsidR="005A2969" w:rsidRPr="002D261F" w:rsidRDefault="005A2969" w:rsidP="005A2969">
      <w:pPr>
        <w:pStyle w:val="Lijstalinea"/>
        <w:numPr>
          <w:ilvl w:val="0"/>
          <w:numId w:val="10"/>
        </w:numPr>
        <w:rPr>
          <w:lang w:val="en-US"/>
        </w:rPr>
      </w:pPr>
      <w:r w:rsidRPr="002D261F">
        <w:rPr>
          <w:lang w:val="en-US"/>
        </w:rPr>
        <w:t xml:space="preserve">Understand how a different decision could </w:t>
      </w:r>
      <w:r w:rsidR="0056706A" w:rsidRPr="002D261F">
        <w:rPr>
          <w:lang w:val="en-US"/>
        </w:rPr>
        <w:t>be</w:t>
      </w:r>
      <w:r w:rsidRPr="002D261F">
        <w:rPr>
          <w:lang w:val="en-US"/>
        </w:rPr>
        <w:t xml:space="preserve"> made if certain conditions were changed</w:t>
      </w:r>
    </w:p>
    <w:p w14:paraId="3B8AE5AF" w14:textId="77777777" w:rsidR="000A7CC2" w:rsidRPr="002D261F" w:rsidRDefault="00DD3F03">
      <w:pPr>
        <w:rPr>
          <w:lang w:val="en-US"/>
        </w:rPr>
      </w:pPr>
      <w:r w:rsidRPr="002D261F">
        <w:rPr>
          <w:rFonts w:eastAsiaTheme="minorEastAsia"/>
          <w:lang w:val="en-US"/>
        </w:rPr>
        <w:t>“</w:t>
      </w:r>
      <w:r w:rsidRPr="002D261F">
        <w:rPr>
          <w:sz w:val="21"/>
          <w:szCs w:val="21"/>
          <w:lang w:val="en-US"/>
        </w:rPr>
        <w:t>Principally, counterfactuals bypass the substantial challenge of explaining the internal workings of complex machine learning systems</w:t>
      </w:r>
      <w:r w:rsidR="000A7CC2" w:rsidRPr="002D261F">
        <w:rPr>
          <w:lang w:val="en-US"/>
        </w:rPr>
        <w:t>”</w:t>
      </w:r>
    </w:p>
    <w:p w14:paraId="3259E770" w14:textId="5E185168" w:rsidR="009609F8" w:rsidRPr="000879DB" w:rsidRDefault="009609F8" w:rsidP="008F0D78">
      <w:pPr>
        <w:rPr>
          <w:lang w:val="en-US"/>
        </w:rPr>
      </w:pPr>
    </w:p>
    <w:p w14:paraId="6308A7C0" w14:textId="77777777" w:rsidR="0053300D" w:rsidRDefault="00EA5BBA" w:rsidP="008F0D78">
      <w:pPr>
        <w:rPr>
          <w:lang w:val="en-US"/>
        </w:rPr>
      </w:pPr>
      <w:r w:rsidRPr="002D261F">
        <w:rPr>
          <w:lang w:val="en-US"/>
        </w:rPr>
        <w:fldChar w:fldCharType="begin"/>
      </w:r>
      <w:r w:rsidR="00A57DF1">
        <w:rPr>
          <w:lang w:val="en-US"/>
        </w:rPr>
        <w:instrText xml:space="preserve"> ADDIN EN.CITE &lt;EndNote&gt;&lt;Cite&gt;&lt;Author&gt;Grath&lt;/Author&gt;&lt;Year&gt;2018&lt;/Year&gt;&lt;RecNum&gt;188&lt;/RecNum&gt;&lt;DisplayText&gt;[13]&lt;/DisplayText&gt;&lt;record&gt;&lt;rec-number&gt;188&lt;/rec-number&gt;&lt;foreign-keys&gt;&lt;key app="EN" db-id="p22005xv5srwpxeed275s99yfvez9tfr995s" timestamp="1606920268"&gt;188&lt;/key&gt;&lt;/foreign-keys&gt;&lt;ref-type name="Journal Article"&gt;17&lt;/ref-type&gt;&lt;contributors&gt;&lt;authors&gt;&lt;author&gt;Grath, Rory Mc&lt;/author&gt;&lt;author&gt;Costabello, Luca&lt;/author&gt;&lt;author&gt;Van, C. L.&lt;/author&gt;&lt;author&gt;Sweeney, P.&lt;/author&gt;&lt;author&gt;Kamiab, F.&lt;/author&gt;&lt;author&gt;Shen, Zhao&lt;/author&gt;&lt;author&gt;Lécué, F.&lt;/author&gt;&lt;/authors&gt;&lt;/contributors&gt;&lt;titles&gt;&lt;title&gt;Interpretable Credit Application Predictions With Counterfactual Explanations&lt;/title&gt;&lt;secondary-title&gt;ArXiv&lt;/secondary-title&gt;&lt;/titles&gt;&lt;periodical&gt;&lt;full-title&gt;ArXiv&lt;/full-title&gt;&lt;/periodical&gt;&lt;volume&gt;abs/1811.05245&lt;/volume&gt;&lt;dates&gt;&lt;year&gt;2018&lt;/year&gt;&lt;/dates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A57DF1">
        <w:rPr>
          <w:noProof/>
          <w:lang w:val="en-US"/>
        </w:rPr>
        <w:t>[13]</w:t>
      </w:r>
      <w:r w:rsidRPr="002D261F">
        <w:rPr>
          <w:lang w:val="en-US"/>
        </w:rPr>
        <w:fldChar w:fldCharType="end"/>
      </w:r>
      <w:r w:rsidR="0053300D">
        <w:rPr>
          <w:lang w:val="en-US"/>
        </w:rPr>
        <w:t xml:space="preserve"> </w:t>
      </w:r>
      <w:proofErr w:type="spellStart"/>
      <w:r w:rsidR="0053300D">
        <w:rPr>
          <w:lang w:val="en-US"/>
        </w:rPr>
        <w:t>Grath</w:t>
      </w:r>
      <w:proofErr w:type="spellEnd"/>
      <w:r w:rsidR="0053300D">
        <w:rPr>
          <w:lang w:val="en-US"/>
        </w:rPr>
        <w:t>.</w:t>
      </w:r>
    </w:p>
    <w:p w14:paraId="14EB2AA7" w14:textId="793D37B7" w:rsidR="008158CC" w:rsidRPr="002D261F" w:rsidRDefault="008158CC" w:rsidP="008F0D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They balance the prediction target with the distance measure using a </w:t>
      </w:r>
      <w:r w:rsidRPr="000879DB">
        <w:rPr>
          <w:rFonts w:eastAsiaTheme="minorEastAsia"/>
          <w:lang w:val="en-US"/>
        </w:rPr>
        <w:t>lambda parameter</w:t>
      </w:r>
      <w:r>
        <w:rPr>
          <w:rFonts w:eastAsiaTheme="minorEastAsia"/>
          <w:lang w:val="en-US"/>
        </w:rPr>
        <w:t xml:space="preserve"> which is optimized using a tolerated mismatch between target and actual prediction.</w:t>
      </w:r>
    </w:p>
    <w:p w14:paraId="7379319F" w14:textId="226B20AE" w:rsidR="008F0D78" w:rsidRPr="002D261F" w:rsidRDefault="008F0D78" w:rsidP="008F0D78">
      <w:pPr>
        <w:rPr>
          <w:rFonts w:eastAsiaTheme="minorEastAsia"/>
          <w:b/>
          <w:bCs/>
          <w:lang w:val="en-US"/>
        </w:rPr>
      </w:pPr>
      <w:r w:rsidRPr="002D261F">
        <w:rPr>
          <w:rFonts w:eastAsiaTheme="minorEastAsia"/>
          <w:b/>
          <w:bCs/>
          <w:noProof/>
          <w:lang w:val="en-US"/>
        </w:rPr>
        <w:drawing>
          <wp:inline distT="0" distB="0" distL="0" distR="0" wp14:anchorId="3701110F" wp14:editId="1269AAF2">
            <wp:extent cx="4224259" cy="2695493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332" cy="269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99F3" w14:textId="77777777" w:rsidR="00236C2D" w:rsidRPr="002D261F" w:rsidRDefault="00236C2D" w:rsidP="00A54A11">
      <w:pPr>
        <w:rPr>
          <w:lang w:val="en-US"/>
        </w:rPr>
      </w:pPr>
    </w:p>
    <w:p w14:paraId="1F05F5A5" w14:textId="42AD6DF8" w:rsidR="006B1D0D" w:rsidRDefault="00526ED4" w:rsidP="00E767D6">
      <w:pPr>
        <w:rPr>
          <w:lang w:val="en-US"/>
        </w:rPr>
      </w:pPr>
      <w:r w:rsidRPr="002D261F"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&lt;EndNote&gt;&lt;Cite&gt;&lt;Author&gt;Guidotti&lt;/Author&gt;&lt;Year&gt;2019&lt;/Year&gt;&lt;RecNum&gt;166&lt;/RecNum&gt;&lt;DisplayText&gt;[9]&lt;/DisplayText&gt;&lt;record&gt;&lt;rec-number&gt;166&lt;/rec-number&gt;&lt;foreign-keys&gt;&lt;key app="EN" db-id="p22005xv5srwpxeed275s99yfvez9tfr995s" timestamp="1606496892"&gt;166&lt;/key&gt;&lt;/foreign-keys&gt;&lt;ref-type name="Journal Article"&gt;17&lt;/ref-type&gt;&lt;contributors&gt;&lt;authors&gt;&lt;author&gt;Guidotti, R.&lt;/author&gt;&lt;author&gt;Monreale, A.&lt;/author&gt;&lt;author&gt;Giannotti, F.&lt;/author&gt;&lt;author&gt;Pedreschi, D.&lt;/author&gt;&lt;author&gt;Ruggieri, S.&lt;/author&gt;&lt;author&gt;Turini, F.&lt;/author&gt;&lt;/authors&gt;&lt;/contributors&gt;&lt;titles&gt;&lt;title&gt;Factual and Counterfactual Explanations for Black Box Decision Making&lt;/title&gt;&lt;secondary-title&gt;IEEE Intelligent Systems&lt;/secondary-title&gt;&lt;/titles&gt;&lt;periodical&gt;&lt;full-title&gt;IEEE Intelligent Systems&lt;/full-title&gt;&lt;/periodical&gt;&lt;pages&gt;14-23&lt;/pages&gt;&lt;volume&gt;34&lt;/volume&gt;&lt;number&gt;6&lt;/number&gt;&lt;dates&gt;&lt;year&gt;2019&lt;/year&gt;&lt;/dates&gt;&lt;work-type&gt;Article&lt;/work-type&gt;&lt;urls&gt;&lt;related-urls&gt;&lt;url&gt;https://www.scopus.com/inward/record.uri?eid=2-s2.0-85076272618&amp;amp;doi=10.1109%2fMIS.2019.2957223&amp;amp;partnerID=40&amp;amp;md5=e2b958485d1510a355f1cff6dbf0efa2&lt;/url&gt;&lt;url&gt;https://ieeexplore.ieee.org/document/8920138/&lt;/url&gt;&lt;/related-urls&gt;&lt;/urls&gt;&lt;custom7&gt;8920138&lt;/custom7&gt;&lt;electronic-resource-num&gt;10.1109/MIS.2019.2957223&lt;/electronic-resource-num&gt;&lt;remote-database-name&gt;Scopus&lt;/remote-database-name&gt;&lt;/record&gt;&lt;/Cite&gt;&lt;/EndNote&gt;</w:instrText>
      </w:r>
      <w:r w:rsidRPr="002D261F">
        <w:rPr>
          <w:lang w:val="en-US"/>
        </w:rPr>
        <w:fldChar w:fldCharType="separate"/>
      </w:r>
      <w:r>
        <w:rPr>
          <w:noProof/>
          <w:lang w:val="en-US"/>
        </w:rPr>
        <w:t>[9]</w:t>
      </w:r>
      <w:r w:rsidRPr="002D261F">
        <w:rPr>
          <w:lang w:val="en-US"/>
        </w:rPr>
        <w:fldChar w:fldCharType="end"/>
      </w:r>
      <w:r>
        <w:rPr>
          <w:lang w:val="en-US"/>
        </w:rPr>
        <w:t xml:space="preserve"> </w:t>
      </w:r>
      <w:r w:rsidR="00660638" w:rsidRPr="002D261F">
        <w:rPr>
          <w:lang w:val="en-US"/>
        </w:rPr>
        <w:t>factual and counterfactual explanations</w:t>
      </w:r>
      <w:r>
        <w:rPr>
          <w:lang w:val="en-US"/>
        </w:rPr>
        <w:t xml:space="preserve">: </w:t>
      </w:r>
      <w:r w:rsidR="00660638" w:rsidRPr="002D261F">
        <w:rPr>
          <w:lang w:val="en-US"/>
        </w:rPr>
        <w:t xml:space="preserve">building a simple classifier around a local neighborhood of the point of interest. This local neighborhood is created with a genetic algorithm, after which this feature space is described using a decision tree. The path down the tree that corresponds to the current label thus explains the actual prediction, while </w:t>
      </w:r>
      <w:r w:rsidR="0038624D" w:rsidRPr="002D261F">
        <w:rPr>
          <w:lang w:val="en-US"/>
        </w:rPr>
        <w:t>any path that leads to a different outcome could be interpreted as a counterfactual.</w:t>
      </w:r>
      <w:r w:rsidR="00B91BC1" w:rsidRPr="002D261F">
        <w:rPr>
          <w:lang w:val="en-US"/>
        </w:rPr>
        <w:t xml:space="preserve"> They measure minimal changes to be the number of split conditions that need to be changed in order to change the prediction.</w:t>
      </w:r>
    </w:p>
    <w:p w14:paraId="3359F739" w14:textId="66748457" w:rsidR="001D1583" w:rsidRPr="002D261F" w:rsidRDefault="00E767D6" w:rsidP="00E767D6">
      <w:pPr>
        <w:rPr>
          <w:lang w:val="en-US"/>
        </w:rPr>
      </w:pPr>
      <w:r w:rsidRPr="002D261F">
        <w:rPr>
          <w:lang w:val="en-US"/>
        </w:rPr>
        <w:t>Evaluated based on correct classifications</w:t>
      </w:r>
      <w:r w:rsidR="001165AA" w:rsidRPr="002D261F">
        <w:rPr>
          <w:lang w:val="en-US"/>
        </w:rPr>
        <w:t xml:space="preserve"> of the instances with the decision tree mimic model as compared to the original black-box. </w:t>
      </w:r>
      <w:r w:rsidR="001D1583" w:rsidRPr="002D261F">
        <w:rPr>
          <w:lang w:val="en-US"/>
        </w:rPr>
        <w:t>Evaluated on various (binary) classification datasets, mostly obtaining outputs with higher fidelity than LIME, even for the local neighborhood.</w:t>
      </w:r>
    </w:p>
    <w:p w14:paraId="18C324F2" w14:textId="1DB3C28B" w:rsidR="005F611F" w:rsidRPr="002D261F" w:rsidRDefault="002B547E" w:rsidP="001D1583">
      <w:pPr>
        <w:rPr>
          <w:lang w:val="en-US"/>
        </w:rPr>
      </w:pPr>
      <w:r w:rsidRPr="002D261F">
        <w:rPr>
          <w:lang w:val="en-US"/>
        </w:rPr>
        <w:t>“</w:t>
      </w:r>
      <w:r w:rsidR="001D1583" w:rsidRPr="002D261F">
        <w:rPr>
          <w:lang w:val="en-US"/>
        </w:rPr>
        <w:t>In summary,</w:t>
      </w:r>
      <w:r w:rsidRPr="002D261F">
        <w:rPr>
          <w:lang w:val="en-US"/>
        </w:rPr>
        <w:t xml:space="preserve"> </w:t>
      </w:r>
      <w:r w:rsidR="001D1583" w:rsidRPr="002D261F">
        <w:rPr>
          <w:lang w:val="en-US"/>
        </w:rPr>
        <w:t>ANCHOR shows better precision than LORE at the expenses</w:t>
      </w:r>
      <w:r w:rsidRPr="002D261F">
        <w:rPr>
          <w:lang w:val="en-US"/>
        </w:rPr>
        <w:t xml:space="preserve"> </w:t>
      </w:r>
      <w:r w:rsidR="001D1583" w:rsidRPr="002D261F">
        <w:rPr>
          <w:lang w:val="en-US"/>
        </w:rPr>
        <w:t>of generality and stability of the produced explanations.</w:t>
      </w:r>
      <w:r w:rsidRPr="002D261F">
        <w:rPr>
          <w:lang w:val="en-US"/>
        </w:rPr>
        <w:t>”</w:t>
      </w:r>
    </w:p>
    <w:p w14:paraId="21D050AE" w14:textId="0A850BBC" w:rsidR="005F611F" w:rsidRPr="002D261F" w:rsidRDefault="005F611F" w:rsidP="001D1583">
      <w:pPr>
        <w:rPr>
          <w:lang w:val="en-US"/>
        </w:rPr>
      </w:pPr>
    </w:p>
    <w:p w14:paraId="2D1FF3AE" w14:textId="632BBB26" w:rsidR="00590EC0" w:rsidRPr="00487F99" w:rsidRDefault="006B1D0D" w:rsidP="001D1583">
      <w:pPr>
        <w:rPr>
          <w:lang w:val="en-US"/>
        </w:rPr>
      </w:pPr>
      <w:r w:rsidRPr="002D261F"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ADDIN EN.CITE &lt;EndNote&gt;&lt;Cite&gt;&lt;Author&gt;Moore&lt;/Author&gt;&lt;Year&gt;2019&lt;/Year&gt;&lt;RecNum&gt;171&lt;/RecNum&gt;&lt;DisplayText&gt;[10]&lt;/DisplayText&gt;&lt;record&gt;&lt;rec-number&gt;171&lt;/rec-number&gt;&lt;foreign-keys&gt;&lt;key app="EN" db-id="p22005xv5srwpxeed275s99yfvez9tfr995s" timestamp="1606496892"&gt;171&lt;/key&gt;&lt;/foreign-keys&gt;&lt;ref-type name="Serial"&gt;57&lt;/ref-type&gt;&lt;contributors&gt;&lt;authors&gt;&lt;author&gt;Moore, J.&lt;/author&gt;&lt;author&gt;Hammerla, N.&lt;/author&gt;&lt;author&gt;Watkins, C.&lt;/author&gt;&lt;/authors&gt;&lt;/contributors&gt;&lt;titles&gt;&lt;title&gt;Explaining deep learning models with constrained adversarial examples&lt;/title&gt;&lt;/titles&gt;&lt;pages&gt;43-56&lt;/pages&gt;&lt;volume&gt;11670 LNAI&lt;/volume&gt;&lt;dates&gt;&lt;year&gt;2019&lt;/year&gt;&lt;/dates&gt;&lt;work-type&gt;Conference Paper&lt;/work-type&gt;&lt;urls&gt;&lt;related-urls&gt;&lt;url&gt;https://www.scopus.com/inward/record.uri?eid=2-s2.0-85072855374&amp;amp;doi=10.1007%2f978-3-030-29908-8_4&amp;amp;partnerID=40&amp;amp;md5=12b7c44d2531f7a31ad11dab42e5841b&lt;/url&gt;&lt;url&gt;https://link.springer.com/chapter/10.1007%2F978-3-030-29908-8_4&lt;/url&gt;&lt;/related-urls&gt;&lt;/urls&gt;&lt;custom3&gt;Lecture Notes in Computer Science (including subseries Lecture Notes in Artificial Intelligence and Lecture Notes in Bioinformatics)&lt;/custom3&gt;&lt;electronic-resource-num&gt;10.1007/978-3-030-29908-8_4&lt;/electronic-resource-num&gt;&lt;remote-database-name&gt;Scopus&lt;/remote-database-name&gt;&lt;/record&gt;&lt;/Cite&gt;&lt;/EndNote&gt;</w:instrText>
      </w:r>
      <w:r w:rsidRPr="002D261F">
        <w:rPr>
          <w:lang w:val="en-US"/>
        </w:rPr>
        <w:fldChar w:fldCharType="separate"/>
      </w:r>
      <w:r>
        <w:rPr>
          <w:noProof/>
          <w:lang w:val="en-US"/>
        </w:rPr>
        <w:t>[10]</w:t>
      </w:r>
      <w:r w:rsidRPr="002D261F">
        <w:rPr>
          <w:lang w:val="en-US"/>
        </w:rPr>
        <w:fldChar w:fldCharType="end"/>
      </w:r>
      <w:r>
        <w:rPr>
          <w:lang w:val="en-US"/>
        </w:rPr>
        <w:t xml:space="preserve"> </w:t>
      </w:r>
      <w:r w:rsidR="00487F99">
        <w:rPr>
          <w:lang w:val="en-US"/>
        </w:rPr>
        <w:t>CADEX</w:t>
      </w:r>
    </w:p>
    <w:p w14:paraId="6E6B8077" w14:textId="4BB84A09" w:rsidR="006E5ACE" w:rsidRPr="002D261F" w:rsidRDefault="006E5ACE" w:rsidP="001D1583">
      <w:pPr>
        <w:rPr>
          <w:lang w:val="en-US"/>
        </w:rPr>
      </w:pPr>
      <w:r w:rsidRPr="002D261F">
        <w:rPr>
          <w:lang w:val="en-US"/>
        </w:rPr>
        <w:t xml:space="preserve">the </w:t>
      </w:r>
      <w:r w:rsidRPr="003D01CD">
        <w:rPr>
          <w:lang w:val="en-US"/>
        </w:rPr>
        <w:t>gradient of the loss</w:t>
      </w:r>
      <w:r w:rsidRPr="002D261F">
        <w:rPr>
          <w:lang w:val="en-US"/>
        </w:rPr>
        <w:t xml:space="preserve"> with respect to the input, which can be followed over the input space with an optimizer (</w:t>
      </w:r>
      <w:proofErr w:type="gramStart"/>
      <w:r w:rsidRPr="002D261F">
        <w:rPr>
          <w:lang w:val="en-US"/>
        </w:rPr>
        <w:t>e.g.</w:t>
      </w:r>
      <w:proofErr w:type="gramEnd"/>
      <w:r w:rsidRPr="002D261F">
        <w:rPr>
          <w:lang w:val="en-US"/>
        </w:rPr>
        <w:t xml:space="preserve"> Adam) until we find an instance x*, that typically lies on the decision boundary between y^ and y*.</w:t>
      </w:r>
    </w:p>
    <w:p w14:paraId="70A5BD58" w14:textId="3C9924C7" w:rsidR="006945AA" w:rsidRPr="00577137" w:rsidRDefault="006945AA" w:rsidP="001D1583">
      <w:r w:rsidRPr="00577137">
        <w:t xml:space="preserve">Code: </w:t>
      </w:r>
      <w:hyperlink r:id="rId6" w:history="1">
        <w:r w:rsidRPr="00577137">
          <w:rPr>
            <w:rStyle w:val="Hyperlink"/>
          </w:rPr>
          <w:t>https://github.com/spore1/cadex</w:t>
        </w:r>
      </w:hyperlink>
    </w:p>
    <w:p w14:paraId="6B1B86D1" w14:textId="77777777" w:rsidR="00A35A09" w:rsidRPr="00C81B6E" w:rsidRDefault="00A35A09"/>
    <w:p w14:paraId="09FD159E" w14:textId="6F0B01F0" w:rsidR="007F32F9" w:rsidRPr="002D261F" w:rsidRDefault="00A35A09" w:rsidP="007F32F9">
      <w:pPr>
        <w:rPr>
          <w:lang w:val="en-US"/>
        </w:rPr>
      </w:pPr>
      <w:r w:rsidRPr="002D261F">
        <w:rPr>
          <w:lang w:val="en-US"/>
        </w:rPr>
        <w:fldChar w:fldCharType="begin"/>
      </w:r>
      <w:r w:rsidR="00340BC5">
        <w:rPr>
          <w:lang w:val="en-US"/>
        </w:rPr>
        <w:instrText xml:space="preserve"> ADDIN EN.CITE &lt;EndNote&gt;&lt;Cite&gt;&lt;Author&gt;Dandl&lt;/Author&gt;&lt;Year&gt;2020&lt;/Year&gt;&lt;RecNum&gt;99&lt;/RecNum&gt;&lt;DisplayText&gt;[14]&lt;/DisplayText&gt;&lt;record&gt;&lt;rec-number&gt;99&lt;/rec-number&gt;&lt;foreign-keys&gt;&lt;key app="EN" db-id="p22005xv5srwpxeed275s99yfvez9tfr995s" timestamp="1606140086"&gt;99&lt;/key&gt;&lt;/foreign-keys&gt;&lt;ref-type name="Conference Proceedings"&gt;10&lt;/ref-type&gt;&lt;contributors&gt;&lt;authors&gt;&lt;author&gt;Dandl, Susanne&lt;/author&gt;&lt;author&gt;Molnar, Christoph&lt;/author&gt;&lt;author&gt;Binder, Martin&lt;/author&gt;&lt;author&gt;Bischl, Bernd&lt;/author&gt;&lt;/authors&gt;&lt;secondary-authors&gt;&lt;author&gt;Bäck, Thomas&lt;/author&gt;&lt;author&gt;Preuss, Mike&lt;/author&gt;&lt;author&gt;Deutz, André&lt;/author&gt;&lt;author&gt;Wang, Hao&lt;/author&gt;&lt;author&gt;Doerr, Carola&lt;/author&gt;&lt;author&gt;Emmerich, Michael&lt;/author&gt;&lt;author&gt;Trautmann, Heike&lt;/author&gt;&lt;/secondary-authors&gt;&lt;/contributors&gt;&lt;titles&gt;&lt;title&gt;Multi-Objective Counterfactual Explanations&lt;/title&gt;&lt;secondary-title&gt;Parallel Problem Solving from Nature – PPSN XVI&lt;/secondary-title&gt;&lt;/titles&gt;&lt;pages&gt;448-469&lt;/pages&gt;&lt;dates&gt;&lt;year&gt;2020&lt;/year&gt;&lt;pub-dates&gt;&lt;date&gt;2020//&lt;/date&gt;&lt;/pub-dates&gt;&lt;/dates&gt;&lt;pub-location&gt;Cham&lt;/pub-location&gt;&lt;publisher&gt;Springer International Publishing&lt;/publisher&gt;&lt;isbn&gt;978-3-030-58112-1&lt;/isbn&gt;&lt;urls&gt;&lt;/urls&gt;&lt;/record&gt;&lt;/Cite&gt;&lt;/EndNote&gt;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340BC5">
        <w:rPr>
          <w:noProof/>
          <w:lang w:val="en-US"/>
        </w:rPr>
        <w:t>[14]</w:t>
      </w:r>
      <w:r w:rsidRPr="002D261F">
        <w:rPr>
          <w:lang w:val="en-US"/>
        </w:rPr>
        <w:fldChar w:fldCharType="end"/>
      </w:r>
      <w:r w:rsidR="00852634">
        <w:rPr>
          <w:lang w:val="en-US"/>
        </w:rPr>
        <w:t xml:space="preserve"> </w:t>
      </w:r>
      <w:r w:rsidR="00852634" w:rsidRPr="002D261F">
        <w:rPr>
          <w:lang w:val="en-US"/>
        </w:rPr>
        <w:t>Multi-Objective Counterfactuals (MOC) method</w:t>
      </w:r>
      <w:r w:rsidRPr="002D261F">
        <w:rPr>
          <w:lang w:val="en-US"/>
        </w:rPr>
        <w:t>.</w:t>
      </w:r>
      <w:r w:rsidR="007F32F9" w:rsidRPr="002D261F">
        <w:rPr>
          <w:lang w:val="en-US"/>
        </w:rPr>
        <w:t xml:space="preserve">  </w:t>
      </w:r>
    </w:p>
    <w:p w14:paraId="6DA6A167" w14:textId="67BEF9B5" w:rsidR="008E51B5" w:rsidRDefault="00463B0C">
      <w:pPr>
        <w:rPr>
          <w:lang w:val="en-US"/>
        </w:rPr>
      </w:pPr>
      <w:r w:rsidRPr="002D261F">
        <w:rPr>
          <w:lang w:val="en-US"/>
        </w:rPr>
        <w:t xml:space="preserve">Only evaluated on the 4 objectives posed, in comparison to other state-of-the-art methods (dice, recourse, </w:t>
      </w:r>
      <w:proofErr w:type="spellStart"/>
      <w:r w:rsidRPr="002D261F">
        <w:rPr>
          <w:lang w:val="en-US"/>
        </w:rPr>
        <w:t>whatif</w:t>
      </w:r>
      <w:proofErr w:type="spellEnd"/>
      <w:r w:rsidRPr="002D261F">
        <w:rPr>
          <w:lang w:val="en-US"/>
        </w:rPr>
        <w:t>, tweaking).</w:t>
      </w:r>
    </w:p>
    <w:p w14:paraId="7F987572" w14:textId="77777777" w:rsidR="002D7A30" w:rsidRPr="002D261F" w:rsidRDefault="002D7A30" w:rsidP="002411C3">
      <w:pPr>
        <w:rPr>
          <w:lang w:val="en-US"/>
        </w:rPr>
      </w:pPr>
    </w:p>
    <w:p w14:paraId="5D7CF2FE" w14:textId="6502924F" w:rsidR="00A452B8" w:rsidRPr="00727E07" w:rsidRDefault="00A452B8" w:rsidP="002411C3">
      <w:pPr>
        <w:rPr>
          <w:b/>
          <w:bCs/>
          <w:lang w:val="en-US"/>
        </w:rPr>
      </w:pPr>
      <w:r w:rsidRPr="00727E07">
        <w:rPr>
          <w:b/>
          <w:bCs/>
          <w:lang w:val="en-US"/>
        </w:rPr>
        <w:t>As for counterfactuals; they can be applied to any model and data type. Some counterfactuals might not be feasible. It is therefore important to use training data and constraints to guide the process.</w:t>
      </w:r>
    </w:p>
    <w:p w14:paraId="147F438E" w14:textId="0F4CE2E4" w:rsidR="002525CF" w:rsidRPr="00727E07" w:rsidRDefault="00A452B8" w:rsidP="002411C3">
      <w:pPr>
        <w:rPr>
          <w:b/>
          <w:bCs/>
          <w:lang w:val="en-US"/>
        </w:rPr>
      </w:pPr>
      <w:r w:rsidRPr="00727E07">
        <w:rPr>
          <w:b/>
          <w:bCs/>
          <w:lang w:val="en-US"/>
        </w:rPr>
        <w:t xml:space="preserve">They recommend to determine clear desiderata: </w:t>
      </w:r>
    </w:p>
    <w:p w14:paraId="13A8F875" w14:textId="00B85105" w:rsidR="00A452B8" w:rsidRPr="00727E07" w:rsidRDefault="00A452B8" w:rsidP="00A452B8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727E07">
        <w:rPr>
          <w:b/>
          <w:bCs/>
          <w:lang w:val="en-US"/>
        </w:rPr>
        <w:t>Identify the target for which the explanation is intended.</w:t>
      </w:r>
    </w:p>
    <w:p w14:paraId="7969879C" w14:textId="511DD66F" w:rsidR="00A452B8" w:rsidRPr="00727E07" w:rsidRDefault="00A452B8" w:rsidP="00A452B8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727E07">
        <w:rPr>
          <w:b/>
          <w:bCs/>
          <w:lang w:val="en-US"/>
        </w:rPr>
        <w:t>Understand what they are looking for.</w:t>
      </w:r>
    </w:p>
    <w:p w14:paraId="44B0332F" w14:textId="7DDF6BBB" w:rsidR="006C2D16" w:rsidRDefault="00A452B8" w:rsidP="006C2D16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727E07">
        <w:rPr>
          <w:b/>
          <w:bCs/>
          <w:lang w:val="en-US"/>
        </w:rPr>
        <w:t>Understand how they will engage with the explanation.</w:t>
      </w:r>
    </w:p>
    <w:p w14:paraId="7F34F278" w14:textId="77777777" w:rsidR="00617897" w:rsidRPr="006A4DFC" w:rsidRDefault="00617897" w:rsidP="006A4DFC">
      <w:pPr>
        <w:rPr>
          <w:b/>
          <w:bCs/>
          <w:lang w:val="en-US"/>
        </w:rPr>
      </w:pPr>
    </w:p>
    <w:p w14:paraId="3EF65EC5" w14:textId="2DE62C58" w:rsidR="00454C4A" w:rsidRPr="002D261F" w:rsidRDefault="00FF4284" w:rsidP="006C2D16">
      <w:pPr>
        <w:rPr>
          <w:lang w:val="en-US"/>
        </w:rPr>
      </w:pPr>
      <w:r w:rsidRPr="002D261F">
        <w:rPr>
          <w:lang w:val="en-US"/>
        </w:rPr>
        <w:fldChar w:fldCharType="begin"/>
      </w:r>
      <w:r w:rsidR="00617897">
        <w:rPr>
          <w:lang w:val="en-US"/>
        </w:rPr>
        <w:instrText xml:space="preserve"> ADDIN EN.CITE &lt;EndNote&gt;&lt;Cite&gt;&lt;Author&gt;Poyiadzi&lt;/Author&gt;&lt;Year&gt;2020&lt;/Year&gt;&lt;RecNum&gt;192&lt;/RecNum&gt;&lt;DisplayText&gt;[15]&lt;/DisplayText&gt;&lt;record&gt;&lt;rec-number&gt;192&lt;/rec-number&gt;&lt;foreign-keys&gt;&lt;key app="EN" db-id="p22005xv5srwpxeed275s99yfvez9tfr995s" timestamp="1606923001"&gt;192&lt;/key&gt;&lt;/foreign-keys&gt;&lt;ref-type name="Book"&gt;6&lt;/ref-type&gt;&lt;contributors&gt;&lt;authors&gt;&lt;author&gt;Poyiadzi, Rafael&lt;/author&gt;&lt;author&gt;Sokol, Kacper&lt;/author&gt;&lt;author&gt;Santos-Rodriguez, Raul&lt;/author&gt;&lt;author&gt;Bie, Tijl&lt;/author&gt;&lt;author&gt;Flach, Peter&lt;/author&gt;&lt;/authors&gt;&lt;/contributors&gt;&lt;titles&gt;&lt;title&gt;FACE: Feasible and Actionable Counterfactual Explanations&lt;/title&gt;&lt;/titles&gt;&lt;pages&gt;344-350&lt;/pages&gt;&lt;dates&gt;&lt;year&gt;2020&lt;/year&gt;&lt;/dates&gt;&lt;urls&gt;&lt;/urls&gt;&lt;electronic-resource-num&gt;10.1145/3375627.3375850&lt;/electronic-resource-num&gt;&lt;/record&gt;&lt;/Cite&gt;&lt;/EndNote&gt;</w:instrText>
      </w:r>
      <w:r w:rsidRPr="002D261F">
        <w:rPr>
          <w:lang w:val="en-US"/>
        </w:rPr>
        <w:fldChar w:fldCharType="separate"/>
      </w:r>
      <w:r w:rsidR="00617897">
        <w:rPr>
          <w:noProof/>
          <w:lang w:val="en-US"/>
        </w:rPr>
        <w:t>[15]</w:t>
      </w:r>
      <w:r w:rsidRPr="002D261F">
        <w:rPr>
          <w:lang w:val="en-US"/>
        </w:rPr>
        <w:fldChar w:fldCharType="end"/>
      </w:r>
      <w:r w:rsidR="00617897">
        <w:rPr>
          <w:lang w:val="en-US"/>
        </w:rPr>
        <w:t xml:space="preserve">: </w:t>
      </w:r>
      <w:r w:rsidR="00617897" w:rsidRPr="002D261F">
        <w:rPr>
          <w:lang w:val="en-US"/>
        </w:rPr>
        <w:t>Feasible and Actionable Counterfactual Explanations (FACE</w:t>
      </w:r>
      <w:r w:rsidR="00617897">
        <w:rPr>
          <w:lang w:val="en-US"/>
        </w:rPr>
        <w:t>).</w:t>
      </w:r>
      <w:r w:rsidR="00617897" w:rsidRPr="002D261F">
        <w:rPr>
          <w:lang w:val="en-US"/>
        </w:rPr>
        <w:t xml:space="preserve"> </w:t>
      </w:r>
      <w:r w:rsidR="00454C4A" w:rsidRPr="002D261F">
        <w:rPr>
          <w:lang w:val="en-US"/>
        </w:rPr>
        <w:t xml:space="preserve">Their only focus for evaluation is to </w:t>
      </w:r>
      <w:r w:rsidR="00454C4A" w:rsidRPr="002D261F">
        <w:rPr>
          <w:u w:val="single"/>
          <w:lang w:val="en-US"/>
        </w:rPr>
        <w:t>visualize the path taken</w:t>
      </w:r>
      <w:r w:rsidR="00454C4A" w:rsidRPr="002D261F">
        <w:rPr>
          <w:lang w:val="en-US"/>
        </w:rPr>
        <w:t xml:space="preserve"> by their algorithm</w:t>
      </w:r>
      <w:r w:rsidR="00DA12BE" w:rsidRPr="002D261F">
        <w:rPr>
          <w:lang w:val="en-US"/>
        </w:rPr>
        <w:t>. They do show that the counterfactuals by Wachter et al. (left picture) do not fall close to the data distribution.</w:t>
      </w:r>
    </w:p>
    <w:p w14:paraId="61DE5A0D" w14:textId="2A319857" w:rsidR="008C6A9C" w:rsidRPr="002D261F" w:rsidRDefault="008C6A9C" w:rsidP="006C2D16">
      <w:pPr>
        <w:rPr>
          <w:lang w:val="en-US"/>
        </w:rPr>
      </w:pPr>
    </w:p>
    <w:p w14:paraId="2F511BD0" w14:textId="7FF8D180" w:rsidR="00D92617" w:rsidRPr="002D261F" w:rsidRDefault="00A33C79" w:rsidP="002F0931">
      <w:pPr>
        <w:rPr>
          <w:lang w:val="en-US"/>
        </w:rPr>
      </w:pPr>
      <w:r w:rsidRPr="002D261F">
        <w:rPr>
          <w:lang w:val="en-US"/>
        </w:rPr>
        <w:fldChar w:fldCharType="begin"/>
      </w:r>
      <w:r w:rsidR="00617897">
        <w:rPr>
          <w:lang w:val="en-US"/>
        </w:rPr>
        <w:instrText xml:space="preserve"> ADDIN EN.CITE &lt;EndNote&gt;&lt;Cite&gt;&lt;Author&gt;Gomez&lt;/Author&gt;&lt;Year&gt;2020&lt;/Year&gt;&lt;RecNum&gt;164&lt;/RecNum&gt;&lt;DisplayText&gt;[16]&lt;/DisplayText&gt;&lt;record&gt;&lt;rec-number&gt;164&lt;/rec-number&gt;&lt;foreign-keys&gt;&lt;key app="EN" db-id="p22005xv5srwpxeed275s99yfvez9tfr995s" timestamp="1606496892"&gt;164&lt;/key&gt;&lt;/foreign-keys&gt;&lt;ref-type name="Conference Proceedings"&gt;10&lt;/ref-type&gt;&lt;contributors&gt;&lt;authors&gt;&lt;author&gt;Gomez, O.&lt;/author&gt;&lt;author&gt;Holter, S.&lt;/author&gt;&lt;author&gt;Yuan, J.&lt;/author&gt;&lt;author&gt;Bertini, E.&lt;/author&gt;&lt;/authors&gt;&lt;/contributors&gt;&lt;titles&gt;&lt;title&gt;ViCE&lt;/title&gt;&lt;/titles&gt;&lt;pages&gt;531-535&lt;/pages&gt;&lt;dates&gt;&lt;year&gt;2020&lt;/year&gt;&lt;/dates&gt;&lt;work-type&gt;Conference Paper&lt;/work-type&gt;&lt;urls&gt;&lt;related-urls&gt;&lt;url&gt;https://www.scopus.com/inward/record.uri?eid=2-s2.0-85082462563&amp;amp;doi=10.1145%2f3377325.3377536&amp;amp;partnerID=40&amp;amp;md5=3b50e2166fbf723c3b60dbbeb3653441&lt;/url&gt;&lt;/related-urls&gt;&lt;/urls&gt;&lt;custom3&gt;International Conference on Intelligent User Interfaces, Proceedings IUI&lt;/custom3&gt;&lt;electronic-resource-num&gt;10.1145/3377325.3377536&lt;/electronic-resource-num&gt;&lt;remote-database-name&gt;Scopus&lt;/remote-database-name&gt;&lt;/record&gt;&lt;/Cite&gt;&lt;/EndNote&gt;</w:instrText>
      </w:r>
      <w:r w:rsidRPr="002D261F">
        <w:rPr>
          <w:lang w:val="en-US"/>
        </w:rPr>
        <w:fldChar w:fldCharType="separate"/>
      </w:r>
      <w:r w:rsidR="00617897">
        <w:rPr>
          <w:noProof/>
          <w:lang w:val="en-US"/>
        </w:rPr>
        <w:t>[16]</w:t>
      </w:r>
      <w:r w:rsidRPr="002D261F">
        <w:rPr>
          <w:lang w:val="en-US"/>
        </w:rPr>
        <w:fldChar w:fldCharType="end"/>
      </w:r>
      <w:r w:rsidR="002F0931">
        <w:rPr>
          <w:lang w:val="en-US"/>
        </w:rPr>
        <w:t xml:space="preserve">: </w:t>
      </w:r>
      <w:proofErr w:type="spellStart"/>
      <w:r w:rsidR="002F0931" w:rsidRPr="002D261F">
        <w:rPr>
          <w:lang w:val="en-US"/>
        </w:rPr>
        <w:t>ViCE</w:t>
      </w:r>
      <w:proofErr w:type="spellEnd"/>
      <w:r w:rsidR="002F0931" w:rsidRPr="002D261F">
        <w:rPr>
          <w:lang w:val="en-US"/>
        </w:rPr>
        <w:t>: visual counterfactual explanations</w:t>
      </w:r>
    </w:p>
    <w:p w14:paraId="73F2F54D" w14:textId="220EEB2F" w:rsidR="005807D0" w:rsidRPr="002D261F" w:rsidRDefault="00D15EF0" w:rsidP="006C2D16">
      <w:pPr>
        <w:rPr>
          <w:lang w:val="en-US"/>
        </w:rPr>
      </w:pPr>
      <w:r w:rsidRPr="002D261F">
        <w:rPr>
          <w:noProof/>
          <w:lang w:val="en-US"/>
        </w:rPr>
        <w:drawing>
          <wp:inline distT="0" distB="0" distL="0" distR="0" wp14:anchorId="031D32CF" wp14:editId="4F079006">
            <wp:extent cx="4832350" cy="2677527"/>
            <wp:effectExtent l="0" t="0" r="635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69" cy="269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F39" w:rsidRPr="002D261F">
        <w:rPr>
          <w:lang w:val="en-US"/>
        </w:rPr>
        <w:t xml:space="preserve"> </w:t>
      </w:r>
    </w:p>
    <w:p w14:paraId="2B14402F" w14:textId="42EF1ED8" w:rsidR="00E050FE" w:rsidRPr="002D261F" w:rsidRDefault="00E050FE" w:rsidP="006C2D16">
      <w:pPr>
        <w:rPr>
          <w:lang w:val="en-US"/>
        </w:rPr>
      </w:pPr>
    </w:p>
    <w:p w14:paraId="6A7F2127" w14:textId="2A27C975" w:rsidR="00E050FE" w:rsidRPr="002D261F" w:rsidRDefault="00E050FE" w:rsidP="006C2D16">
      <w:pPr>
        <w:rPr>
          <w:lang w:val="en-US"/>
        </w:rPr>
      </w:pPr>
    </w:p>
    <w:p w14:paraId="44EBFF0C" w14:textId="1B07EC6E" w:rsidR="00A14F2F" w:rsidRPr="00027FB9" w:rsidRDefault="00E050FE" w:rsidP="00916B6A">
      <w:r w:rsidRPr="002D261F">
        <w:rPr>
          <w:lang w:val="en-US"/>
        </w:rPr>
        <w:fldChar w:fldCharType="begin"/>
      </w:r>
      <w:r w:rsidR="00617897" w:rsidRPr="00B50397">
        <w:rPr>
          <w:lang w:val="en-US"/>
        </w:rPr>
        <w:instrText xml:space="preserve"> ADDIN EN.CITE &lt;EndNote&gt;&lt;Cite&gt;&lt;Author&gt;Mothilal&lt;/Author&gt;&lt;Year&gt;2020&lt;/Year&gt;&lt;RecNum&gt;172&lt;/RecNum&gt;&lt;DisplayText&gt;[17]&lt;/DisplayText&gt;&lt;record&gt;&lt;rec-number&gt;172&lt;/rec-number&gt;&lt;foreign-keys&gt;&lt;key app="EN" db-id="p22005xv5srwpxeed275s99yfvez9tfr995s" timestamp="1606496892"&gt;172&lt;/key&gt;&lt;/foreign-keys&gt;&lt;ref-type name="Conference Proceedings"&gt;10&lt;/ref-type&gt;&lt;contributors&gt;&lt;authors&gt;&lt;author&gt;Mothilal, R. K.&lt;/author&gt;&lt;author&gt;Sharma, A.&lt;/author&gt;&lt;author&gt;Tan, C.&lt;/author&gt;&lt;/authors&gt;&lt;/contributors&gt;&lt;titles&gt;&lt;title&gt;Explaining machine learning classifiers through diverse counterfactual explanations&lt;/title&gt;&lt;/titles&gt;&lt;pages&gt;607-617&lt;/pages&gt;&lt;dates&gt;&lt;year&gt;2020&lt;/year&gt;&lt;/dates&gt;&lt;work-type&gt;Conference Paper&lt;/work-type&gt;&lt;urls&gt;&lt;related-urls&gt;&lt;url&gt;https://www.scopus.com/inward/record.uri?eid=2-s2.0-85079688305&amp;amp;doi=10.1145%2f3351095.3372850&amp;amp;partnerID=40&amp;amp;md5=3b4d5f74177ffd93b884adc70ae5e6af&lt;/url&gt;&lt;/related-urls&gt;&lt;/urls&gt;&lt;custom3&gt;FAT* 2020 - Proceedings of the 2020 Conference on Fairness, Accountability, and Transparency&lt;/custom3&gt;&lt;electronic-resource-num&gt;10.1145/3351095.3372850&lt;/electronic-resource-num&gt;&lt;remote-database-name&gt;Scopus&lt;/remote-database-name&gt;&lt;/record&gt;&lt;/Cite&gt;&lt;/EndNote&gt;</w:instrText>
      </w:r>
      <w:r w:rsidRPr="002D261F">
        <w:rPr>
          <w:lang w:val="en-US"/>
        </w:rPr>
        <w:fldChar w:fldCharType="separate"/>
      </w:r>
      <w:r w:rsidR="00617897" w:rsidRPr="00B50397">
        <w:rPr>
          <w:noProof/>
          <w:lang w:val="en-US"/>
        </w:rPr>
        <w:t>[17]</w:t>
      </w:r>
      <w:r w:rsidRPr="002D261F">
        <w:rPr>
          <w:lang w:val="en-US"/>
        </w:rPr>
        <w:fldChar w:fldCharType="end"/>
      </w:r>
      <w:r w:rsidR="00775C78" w:rsidRPr="00B50397">
        <w:rPr>
          <w:lang w:val="en-US"/>
        </w:rPr>
        <w:t xml:space="preserve"> DiCE</w:t>
      </w:r>
      <w:r w:rsidR="00B50397" w:rsidRPr="00B50397">
        <w:rPr>
          <w:lang w:val="en-US"/>
        </w:rPr>
        <w:t xml:space="preserve">. </w:t>
      </w:r>
      <w:r w:rsidR="00D73201" w:rsidRPr="00027FB9">
        <w:t xml:space="preserve">Code: </w:t>
      </w:r>
      <w:hyperlink r:id="rId8" w:history="1">
        <w:r w:rsidR="00A14F2F" w:rsidRPr="00027FB9">
          <w:rPr>
            <w:rStyle w:val="Hyperlink"/>
          </w:rPr>
          <w:t>https://github.com/interpretml/DiCE/tree/master/dice_ml</w:t>
        </w:r>
      </w:hyperlink>
    </w:p>
    <w:p w14:paraId="5842A692" w14:textId="0FFD12D9" w:rsidR="0025275A" w:rsidRPr="00027FB9" w:rsidRDefault="0025275A" w:rsidP="006F07BB"/>
    <w:p w14:paraId="3E5FC987" w14:textId="5C33A483" w:rsidR="003338F6" w:rsidRPr="003338F6" w:rsidRDefault="0025275A" w:rsidP="004B3B05">
      <w:pPr>
        <w:rPr>
          <w:lang w:val="en-US"/>
        </w:rPr>
      </w:pPr>
      <w:r w:rsidRPr="002D261F">
        <w:rPr>
          <w:lang w:val="en-US"/>
        </w:rPr>
        <w:fldChar w:fldCharType="begin"/>
      </w:r>
      <w:r w:rsidR="00617897" w:rsidRPr="00027FB9">
        <w:instrText xml:space="preserve"> ADDIN EN.CITE &lt;EndNote&gt;&lt;Cite&gt;&lt;Author&gt;Keane&lt;/Author&gt;&lt;Year&gt;2020&lt;/Year&gt;&lt;RecNum&gt;189&lt;/RecNum&gt;&lt;DisplayText&gt;[18]&lt;/DisplayText&gt;&lt;record&gt;&lt;rec-number&gt;189&lt;/rec-number&gt;&lt;foreign-keys&gt;&lt;key app="EN" db-id="p22005xv5srwpxeed275s99yfvez9tfr995s" timestamp="1606920593"&gt;189&lt;/key&gt;&lt;/foreign-keys&gt;&lt;ref-type name="Book"&gt;6&lt;/ref-type&gt;&lt;contributors&gt;&lt;authors&gt;&lt;author&gt;Keane, Mark&lt;/author&gt;&lt;author&gt;Smyth, Barry&lt;/author&gt;&lt;/authors&gt;&lt;/contributors&gt;&lt;titles&gt;&lt;title&gt;Good Counterfactuals and Where to Find Them: A Case-Based Technique for Generating Counterfactuals for Explainable AI (XAI)&lt;/title&gt;&lt;/titles&gt;&lt;dates&gt;&lt;year&gt;2020&lt;/year&gt;&lt;/dates&gt;&lt;urls&gt;&lt;/urls&gt;&lt;/record&gt;&lt;/Cite&gt;&lt;/EndNote&gt;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617897" w:rsidRPr="00027FB9">
        <w:rPr>
          <w:noProof/>
        </w:rPr>
        <w:t>[18]</w:t>
      </w:r>
      <w:r w:rsidRPr="002D261F">
        <w:rPr>
          <w:lang w:val="en-US"/>
        </w:rPr>
        <w:fldChar w:fldCharType="end"/>
      </w:r>
      <w:r w:rsidRPr="00027FB9">
        <w:t>.</w:t>
      </w:r>
      <w:r w:rsidR="00507F05" w:rsidRPr="00027FB9">
        <w:t xml:space="preserve"> </w:t>
      </w:r>
      <w:r w:rsidR="004B3B05">
        <w:rPr>
          <w:lang w:val="en-US"/>
        </w:rPr>
        <w:t>Based on the training data.</w:t>
      </w:r>
      <w:r w:rsidR="003338F6" w:rsidRPr="003338F6">
        <w:rPr>
          <w:lang w:val="en-US"/>
        </w:rPr>
        <w:t xml:space="preserve"> as these counterfactuals are “real experiences”</w:t>
      </w:r>
      <w:r w:rsidR="003338F6">
        <w:rPr>
          <w:lang w:val="en-US"/>
        </w:rPr>
        <w:t xml:space="preserve"> </w:t>
      </w:r>
      <w:r w:rsidR="003338F6" w:rsidRPr="003338F6">
        <w:rPr>
          <w:lang w:val="en-US"/>
        </w:rPr>
        <w:t>from the problem domain, they have an inherent plausibility</w:t>
      </w:r>
      <w:r w:rsidR="003338F6">
        <w:rPr>
          <w:lang w:val="en-US"/>
        </w:rPr>
        <w:t>”</w:t>
      </w:r>
      <w:r w:rsidR="002C0EBF">
        <w:rPr>
          <w:lang w:val="en-US"/>
        </w:rPr>
        <w:t xml:space="preserve">. </w:t>
      </w:r>
    </w:p>
    <w:p w14:paraId="1E2D3BEC" w14:textId="323C3EA6" w:rsidR="004222CC" w:rsidRDefault="004222CC" w:rsidP="005A6F80">
      <w:pPr>
        <w:rPr>
          <w:lang w:val="en-US"/>
        </w:rPr>
      </w:pPr>
    </w:p>
    <w:p w14:paraId="63130311" w14:textId="3A468B3C" w:rsidR="00E25817" w:rsidRDefault="00E25817" w:rsidP="00E25817">
      <w:pPr>
        <w:rPr>
          <w:lang w:val="en-US"/>
        </w:rPr>
      </w:pPr>
      <w:r w:rsidRPr="002D261F"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&lt;EndNote&gt;&lt;Cite&gt;&lt;Author&gt;Karimi&lt;/Author&gt;&lt;Year&gt;2020&lt;/Year&gt;&lt;RecNum&gt;202&lt;/RecNum&gt;&lt;DisplayText&gt;[19]&lt;/DisplayText&gt;&lt;record&gt;&lt;rec-number&gt;202&lt;/rec-number&gt;&lt;foreign-keys&gt;&lt;key app="EN" db-id="p22005xv5srwpxeed275s99yfvez9tfr995s" timestamp="1608298417"&gt;202&lt;/key&gt;&lt;/foreign-keys&gt;&lt;ref-type name="Conference Proceedings"&gt;10&lt;/ref-type&gt;&lt;contributors&gt;&lt;authors&gt;&lt;author&gt;Karimi, Amir-Hossein&lt;/author&gt;&lt;author&gt;Barthe, Gilles&lt;/author&gt;&lt;author&gt;Balle, Borja&lt;/author&gt;&lt;author&gt;Valera, Isabel&lt;/author&gt;&lt;/authors&gt;&lt;/contributors&gt;&lt;titles&gt;&lt;title&gt;Model-agnostic counterfactual explanations for consequential decisions&lt;/title&gt;&lt;secondary-title&gt;International Conference on Artificial Intelligence and Statistics&lt;/secondary-title&gt;&lt;/titles&gt;&lt;pages&gt;895-905&lt;/pages&gt;&lt;dates&gt;&lt;year&gt;2020&lt;/year&gt;&lt;/dates&gt;&lt;publisher&gt;PMLR&lt;/publisher&gt;&lt;isbn&gt;2640-3498&lt;/isbn&gt;&lt;urls&gt;&lt;/urls&gt;&lt;/record&gt;&lt;/Cite&gt;&lt;/EndNote&gt;</w:instrText>
      </w:r>
      <w:r w:rsidRPr="002D261F">
        <w:rPr>
          <w:lang w:val="en-US"/>
        </w:rPr>
        <w:fldChar w:fldCharType="separate"/>
      </w:r>
      <w:r>
        <w:rPr>
          <w:noProof/>
          <w:lang w:val="en-US"/>
        </w:rPr>
        <w:t>[19]</w:t>
      </w:r>
      <w:r w:rsidRPr="002D261F"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2D261F">
        <w:rPr>
          <w:lang w:val="en-US"/>
        </w:rPr>
        <w:t xml:space="preserve">MACE: </w:t>
      </w:r>
      <w:hyperlink r:id="rId9" w:history="1">
        <w:r w:rsidRPr="002D261F">
          <w:rPr>
            <w:rStyle w:val="Hyperlink"/>
            <w:lang w:val="en-US"/>
          </w:rPr>
          <w:t>https://github.com/amirhk/mace</w:t>
        </w:r>
      </w:hyperlink>
    </w:p>
    <w:p w14:paraId="4C3C33DB" w14:textId="3C9E3253" w:rsidR="00E25817" w:rsidRDefault="00E25817" w:rsidP="005A6F80">
      <w:pPr>
        <w:rPr>
          <w:lang w:val="en-US"/>
        </w:rPr>
      </w:pPr>
    </w:p>
    <w:p w14:paraId="7879F736" w14:textId="6C4435D5" w:rsidR="00E25817" w:rsidRPr="00E25817" w:rsidRDefault="00E25817" w:rsidP="00E25817">
      <w:pPr>
        <w:rPr>
          <w:lang w:val="en-US"/>
        </w:rPr>
      </w:pPr>
      <w:r w:rsidRPr="00675FA5">
        <w:rPr>
          <w:lang w:val="en-US"/>
        </w:rPr>
        <w:fldChar w:fldCharType="begin"/>
      </w:r>
      <w:r w:rsidR="007A300D">
        <w:rPr>
          <w:lang w:val="en-US"/>
        </w:rPr>
        <w:instrText xml:space="preserve"> ADDIN EN.CITE &lt;EndNote&gt;&lt;Cite&gt;&lt;Author&gt;Schleich&lt;/Author&gt;&lt;Year&gt;2021&lt;/Year&gt;&lt;RecNum&gt;204&lt;/RecNum&gt;&lt;DisplayText&gt;[20]&lt;/DisplayText&gt;&lt;record&gt;&lt;rec-number&gt;204&lt;/rec-number&gt;&lt;foreign-keys&gt;&lt;key app="EN" db-id="p22005xv5srwpxeed275s99yfvez9tfr995s" timestamp="1612813523"&gt;204&lt;/key&gt;&lt;/foreign-keys&gt;&lt;ref-type name="Book"&gt;6&lt;/ref-type&gt;&lt;contributors&gt;&lt;authors&gt;&lt;author&gt;Schleich, Maximilian&lt;/author&gt;&lt;author&gt;Geng, Zixuan&lt;/author&gt;&lt;author&gt;Zhang, Yihong&lt;/author&gt;&lt;author&gt;Suciu, Dan&lt;/author&gt;&lt;/authors&gt;&lt;/contributors&gt;&lt;titles&gt;&lt;title&gt;GeCo: Quality Counterfactual Explanations in Real Time&lt;/title&gt;&lt;/titles&gt;&lt;dates&gt;&lt;year&gt;2021&lt;/year&gt;&lt;/dates&gt;&lt;urls&gt;&lt;/urls&gt;&lt;/record&gt;&lt;/Cite&gt;&lt;/EndNote&gt;</w:instrText>
      </w:r>
      <w:r w:rsidRPr="00675FA5">
        <w:rPr>
          <w:lang w:val="en-US"/>
        </w:rPr>
        <w:fldChar w:fldCharType="separate"/>
      </w:r>
      <w:r w:rsidR="007A300D">
        <w:rPr>
          <w:noProof/>
          <w:lang w:val="en-US"/>
        </w:rPr>
        <w:t>[20]</w:t>
      </w:r>
      <w:r w:rsidRPr="00675FA5">
        <w:rPr>
          <w:lang w:val="en-US"/>
        </w:rPr>
        <w:fldChar w:fldCharType="end"/>
      </w:r>
      <w:r>
        <w:rPr>
          <w:lang w:val="en-US"/>
        </w:rPr>
        <w:t xml:space="preserve"> GeCo: Compares to MACE, CERTIFAI, WIT (what if tool)</w:t>
      </w:r>
    </w:p>
    <w:p w14:paraId="1BFD64DC" w14:textId="77777777" w:rsidR="00E25817" w:rsidRPr="002D261F" w:rsidRDefault="00E25817" w:rsidP="005A6F80">
      <w:pPr>
        <w:rPr>
          <w:lang w:val="en-US"/>
        </w:rPr>
      </w:pPr>
    </w:p>
    <w:p w14:paraId="3AB01771" w14:textId="04E1F7FC" w:rsidR="004222CC" w:rsidRPr="002D261F" w:rsidRDefault="00261EAE" w:rsidP="00261EAE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US"/>
        </w:rPr>
      </w:pPr>
      <w:r w:rsidRPr="002D261F">
        <w:rPr>
          <w:lang w:val="en-US"/>
        </w:rPr>
        <w:t xml:space="preserve">A study on justification of counterfactuals </w:t>
      </w:r>
      <w:r w:rsidRPr="002D261F">
        <w:rPr>
          <w:lang w:val="en-US"/>
        </w:rPr>
        <w:fldChar w:fldCharType="begin"/>
      </w:r>
      <w:r w:rsidR="007A300D">
        <w:rPr>
          <w:lang w:val="en-US"/>
        </w:rPr>
        <w:instrText xml:space="preserve"> ADDIN EN.CITE &lt;EndNote&gt;&lt;Cite&gt;&lt;Author&gt;Laugel&lt;/Author&gt;&lt;Year&gt;2020&lt;/Year&gt;&lt;RecNum&gt;168&lt;/RecNum&gt;&lt;DisplayText&gt;[21]&lt;/DisplayText&gt;&lt;record&gt;&lt;rec-number&gt;168&lt;/rec-number&gt;&lt;foreign-keys&gt;&lt;key app="EN" db-id="p22005xv5srwpxeed275s99yfvez9tfr995s" timestamp="1606496892"&gt;168&lt;/key&gt;&lt;/foreign-keys&gt;&lt;ref-type name="Serial"&gt;57&lt;/ref-type&gt;&lt;contributors&gt;&lt;authors&gt;&lt;author&gt;Laugel, T.&lt;/author&gt;&lt;author&gt;Lesot, M. J.&lt;/author&gt;&lt;author&gt;Marsala, C.&lt;/author&gt;&lt;author&gt;Renard, X.&lt;/author&gt;&lt;author&gt;Detyniecki, M.&lt;/author&gt;&lt;/authors&gt;&lt;/contributors&gt;&lt;titles&gt;&lt;title&gt;Unjustified Classification Regions and Counterfactual Explanations in Machine Learning&lt;/title&gt;&lt;/titles&gt;&lt;pages&gt;37-54&lt;/pages&gt;&lt;volume&gt;11907 LNAI&lt;/volume&gt;&lt;dates&gt;&lt;year&gt;2020&lt;/year&gt;&lt;/dates&gt;&lt;work-type&gt;Conference Paper&lt;/work-type&gt;&lt;urls&gt;&lt;related-urls&gt;&lt;url&gt;https://www.scopus.com/inward/record.uri?eid=2-s2.0-85084833740&amp;amp;doi=10.1007%2f978-3-030-46147-8_3&amp;amp;partnerID=40&amp;amp;md5=e6f3ede2edfef1b07fdce70e7f52fe16&lt;/url&gt;&lt;url&gt;https://link.springer.com/chapter/10.1007%2F978-3-030-46147-8_3&lt;/url&gt;&lt;/related-urls&gt;&lt;/urls&gt;&lt;custom3&gt;Lecture Notes in Computer Science (including subseries Lecture Notes in Artificial Intelligence and Lecture Notes in Bioinformatics)&lt;/custom3&gt;&lt;electronic-resource-num&gt;10.1007/978-3-030-46147-8_3&lt;/electronic-resource-num&gt;&lt;remote-database-name&gt;Scopus&lt;/remote-database-name&gt;&lt;/record&gt;&lt;/Cite&gt;&lt;/EndNote&gt;</w:instrText>
      </w:r>
      <w:r w:rsidRPr="002D261F">
        <w:rPr>
          <w:lang w:val="en-US"/>
        </w:rPr>
        <w:fldChar w:fldCharType="separate"/>
      </w:r>
      <w:r w:rsidR="007A300D">
        <w:rPr>
          <w:noProof/>
          <w:lang w:val="en-US"/>
        </w:rPr>
        <w:t>[21]</w:t>
      </w:r>
      <w:r w:rsidRPr="002D261F">
        <w:rPr>
          <w:lang w:val="en-US"/>
        </w:rPr>
        <w:fldChar w:fldCharType="end"/>
      </w:r>
      <w:r w:rsidRPr="002D261F">
        <w:rPr>
          <w:lang w:val="en-US"/>
        </w:rPr>
        <w:t>. “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Given a classifier </w:t>
      </w:r>
      <w:proofErr w:type="gramStart"/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f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:</w:t>
      </w:r>
      <w:proofErr w:type="gramEnd"/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X ! Y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trained on a dataset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X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, a counterfactual example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e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 &lt;in&gt; X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is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justified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by an instance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a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&lt;in&gt;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X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correctly predicted if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f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e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) =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f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a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)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and if there exists a continuous path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h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between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e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and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a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such that no decision boundary </w:t>
      </w:r>
      <w:proofErr w:type="spellStart"/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of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f</w:t>
      </w:r>
      <w:proofErr w:type="spellEnd"/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is met. Formally,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e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is justified by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a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&lt;in&gt;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X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if: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&lt;there is an&gt; </w:t>
      </w:r>
      <w:proofErr w:type="gramStart"/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h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:</w:t>
      </w:r>
      <w:proofErr w:type="gramEnd"/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 [0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;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1]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! X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>such that: (</w:t>
      </w:r>
      <w:proofErr w:type="spellStart"/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>i</w:t>
      </w:r>
      <w:proofErr w:type="spellEnd"/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)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h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is continuous, (ii) </w:t>
      </w:r>
      <w:proofErr w:type="gramStart"/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h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proofErr w:type="gramEnd"/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0) =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a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, (iii)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h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(1) =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e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and (iv)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>&lt;all&gt;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t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&lt;in&gt;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[0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;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1]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; f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h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t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)) =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f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e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)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>.”</w:t>
      </w:r>
    </w:p>
    <w:p w14:paraId="1C025D0C" w14:textId="21B85E6B" w:rsidR="00CD14CF" w:rsidRPr="002D261F" w:rsidRDefault="00CD14CF" w:rsidP="00261EA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90AE62B" w14:textId="3E248669" w:rsidR="00CD14CF" w:rsidRPr="002D261F" w:rsidRDefault="00CD14CF" w:rsidP="00261EA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261F">
        <w:rPr>
          <w:noProof/>
          <w:lang w:val="en-US"/>
        </w:rPr>
        <w:drawing>
          <wp:inline distT="0" distB="0" distL="0" distR="0" wp14:anchorId="2D0F65A8" wp14:editId="053994E7">
            <wp:extent cx="3855110" cy="1489146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929" cy="150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7462" w14:textId="77777777" w:rsidR="0079508B" w:rsidRPr="002D261F" w:rsidRDefault="00CD14CF" w:rsidP="000A6BBD">
      <w:pPr>
        <w:rPr>
          <w:lang w:val="en-US"/>
        </w:rPr>
      </w:pPr>
      <w:r w:rsidRPr="002D261F">
        <w:rPr>
          <w:lang w:val="en-US"/>
        </w:rPr>
        <w:t>They argue that CF</w:t>
      </w:r>
      <w:r w:rsidR="003E2EC8" w:rsidRPr="002D261F">
        <w:rPr>
          <w:lang w:val="en-US"/>
        </w:rPr>
        <w:t>2 is better than CF1; in B you can see an application for it (overfit classifier).</w:t>
      </w:r>
      <w:r w:rsidR="000A6BBD" w:rsidRPr="002D261F">
        <w:rPr>
          <w:lang w:val="en-US"/>
        </w:rPr>
        <w:t xml:space="preserve"> “CF2 can be connected to a ground-truth instance a without crossing the decision boundary of f and is therefore justified.” </w:t>
      </w:r>
    </w:p>
    <w:p w14:paraId="05A49C50" w14:textId="77777777" w:rsidR="0079508B" w:rsidRPr="002D261F" w:rsidRDefault="0079508B" w:rsidP="000A6BBD">
      <w:pPr>
        <w:rPr>
          <w:b/>
          <w:bCs/>
          <w:lang w:val="en-US"/>
        </w:rPr>
      </w:pPr>
      <w:r w:rsidRPr="002D261F">
        <w:rPr>
          <w:b/>
          <w:bCs/>
          <w:lang w:val="en-US"/>
        </w:rPr>
        <w:t>So instead of choosing instances from the training data per se; they make sure that a counterfactual instance can be “connected” to a ground truth data point without crossing the decision boundary.</w:t>
      </w:r>
    </w:p>
    <w:p w14:paraId="0659A871" w14:textId="77777777" w:rsidR="00306D6E" w:rsidRPr="002D261F" w:rsidRDefault="005C5157" w:rsidP="000A6BBD">
      <w:pPr>
        <w:rPr>
          <w:lang w:val="en-US"/>
        </w:rPr>
      </w:pPr>
      <w:r w:rsidRPr="002D261F">
        <w:rPr>
          <w:lang w:val="en-US"/>
        </w:rPr>
        <w:t>They have written software to asses if counterfactuals are connected to ground-truth data.</w:t>
      </w:r>
      <w:r w:rsidR="00BE36F7" w:rsidRPr="002D261F">
        <w:rPr>
          <w:lang w:val="en-US"/>
        </w:rPr>
        <w:t xml:space="preserve"> They sample a circle around an instance, and cluster them using DBSCAN. If they belong to the same cluster as the ground-truth instance, they are justified.</w:t>
      </w:r>
    </w:p>
    <w:p w14:paraId="2822B40A" w14:textId="77777777" w:rsidR="009111A5" w:rsidRPr="002D261F" w:rsidRDefault="00306D6E" w:rsidP="000A6BBD">
      <w:pPr>
        <w:rPr>
          <w:lang w:val="en-US"/>
        </w:rPr>
      </w:pPr>
      <w:r w:rsidRPr="002D261F">
        <w:rPr>
          <w:lang w:val="en-US"/>
        </w:rPr>
        <w:t>Shows that LORE often creates justified explanations.</w:t>
      </w:r>
    </w:p>
    <w:p w14:paraId="7A956BD4" w14:textId="75BADBF5" w:rsidR="009111A5" w:rsidRPr="002D261F" w:rsidRDefault="0086435C" w:rsidP="000A6BBD">
      <w:pPr>
        <w:rPr>
          <w:lang w:val="en-US"/>
        </w:rPr>
      </w:pPr>
      <w:hyperlink r:id="rId11" w:history="1">
        <w:r w:rsidR="009111A5" w:rsidRPr="002D261F">
          <w:rPr>
            <w:rStyle w:val="Hyperlink"/>
            <w:lang w:val="en-US"/>
          </w:rPr>
          <w:t>https://github.com/thibaultlaugel/truce</w:t>
        </w:r>
      </w:hyperlink>
    </w:p>
    <w:p w14:paraId="42720AAE" w14:textId="1C954802" w:rsidR="009111A5" w:rsidRPr="002D261F" w:rsidRDefault="009111A5" w:rsidP="000A6BBD">
      <w:pPr>
        <w:rPr>
          <w:lang w:val="en-US"/>
        </w:rPr>
      </w:pPr>
    </w:p>
    <w:p w14:paraId="25F82DE6" w14:textId="3D059ABC" w:rsidR="009111A5" w:rsidRPr="002D261F" w:rsidRDefault="009111A5" w:rsidP="000A6BBD">
      <w:pPr>
        <w:rPr>
          <w:lang w:val="en-US"/>
        </w:rPr>
      </w:pPr>
    </w:p>
    <w:p w14:paraId="1B0DF165" w14:textId="37A3C564" w:rsidR="009111A5" w:rsidRPr="002D261F" w:rsidRDefault="009111A5" w:rsidP="000A6BBD">
      <w:pPr>
        <w:rPr>
          <w:lang w:val="en-US"/>
        </w:rPr>
      </w:pPr>
    </w:p>
    <w:p w14:paraId="7E72E76C" w14:textId="19251EA3" w:rsidR="00DF5B55" w:rsidRDefault="00DF5B55" w:rsidP="000A6BBD">
      <w:pPr>
        <w:rPr>
          <w:lang w:val="en-US"/>
        </w:rPr>
      </w:pPr>
    </w:p>
    <w:p w14:paraId="40150531" w14:textId="01750890" w:rsidR="00DF5B55" w:rsidRDefault="00DF5B55" w:rsidP="000A6BBD">
      <w:pPr>
        <w:rPr>
          <w:lang w:val="en-US"/>
        </w:rPr>
      </w:pPr>
    </w:p>
    <w:p w14:paraId="01D6350A" w14:textId="4B7293B1" w:rsidR="00DF5B55" w:rsidRDefault="00DF5B55" w:rsidP="000A6BBD">
      <w:pPr>
        <w:rPr>
          <w:lang w:val="en-US"/>
        </w:rPr>
      </w:pPr>
      <w:r>
        <w:rPr>
          <w:lang w:val="en-US"/>
        </w:rPr>
        <w:t xml:space="preserve">Desiderata </w:t>
      </w:r>
      <w:r>
        <w:rPr>
          <w:lang w:val="en-US"/>
        </w:rPr>
        <w:fldChar w:fldCharType="begin"/>
      </w:r>
      <w:r w:rsidR="007A300D">
        <w:rPr>
          <w:lang w:val="en-US"/>
        </w:rPr>
        <w:instrText xml:space="preserve"> ADDIN EN.CITE &lt;EndNote&gt;&lt;Cite&gt;&lt;Author&gt;Verma&lt;/Author&gt;&lt;Year&gt;2020&lt;/Year&gt;&lt;RecNum&gt;100&lt;/RecNum&gt;&lt;DisplayText&gt;[22]&lt;/DisplayText&gt;&lt;record&gt;&lt;rec-number&gt;100&lt;/rec-number&gt;&lt;foreign-keys&gt;&lt;key app="EN" db-id="p22005xv5srwpxeed275s99yfvez9tfr995s" timestamp="1606149182"&gt;100&lt;/key&gt;&lt;/foreign-keys&gt;&lt;ref-type name="Journal Article"&gt;17&lt;/ref-type&gt;&lt;contributors&gt;&lt;authors&gt;&lt;author&gt;Verma, Sahil&lt;/author&gt;&lt;author&gt;Dickerson, John P.&lt;/author&gt;&lt;author&gt;Hines, Keegan&lt;/author&gt;&lt;/authors&gt;&lt;/contributors&gt;&lt;titles&gt;&lt;title&gt;Counterfactual Explanations for Machine Learning: A Review&lt;/title&gt;&lt;secondary-title&gt;ArXiv&lt;/secondary-title&gt;&lt;/titles&gt;&lt;periodical&gt;&lt;full-title&gt;ArXiv&lt;/full-title&gt;&lt;/periodical&gt;&lt;volume&gt;abs/2010.10596&lt;/volume&gt;&lt;dates&gt;&lt;year&gt;2020&lt;/year&gt;&lt;/dates&gt;&lt;urls&gt;&lt;/urls&gt;&lt;/record&gt;&lt;/Cite&gt;&lt;/EndNote&gt;</w:instrText>
      </w:r>
      <w:r>
        <w:rPr>
          <w:lang w:val="en-US"/>
        </w:rPr>
        <w:fldChar w:fldCharType="separate"/>
      </w:r>
      <w:r w:rsidR="007A300D">
        <w:rPr>
          <w:noProof/>
          <w:lang w:val="en-US"/>
        </w:rPr>
        <w:t>[22]</w:t>
      </w:r>
      <w:r>
        <w:rPr>
          <w:lang w:val="en-US"/>
        </w:rPr>
        <w:fldChar w:fldCharType="end"/>
      </w:r>
      <w:r>
        <w:rPr>
          <w:lang w:val="en-US"/>
        </w:rPr>
        <w:t>:</w:t>
      </w:r>
    </w:p>
    <w:p w14:paraId="1C62A8C4" w14:textId="6834EE12" w:rsidR="00DF5B55" w:rsidRDefault="00DF5B55" w:rsidP="00DF5B5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Validity: meaning it has the desired class (originally by </w:t>
      </w:r>
      <w:proofErr w:type="spellStart"/>
      <w:r>
        <w:rPr>
          <w:lang w:val="en-US"/>
        </w:rPr>
        <w:t>wachter</w:t>
      </w:r>
      <w:proofErr w:type="spellEnd"/>
      <w:r>
        <w:rPr>
          <w:lang w:val="en-US"/>
        </w:rPr>
        <w:t xml:space="preserve"> et al)</w:t>
      </w:r>
    </w:p>
    <w:p w14:paraId="519E0EBE" w14:textId="0E819DE4" w:rsidR="00DF5B55" w:rsidRDefault="00DF5B55" w:rsidP="00DF5B5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Proximity</w:t>
      </w:r>
    </w:p>
    <w:p w14:paraId="10A9D0C5" w14:textId="470A146E" w:rsidR="00DF5B55" w:rsidRDefault="00DF5B55" w:rsidP="00DF5B5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Actionability</w:t>
      </w:r>
    </w:p>
    <w:p w14:paraId="68BE8A4A" w14:textId="1DC0FE6A" w:rsidR="00DF5B55" w:rsidRDefault="00DF5B55" w:rsidP="00DF5B5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Sparsity</w:t>
      </w:r>
    </w:p>
    <w:p w14:paraId="0FECDE4F" w14:textId="631F3A0A" w:rsidR="00DF5B55" w:rsidRDefault="00DF5B55" w:rsidP="00DF5B5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manifold closeness</w:t>
      </w:r>
    </w:p>
    <w:p w14:paraId="40027A89" w14:textId="034A37A4" w:rsidR="00DF5B55" w:rsidRDefault="00DF5B55" w:rsidP="00577137">
      <w:pPr>
        <w:pStyle w:val="Lijstalinea"/>
        <w:numPr>
          <w:ilvl w:val="0"/>
          <w:numId w:val="1"/>
        </w:numPr>
        <w:rPr>
          <w:lang w:val="en-US"/>
        </w:rPr>
      </w:pPr>
      <w:r w:rsidRPr="00DF5B55">
        <w:rPr>
          <w:lang w:val="en-US"/>
        </w:rPr>
        <w:t>Causality “a counterfactual should</w:t>
      </w:r>
      <w:r>
        <w:rPr>
          <w:lang w:val="en-US"/>
        </w:rPr>
        <w:t xml:space="preserve"> </w:t>
      </w:r>
      <w:r w:rsidRPr="00DF5B55">
        <w:rPr>
          <w:lang w:val="en-US"/>
        </w:rPr>
        <w:t>maintain any known causal relations between features</w:t>
      </w:r>
      <w:r>
        <w:rPr>
          <w:lang w:val="en-US"/>
        </w:rPr>
        <w:t>”</w:t>
      </w:r>
    </w:p>
    <w:p w14:paraId="51453CA9" w14:textId="37520FE1" w:rsidR="00DF5B55" w:rsidRDefault="00DF5B55" w:rsidP="0057713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Diversity</w:t>
      </w:r>
    </w:p>
    <w:p w14:paraId="6237ED6C" w14:textId="2858F188" w:rsidR="00DF5B55" w:rsidRDefault="00DF5B55" w:rsidP="00DF5B55">
      <w:pPr>
        <w:rPr>
          <w:lang w:val="en-US"/>
        </w:rPr>
      </w:pPr>
      <w:r>
        <w:rPr>
          <w:lang w:val="en-US"/>
        </w:rPr>
        <w:t>Challenges:</w:t>
      </w:r>
    </w:p>
    <w:p w14:paraId="7736B942" w14:textId="648CE15D" w:rsidR="00DF5B55" w:rsidRDefault="00DF5B55" w:rsidP="00577137">
      <w:pPr>
        <w:pStyle w:val="Lijstalinea"/>
        <w:numPr>
          <w:ilvl w:val="0"/>
          <w:numId w:val="1"/>
        </w:numPr>
        <w:rPr>
          <w:lang w:val="en-US"/>
        </w:rPr>
      </w:pPr>
      <w:r w:rsidRPr="00DF5B55">
        <w:rPr>
          <w:lang w:val="en-US"/>
        </w:rPr>
        <w:t>The evaluation for counterfactual explanations must be done using</w:t>
      </w:r>
      <w:r>
        <w:rPr>
          <w:lang w:val="en-US"/>
        </w:rPr>
        <w:t xml:space="preserve"> </w:t>
      </w:r>
      <w:r w:rsidRPr="00DF5B55">
        <w:rPr>
          <w:lang w:val="en-US"/>
        </w:rPr>
        <w:t>a user study</w:t>
      </w:r>
      <w:r>
        <w:rPr>
          <w:lang w:val="en-US"/>
        </w:rPr>
        <w:t>.</w:t>
      </w:r>
    </w:p>
    <w:p w14:paraId="33640D67" w14:textId="1CCCF6F3" w:rsidR="003046A1" w:rsidRDefault="00DF5B55" w:rsidP="00DF5B55">
      <w:pPr>
        <w:pStyle w:val="Lijstalinea"/>
        <w:numPr>
          <w:ilvl w:val="0"/>
          <w:numId w:val="1"/>
        </w:numPr>
        <w:rPr>
          <w:lang w:val="en-US"/>
        </w:rPr>
      </w:pPr>
      <w:r w:rsidRPr="00DF5B55">
        <w:rPr>
          <w:lang w:val="en-US"/>
        </w:rPr>
        <w:t>Counterfactual explanations should be</w:t>
      </w:r>
      <w:r>
        <w:rPr>
          <w:lang w:val="en-US"/>
        </w:rPr>
        <w:t xml:space="preserve"> </w:t>
      </w:r>
      <w:r w:rsidRPr="00DF5B55">
        <w:rPr>
          <w:lang w:val="en-US"/>
        </w:rPr>
        <w:t>integrated with visualization features.</w:t>
      </w:r>
    </w:p>
    <w:p w14:paraId="7E2A9693" w14:textId="33738917" w:rsidR="00DF5B55" w:rsidRDefault="00BF75D8" w:rsidP="00DF5B55">
      <w:pPr>
        <w:pStyle w:val="Lijstalinea"/>
        <w:numPr>
          <w:ilvl w:val="0"/>
          <w:numId w:val="1"/>
        </w:numPr>
        <w:rPr>
          <w:lang w:val="en-US"/>
        </w:rPr>
      </w:pPr>
      <w:r w:rsidRPr="00BF75D8">
        <w:rPr>
          <w:lang w:val="en-US"/>
        </w:rPr>
        <w:t>Generate robust counterfactual explanations</w:t>
      </w:r>
      <w:r>
        <w:rPr>
          <w:lang w:val="en-US"/>
        </w:rPr>
        <w:t xml:space="preserve"> (not overfit to model)</w:t>
      </w:r>
      <w:r w:rsidRPr="00BF75D8">
        <w:rPr>
          <w:lang w:val="en-US"/>
        </w:rPr>
        <w:t>.</w:t>
      </w:r>
    </w:p>
    <w:p w14:paraId="725EFD69" w14:textId="0635730D" w:rsidR="00DA7C6A" w:rsidRPr="002D261F" w:rsidRDefault="00DA7C6A" w:rsidP="00DF5B5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Unify counterfactuals with traditional XAI</w:t>
      </w:r>
    </w:p>
    <w:p w14:paraId="5F2C9629" w14:textId="468B37CE" w:rsidR="00181A79" w:rsidRDefault="00181A79">
      <w:pPr>
        <w:rPr>
          <w:lang w:val="en-US"/>
        </w:rPr>
      </w:pPr>
    </w:p>
    <w:p w14:paraId="0BD1D404" w14:textId="48E0559E" w:rsidR="00181A79" w:rsidRDefault="00181A79" w:rsidP="00181A79">
      <w:pPr>
        <w:pStyle w:val="Kop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 to weigh the total closeness scores</w:t>
      </w:r>
    </w:p>
    <w:p w14:paraId="09586B99" w14:textId="77777777" w:rsidR="00B22112" w:rsidRDefault="00181A79" w:rsidP="00181A7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 features according to feature importance</w:t>
      </w:r>
    </w:p>
    <w:p w14:paraId="1A34BC4E" w14:textId="77777777" w:rsidR="00B22112" w:rsidRDefault="00B22112" w:rsidP="00181A7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 distance and features changed together</w:t>
      </w:r>
    </w:p>
    <w:p w14:paraId="65590ABE" w14:textId="1C7F1083" w:rsidR="00181A79" w:rsidRPr="00181A79" w:rsidRDefault="00B22112" w:rsidP="00181A7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 using hyperparameters (</w:t>
      </w:r>
      <w:r>
        <w:rPr>
          <w:lang w:val="en-US"/>
        </w:rPr>
        <w:fldChar w:fldCharType="begin"/>
      </w:r>
      <w:r w:rsidR="007A300D">
        <w:rPr>
          <w:lang w:val="en-US"/>
        </w:rPr>
        <w:instrText xml:space="preserve"> ADDIN EN.CITE &lt;EndNote&gt;&lt;Cite&gt;&lt;Author&gt;Schleich&lt;/Author&gt;&lt;Year&gt;2021&lt;/Year&gt;&lt;RecNum&gt;204&lt;/RecNum&gt;&lt;DisplayText&gt;[20]&lt;/DisplayText&gt;&lt;record&gt;&lt;rec-number&gt;204&lt;/rec-number&gt;&lt;foreign-keys&gt;&lt;key app="EN" db-id="p22005xv5srwpxeed275s99yfvez9tfr995s" timestamp="1612813523"&gt;204&lt;/key&gt;&lt;/foreign-keys&gt;&lt;ref-type name="Book"&gt;6&lt;/ref-type&gt;&lt;contributors&gt;&lt;authors&gt;&lt;author&gt;Schleich, Maximilian&lt;/author&gt;&lt;author&gt;Geng, Zixuan&lt;/author&gt;&lt;author&gt;Zhang, Yihong&lt;/author&gt;&lt;author&gt;Suciu, Dan&lt;/author&gt;&lt;/authors&gt;&lt;/contributors&gt;&lt;titles&gt;&lt;title&gt;GeCo: Quality Counterfactual Explanations in Real Time&lt;/title&gt;&lt;/titles&gt;&lt;dates&gt;&lt;year&gt;2021&lt;/year&gt;&lt;/dates&gt;&lt;urls&gt;&lt;/urls&gt;&lt;/record&gt;&lt;/Cite&gt;&lt;/EndNote&gt;</w:instrText>
      </w:r>
      <w:r>
        <w:rPr>
          <w:lang w:val="en-US"/>
        </w:rPr>
        <w:fldChar w:fldCharType="separate"/>
      </w:r>
      <w:r w:rsidR="007A300D">
        <w:rPr>
          <w:noProof/>
          <w:lang w:val="en-US"/>
        </w:rPr>
        <w:t>[20]</w:t>
      </w:r>
      <w:r>
        <w:rPr>
          <w:lang w:val="en-US"/>
        </w:rPr>
        <w:fldChar w:fldCharType="end"/>
      </w:r>
      <w:r>
        <w:rPr>
          <w:lang w:val="en-US"/>
        </w:rPr>
        <w:t xml:space="preserve"> and MACE)</w:t>
      </w:r>
    </w:p>
    <w:p w14:paraId="637BF35D" w14:textId="77777777" w:rsidR="00FD2084" w:rsidRPr="001E243F" w:rsidRDefault="00FD2084">
      <w:pPr>
        <w:rPr>
          <w:rFonts w:eastAsiaTheme="minorEastAsia"/>
          <w:lang w:val="en-US"/>
        </w:rPr>
      </w:pPr>
    </w:p>
    <w:p w14:paraId="52719F3C" w14:textId="77777777" w:rsidR="00FD2084" w:rsidRPr="00FD2084" w:rsidRDefault="00FD2084" w:rsidP="000A6BBD">
      <w:pPr>
        <w:rPr>
          <w:lang w:val="en-US"/>
        </w:rPr>
      </w:pPr>
    </w:p>
    <w:p w14:paraId="09CB955E" w14:textId="77777777" w:rsidR="00CD14CF" w:rsidRPr="002D261F" w:rsidRDefault="00CD14CF" w:rsidP="00B008FF">
      <w:pPr>
        <w:rPr>
          <w:lang w:val="en-US"/>
        </w:rPr>
      </w:pPr>
    </w:p>
    <w:p w14:paraId="1DC4F9F6" w14:textId="77777777" w:rsidR="00FF6918" w:rsidRPr="002D261F" w:rsidRDefault="00FF6918" w:rsidP="001F12BB">
      <w:pPr>
        <w:rPr>
          <w:lang w:val="en-US"/>
        </w:rPr>
      </w:pPr>
    </w:p>
    <w:p w14:paraId="3948C567" w14:textId="77777777" w:rsidR="0086435C" w:rsidRPr="0086435C" w:rsidRDefault="00EE6E83" w:rsidP="0086435C">
      <w:pPr>
        <w:pStyle w:val="EndNoteBibliography"/>
        <w:spacing w:after="0"/>
        <w:ind w:left="720" w:hanging="720"/>
      </w:pPr>
      <w:r w:rsidRPr="002D261F">
        <w:fldChar w:fldCharType="begin"/>
      </w:r>
      <w:r w:rsidRPr="002D261F">
        <w:instrText xml:space="preserve"> ADDIN EN.REFLIST </w:instrText>
      </w:r>
      <w:r w:rsidRPr="002D261F">
        <w:fldChar w:fldCharType="separate"/>
      </w:r>
      <w:r w:rsidR="0086435C" w:rsidRPr="0086435C">
        <w:t>1.</w:t>
      </w:r>
      <w:r w:rsidR="0086435C" w:rsidRPr="0086435C">
        <w:tab/>
        <w:t xml:space="preserve">Benschop, C.C.G., et al., </w:t>
      </w:r>
      <w:r w:rsidR="0086435C" w:rsidRPr="0086435C">
        <w:rPr>
          <w:i/>
        </w:rPr>
        <w:t>Automated estimation of the number of contributors in autosomal short tandem repeat profiles using a machine learning approach.</w:t>
      </w:r>
      <w:r w:rsidR="0086435C" w:rsidRPr="0086435C">
        <w:t xml:space="preserve"> Forensic Science International: Genetics, 2019. </w:t>
      </w:r>
      <w:r w:rsidR="0086435C" w:rsidRPr="0086435C">
        <w:rPr>
          <w:b/>
        </w:rPr>
        <w:t>43</w:t>
      </w:r>
      <w:r w:rsidR="0086435C" w:rsidRPr="0086435C">
        <w:t>: p. 102150.</w:t>
      </w:r>
    </w:p>
    <w:p w14:paraId="3ABFD58B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2.</w:t>
      </w:r>
      <w:r w:rsidRPr="0086435C">
        <w:tab/>
        <w:t xml:space="preserve">Kruijver, M., et al., </w:t>
      </w:r>
      <w:r w:rsidRPr="0086435C">
        <w:rPr>
          <w:i/>
        </w:rPr>
        <w:t>Estimating the number of contributors to a DNA profile using decision trees.</w:t>
      </w:r>
      <w:r w:rsidRPr="0086435C">
        <w:t xml:space="preserve"> Forensic Science International: Genetics.</w:t>
      </w:r>
    </w:p>
    <w:p w14:paraId="331E24A4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3.</w:t>
      </w:r>
      <w:r w:rsidRPr="0086435C">
        <w:tab/>
        <w:t xml:space="preserve">Tao, R., et al., </w:t>
      </w:r>
      <w:r w:rsidRPr="0086435C">
        <w:rPr>
          <w:i/>
        </w:rPr>
        <w:t>Separation/extraction, detection, and interpretation of DNA mixtures in forensic science (review).</w:t>
      </w:r>
      <w:r w:rsidRPr="0086435C">
        <w:t xml:space="preserve"> International Journal of Legal Medicine, 2018. </w:t>
      </w:r>
      <w:r w:rsidRPr="0086435C">
        <w:rPr>
          <w:b/>
        </w:rPr>
        <w:t>132</w:t>
      </w:r>
      <w:r w:rsidRPr="0086435C">
        <w:t>.</w:t>
      </w:r>
    </w:p>
    <w:p w14:paraId="415EC2DE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4.</w:t>
      </w:r>
      <w:r w:rsidRPr="0086435C">
        <w:tab/>
        <w:t xml:space="preserve">Benschop, C.C.G., et al., </w:t>
      </w:r>
      <w:r w:rsidRPr="0086435C">
        <w:rPr>
          <w:i/>
        </w:rPr>
        <w:t>The effect of varying the number of contributors on likelihood ratios for complex DNA mixtures.</w:t>
      </w:r>
      <w:r w:rsidRPr="0086435C">
        <w:t xml:space="preserve"> Forensic Science International: Genetics, 2015. </w:t>
      </w:r>
      <w:r w:rsidRPr="0086435C">
        <w:rPr>
          <w:b/>
        </w:rPr>
        <w:t>19</w:t>
      </w:r>
      <w:r w:rsidRPr="0086435C">
        <w:t>: p. 92-99.</w:t>
      </w:r>
    </w:p>
    <w:p w14:paraId="04A62F85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5.</w:t>
      </w:r>
      <w:r w:rsidRPr="0086435C">
        <w:tab/>
        <w:t xml:space="preserve">Lakkaraju, H., et al., </w:t>
      </w:r>
      <w:r w:rsidRPr="0086435C">
        <w:rPr>
          <w:i/>
        </w:rPr>
        <w:t>Interpretable &amp; Explorable Approximations of Black Box Models.</w:t>
      </w:r>
      <w:r w:rsidRPr="0086435C">
        <w:t xml:space="preserve"> 2017.</w:t>
      </w:r>
    </w:p>
    <w:p w14:paraId="34AC91D8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6.</w:t>
      </w:r>
      <w:r w:rsidRPr="0086435C">
        <w:tab/>
        <w:t xml:space="preserve">Lundberg, S. and S.-I. Lee, </w:t>
      </w:r>
      <w:r w:rsidRPr="0086435C">
        <w:rPr>
          <w:i/>
        </w:rPr>
        <w:t>A Unified Approach to Interpreting Model Predictions</w:t>
      </w:r>
      <w:r w:rsidRPr="0086435C">
        <w:t>. 2017.</w:t>
      </w:r>
    </w:p>
    <w:p w14:paraId="7CCA2774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7.</w:t>
      </w:r>
      <w:r w:rsidRPr="0086435C">
        <w:tab/>
        <w:t xml:space="preserve">Lundberg, S.M., et al., </w:t>
      </w:r>
      <w:r w:rsidRPr="0086435C">
        <w:rPr>
          <w:i/>
        </w:rPr>
        <w:t>Explainable machine-learning predictions for the prevention of hypoxaemia during surgery.</w:t>
      </w:r>
      <w:r w:rsidRPr="0086435C">
        <w:t xml:space="preserve"> Nat Biomed Eng, 2018. </w:t>
      </w:r>
      <w:r w:rsidRPr="0086435C">
        <w:rPr>
          <w:b/>
        </w:rPr>
        <w:t>2</w:t>
      </w:r>
      <w:r w:rsidRPr="0086435C">
        <w:t>(10): p. 749-760.</w:t>
      </w:r>
    </w:p>
    <w:p w14:paraId="496723D3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8.</w:t>
      </w:r>
      <w:r w:rsidRPr="0086435C">
        <w:tab/>
        <w:t xml:space="preserve">Russell, C. </w:t>
      </w:r>
      <w:r w:rsidRPr="0086435C">
        <w:rPr>
          <w:i/>
        </w:rPr>
        <w:t>Efficient search for diverse coherent explanations</w:t>
      </w:r>
      <w:r w:rsidRPr="0086435C">
        <w:t>. 2019.</w:t>
      </w:r>
    </w:p>
    <w:p w14:paraId="4A28CA3C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9.</w:t>
      </w:r>
      <w:r w:rsidRPr="0086435C">
        <w:tab/>
        <w:t xml:space="preserve">Guidotti, R., et al., </w:t>
      </w:r>
      <w:r w:rsidRPr="0086435C">
        <w:rPr>
          <w:i/>
        </w:rPr>
        <w:t>Factual and Counterfactual Explanations for Black Box Decision Making.</w:t>
      </w:r>
      <w:r w:rsidRPr="0086435C">
        <w:t xml:space="preserve"> IEEE Intelligent Systems, 2019. </w:t>
      </w:r>
      <w:r w:rsidRPr="0086435C">
        <w:rPr>
          <w:b/>
        </w:rPr>
        <w:t>34</w:t>
      </w:r>
      <w:r w:rsidRPr="0086435C">
        <w:t>(6): p. 14-23.</w:t>
      </w:r>
    </w:p>
    <w:p w14:paraId="3BEAC21D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10.</w:t>
      </w:r>
      <w:r w:rsidRPr="0086435C">
        <w:tab/>
        <w:t xml:space="preserve">Moore, J., N. Hammerla, and C. Watkins, </w:t>
      </w:r>
      <w:r w:rsidRPr="0086435C">
        <w:rPr>
          <w:i/>
        </w:rPr>
        <w:t>Explaining deep learning models with constrained adversarial examples</w:t>
      </w:r>
      <w:r w:rsidRPr="0086435C">
        <w:t>. 2019. p. 43-56.</w:t>
      </w:r>
    </w:p>
    <w:p w14:paraId="23CA672F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lastRenderedPageBreak/>
        <w:t>11.</w:t>
      </w:r>
      <w:r w:rsidRPr="0086435C">
        <w:tab/>
        <w:t xml:space="preserve">Ramon, Y., et al., </w:t>
      </w:r>
      <w:r w:rsidRPr="0086435C">
        <w:rPr>
          <w:i/>
        </w:rPr>
        <w:t>A comparison of instance-level counterfactual explanation algorithms for behavioral and textual data: SEDC, LIME-C and SHAP-C.</w:t>
      </w:r>
      <w:r w:rsidRPr="0086435C">
        <w:t xml:space="preserve"> Advances in Data Analysis and Classification, 2020. </w:t>
      </w:r>
      <w:r w:rsidRPr="0086435C">
        <w:rPr>
          <w:b/>
        </w:rPr>
        <w:t>14</w:t>
      </w:r>
      <w:r w:rsidRPr="0086435C">
        <w:t>(4): p. 801-819.</w:t>
      </w:r>
    </w:p>
    <w:p w14:paraId="4420E73C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12.</w:t>
      </w:r>
      <w:r w:rsidRPr="0086435C">
        <w:tab/>
        <w:t xml:space="preserve">Wachter, S., B. Mittelstadt, and C. Russell, </w:t>
      </w:r>
      <w:r w:rsidRPr="0086435C">
        <w:rPr>
          <w:i/>
        </w:rPr>
        <w:t>Counterfactual Explanations Without Opening the Black Box: Automated Decisions and the GDPR.</w:t>
      </w:r>
      <w:r w:rsidRPr="0086435C">
        <w:t xml:space="preserve"> Harvard journal of law &amp; technology, 2018. </w:t>
      </w:r>
      <w:r w:rsidRPr="0086435C">
        <w:rPr>
          <w:b/>
        </w:rPr>
        <w:t>31</w:t>
      </w:r>
      <w:r w:rsidRPr="0086435C">
        <w:t>: p. 841-887.</w:t>
      </w:r>
    </w:p>
    <w:p w14:paraId="531964F8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13.</w:t>
      </w:r>
      <w:r w:rsidRPr="0086435C">
        <w:tab/>
        <w:t xml:space="preserve">Grath, R.M., et al., </w:t>
      </w:r>
      <w:r w:rsidRPr="0086435C">
        <w:rPr>
          <w:i/>
        </w:rPr>
        <w:t>Interpretable Credit Application Predictions With Counterfactual Explanations.</w:t>
      </w:r>
      <w:r w:rsidRPr="0086435C">
        <w:t xml:space="preserve"> ArXiv, 2018. </w:t>
      </w:r>
      <w:r w:rsidRPr="0086435C">
        <w:rPr>
          <w:b/>
        </w:rPr>
        <w:t>abs/1811.05245</w:t>
      </w:r>
      <w:r w:rsidRPr="0086435C">
        <w:t>.</w:t>
      </w:r>
    </w:p>
    <w:p w14:paraId="4FA75999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14.</w:t>
      </w:r>
      <w:r w:rsidRPr="0086435C">
        <w:tab/>
        <w:t xml:space="preserve">Dandl, S., et al. </w:t>
      </w:r>
      <w:r w:rsidRPr="0086435C">
        <w:rPr>
          <w:i/>
        </w:rPr>
        <w:t>Multi-Objective Counterfactual Explanations</w:t>
      </w:r>
      <w:r w:rsidRPr="0086435C">
        <w:t xml:space="preserve">. in </w:t>
      </w:r>
      <w:r w:rsidRPr="0086435C">
        <w:rPr>
          <w:i/>
        </w:rPr>
        <w:t>Parallel Problem Solving from Nature – PPSN XVI</w:t>
      </w:r>
      <w:r w:rsidRPr="0086435C">
        <w:t>. 2020. Cham: Springer International Publishing.</w:t>
      </w:r>
    </w:p>
    <w:p w14:paraId="445011F3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15.</w:t>
      </w:r>
      <w:r w:rsidRPr="0086435C">
        <w:tab/>
        <w:t xml:space="preserve">Poyiadzi, R., et al., </w:t>
      </w:r>
      <w:r w:rsidRPr="0086435C">
        <w:rPr>
          <w:i/>
        </w:rPr>
        <w:t>FACE: Feasible and Actionable Counterfactual Explanations</w:t>
      </w:r>
      <w:r w:rsidRPr="0086435C">
        <w:t>. 2020. 344-350.</w:t>
      </w:r>
    </w:p>
    <w:p w14:paraId="3B7EF1CD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16.</w:t>
      </w:r>
      <w:r w:rsidRPr="0086435C">
        <w:tab/>
        <w:t xml:space="preserve">Gomez, O., et al. </w:t>
      </w:r>
      <w:r w:rsidRPr="0086435C">
        <w:rPr>
          <w:i/>
        </w:rPr>
        <w:t>ViCE</w:t>
      </w:r>
      <w:r w:rsidRPr="0086435C">
        <w:t>. 2020.</w:t>
      </w:r>
    </w:p>
    <w:p w14:paraId="7C7D48C4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17.</w:t>
      </w:r>
      <w:r w:rsidRPr="0086435C">
        <w:tab/>
        <w:t xml:space="preserve">Mothilal, R.K., A. Sharma, and C. Tan. </w:t>
      </w:r>
      <w:r w:rsidRPr="0086435C">
        <w:rPr>
          <w:i/>
        </w:rPr>
        <w:t>Explaining machine learning classifiers through diverse counterfactual explanations</w:t>
      </w:r>
      <w:r w:rsidRPr="0086435C">
        <w:t>. 2020.</w:t>
      </w:r>
    </w:p>
    <w:p w14:paraId="42480ED1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18.</w:t>
      </w:r>
      <w:r w:rsidRPr="0086435C">
        <w:tab/>
        <w:t xml:space="preserve">Keane, M. and B. Smyth, </w:t>
      </w:r>
      <w:r w:rsidRPr="0086435C">
        <w:rPr>
          <w:i/>
        </w:rPr>
        <w:t>Good Counterfactuals and Where to Find Them: A Case-Based Technique for Generating Counterfactuals for Explainable AI (XAI)</w:t>
      </w:r>
      <w:r w:rsidRPr="0086435C">
        <w:t>. 2020.</w:t>
      </w:r>
    </w:p>
    <w:p w14:paraId="3516C9AE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19.</w:t>
      </w:r>
      <w:r w:rsidRPr="0086435C">
        <w:tab/>
        <w:t xml:space="preserve">Karimi, A.-H., et al. </w:t>
      </w:r>
      <w:r w:rsidRPr="0086435C">
        <w:rPr>
          <w:i/>
        </w:rPr>
        <w:t>Model-agnostic counterfactual explanations for consequential decisions</w:t>
      </w:r>
      <w:r w:rsidRPr="0086435C">
        <w:t xml:space="preserve">. in </w:t>
      </w:r>
      <w:r w:rsidRPr="0086435C">
        <w:rPr>
          <w:i/>
        </w:rPr>
        <w:t>International Conference on Artificial Intelligence and Statistics</w:t>
      </w:r>
      <w:r w:rsidRPr="0086435C">
        <w:t>. 2020. PMLR.</w:t>
      </w:r>
    </w:p>
    <w:p w14:paraId="0967FB62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20.</w:t>
      </w:r>
      <w:r w:rsidRPr="0086435C">
        <w:tab/>
        <w:t xml:space="preserve">Schleich, M., et al., </w:t>
      </w:r>
      <w:r w:rsidRPr="0086435C">
        <w:rPr>
          <w:i/>
        </w:rPr>
        <w:t>GeCo: Quality Counterfactual Explanations in Real Time</w:t>
      </w:r>
      <w:r w:rsidRPr="0086435C">
        <w:t>. 2021.</w:t>
      </w:r>
    </w:p>
    <w:p w14:paraId="7154532D" w14:textId="77777777" w:rsidR="0086435C" w:rsidRPr="0086435C" w:rsidRDefault="0086435C" w:rsidP="0086435C">
      <w:pPr>
        <w:pStyle w:val="EndNoteBibliography"/>
        <w:spacing w:after="0"/>
        <w:ind w:left="720" w:hanging="720"/>
      </w:pPr>
      <w:r w:rsidRPr="0086435C">
        <w:t>21.</w:t>
      </w:r>
      <w:r w:rsidRPr="0086435C">
        <w:tab/>
        <w:t xml:space="preserve">Laugel, T., et al., </w:t>
      </w:r>
      <w:r w:rsidRPr="0086435C">
        <w:rPr>
          <w:i/>
        </w:rPr>
        <w:t>Unjustified Classification Regions and Counterfactual Explanations in Machine Learning</w:t>
      </w:r>
      <w:r w:rsidRPr="0086435C">
        <w:t>. 2020. p. 37-54.</w:t>
      </w:r>
    </w:p>
    <w:p w14:paraId="28E6CAD2" w14:textId="77777777" w:rsidR="0086435C" w:rsidRPr="0086435C" w:rsidRDefault="0086435C" w:rsidP="0086435C">
      <w:pPr>
        <w:pStyle w:val="EndNoteBibliography"/>
        <w:ind w:left="720" w:hanging="720"/>
      </w:pPr>
      <w:r w:rsidRPr="0086435C">
        <w:t>22.</w:t>
      </w:r>
      <w:r w:rsidRPr="0086435C">
        <w:tab/>
        <w:t xml:space="preserve">Verma, S., J.P. Dickerson, and K. Hines, </w:t>
      </w:r>
      <w:r w:rsidRPr="0086435C">
        <w:rPr>
          <w:i/>
        </w:rPr>
        <w:t>Counterfactual Explanations for Machine Learning: A Review.</w:t>
      </w:r>
      <w:r w:rsidRPr="0086435C">
        <w:t xml:space="preserve"> ArXiv, 2020. </w:t>
      </w:r>
      <w:r w:rsidRPr="0086435C">
        <w:rPr>
          <w:b/>
        </w:rPr>
        <w:t>abs/2010.10596</w:t>
      </w:r>
      <w:r w:rsidRPr="0086435C">
        <w:t>.</w:t>
      </w:r>
    </w:p>
    <w:p w14:paraId="5923D8D3" w14:textId="066341FA" w:rsidR="00EE6E83" w:rsidRPr="002D261F" w:rsidRDefault="00EE6E83" w:rsidP="00EE6E83">
      <w:pPr>
        <w:rPr>
          <w:lang w:val="en-US"/>
        </w:rPr>
      </w:pPr>
      <w:r w:rsidRPr="002D261F">
        <w:rPr>
          <w:lang w:val="en-US"/>
        </w:rPr>
        <w:fldChar w:fldCharType="end"/>
      </w:r>
    </w:p>
    <w:sectPr w:rsidR="00EE6E83" w:rsidRPr="002D2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1B5D"/>
    <w:multiLevelType w:val="hybridMultilevel"/>
    <w:tmpl w:val="172093E8"/>
    <w:lvl w:ilvl="0" w:tplc="14241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09B4"/>
    <w:multiLevelType w:val="hybridMultilevel"/>
    <w:tmpl w:val="AC98E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3EAE"/>
    <w:multiLevelType w:val="hybridMultilevel"/>
    <w:tmpl w:val="E8BC39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E1C78"/>
    <w:multiLevelType w:val="hybridMultilevel"/>
    <w:tmpl w:val="1D989B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516F1"/>
    <w:multiLevelType w:val="hybridMultilevel"/>
    <w:tmpl w:val="94DEB4FC"/>
    <w:lvl w:ilvl="0" w:tplc="4A2CFB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91EC8"/>
    <w:multiLevelType w:val="hybridMultilevel"/>
    <w:tmpl w:val="D0CCAA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D3471"/>
    <w:multiLevelType w:val="hybridMultilevel"/>
    <w:tmpl w:val="706A2192"/>
    <w:lvl w:ilvl="0" w:tplc="481CA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8282C"/>
    <w:multiLevelType w:val="hybridMultilevel"/>
    <w:tmpl w:val="4BFA41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81684"/>
    <w:multiLevelType w:val="hybridMultilevel"/>
    <w:tmpl w:val="E1E6DF1A"/>
    <w:lvl w:ilvl="0" w:tplc="370E6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D353F"/>
    <w:multiLevelType w:val="hybridMultilevel"/>
    <w:tmpl w:val="50788FCC"/>
    <w:lvl w:ilvl="0" w:tplc="8294EE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90BB7"/>
    <w:multiLevelType w:val="hybridMultilevel"/>
    <w:tmpl w:val="46D6E56E"/>
    <w:lvl w:ilvl="0" w:tplc="5B5EB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656F6"/>
    <w:multiLevelType w:val="hybridMultilevel"/>
    <w:tmpl w:val="EC9A73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455F4"/>
    <w:multiLevelType w:val="hybridMultilevel"/>
    <w:tmpl w:val="1E3EA6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A06BB"/>
    <w:multiLevelType w:val="hybridMultilevel"/>
    <w:tmpl w:val="45B47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A0335"/>
    <w:multiLevelType w:val="hybridMultilevel"/>
    <w:tmpl w:val="1B4453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0"/>
  </w:num>
  <w:num w:numId="5">
    <w:abstractNumId w:val="9"/>
  </w:num>
  <w:num w:numId="6">
    <w:abstractNumId w:val="12"/>
  </w:num>
  <w:num w:numId="7">
    <w:abstractNumId w:val="4"/>
  </w:num>
  <w:num w:numId="8">
    <w:abstractNumId w:val="1"/>
  </w:num>
  <w:num w:numId="9">
    <w:abstractNumId w:val="14"/>
  </w:num>
  <w:num w:numId="10">
    <w:abstractNumId w:val="5"/>
  </w:num>
  <w:num w:numId="11">
    <w:abstractNumId w:val="3"/>
  </w:num>
  <w:num w:numId="12">
    <w:abstractNumId w:val="11"/>
  </w:num>
  <w:num w:numId="13">
    <w:abstractNumId w:val="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22005xv5srwpxeed275s99yfvez9tfr995s&quot;&gt;thesis_library&lt;record-ids&gt;&lt;item&gt;2&lt;/item&gt;&lt;item&gt;22&lt;/item&gt;&lt;item&gt;74&lt;/item&gt;&lt;item&gt;99&lt;/item&gt;&lt;item&gt;100&lt;/item&gt;&lt;item&gt;102&lt;/item&gt;&lt;item&gt;103&lt;/item&gt;&lt;item&gt;104&lt;/item&gt;&lt;item&gt;111&lt;/item&gt;&lt;item&gt;164&lt;/item&gt;&lt;item&gt;166&lt;/item&gt;&lt;item&gt;168&lt;/item&gt;&lt;item&gt;171&lt;/item&gt;&lt;item&gt;172&lt;/item&gt;&lt;item&gt;174&lt;/item&gt;&lt;item&gt;188&lt;/item&gt;&lt;item&gt;189&lt;/item&gt;&lt;item&gt;192&lt;/item&gt;&lt;item&gt;202&lt;/item&gt;&lt;item&gt;204&lt;/item&gt;&lt;item&gt;205&lt;/item&gt;&lt;/record-ids&gt;&lt;/item&gt;&lt;/Libraries&gt;"/>
  </w:docVars>
  <w:rsids>
    <w:rsidRoot w:val="00EE6E83"/>
    <w:rsid w:val="000015B2"/>
    <w:rsid w:val="00011A53"/>
    <w:rsid w:val="00027FB9"/>
    <w:rsid w:val="000311B2"/>
    <w:rsid w:val="00033EF0"/>
    <w:rsid w:val="00035124"/>
    <w:rsid w:val="00035EC2"/>
    <w:rsid w:val="000448B4"/>
    <w:rsid w:val="00047224"/>
    <w:rsid w:val="000509CF"/>
    <w:rsid w:val="00050CB8"/>
    <w:rsid w:val="00062E43"/>
    <w:rsid w:val="000664D4"/>
    <w:rsid w:val="00066BE2"/>
    <w:rsid w:val="0007643F"/>
    <w:rsid w:val="000776F1"/>
    <w:rsid w:val="00084991"/>
    <w:rsid w:val="00086F5A"/>
    <w:rsid w:val="000879DB"/>
    <w:rsid w:val="0009591F"/>
    <w:rsid w:val="0009646E"/>
    <w:rsid w:val="00097A52"/>
    <w:rsid w:val="000A2251"/>
    <w:rsid w:val="000A6BBD"/>
    <w:rsid w:val="000A7CC2"/>
    <w:rsid w:val="000B268D"/>
    <w:rsid w:val="000C2608"/>
    <w:rsid w:val="000C471B"/>
    <w:rsid w:val="000D40BF"/>
    <w:rsid w:val="000E5DCF"/>
    <w:rsid w:val="000F19BF"/>
    <w:rsid w:val="000F24C7"/>
    <w:rsid w:val="00100E8B"/>
    <w:rsid w:val="001165AA"/>
    <w:rsid w:val="00117CF6"/>
    <w:rsid w:val="00123A02"/>
    <w:rsid w:val="001273D2"/>
    <w:rsid w:val="001276AD"/>
    <w:rsid w:val="0013231E"/>
    <w:rsid w:val="00133A4F"/>
    <w:rsid w:val="00134E3D"/>
    <w:rsid w:val="0013557A"/>
    <w:rsid w:val="00136F68"/>
    <w:rsid w:val="0013790A"/>
    <w:rsid w:val="00143044"/>
    <w:rsid w:val="00144F2B"/>
    <w:rsid w:val="00154CF7"/>
    <w:rsid w:val="00165C0E"/>
    <w:rsid w:val="00171F1B"/>
    <w:rsid w:val="00181A79"/>
    <w:rsid w:val="0019011C"/>
    <w:rsid w:val="001968C1"/>
    <w:rsid w:val="001A2C5A"/>
    <w:rsid w:val="001C12D3"/>
    <w:rsid w:val="001C29C6"/>
    <w:rsid w:val="001D1583"/>
    <w:rsid w:val="001D2E8F"/>
    <w:rsid w:val="001D7290"/>
    <w:rsid w:val="001D76EB"/>
    <w:rsid w:val="001E243F"/>
    <w:rsid w:val="001E385B"/>
    <w:rsid w:val="001E3E2E"/>
    <w:rsid w:val="001F12BB"/>
    <w:rsid w:val="001F5774"/>
    <w:rsid w:val="002026A8"/>
    <w:rsid w:val="00236C2D"/>
    <w:rsid w:val="002411C3"/>
    <w:rsid w:val="00243E01"/>
    <w:rsid w:val="002506DD"/>
    <w:rsid w:val="002525CF"/>
    <w:rsid w:val="0025275A"/>
    <w:rsid w:val="00256AA7"/>
    <w:rsid w:val="00261EAE"/>
    <w:rsid w:val="00283CDF"/>
    <w:rsid w:val="00286727"/>
    <w:rsid w:val="00290F64"/>
    <w:rsid w:val="002B024B"/>
    <w:rsid w:val="002B1083"/>
    <w:rsid w:val="002B547E"/>
    <w:rsid w:val="002C0EBF"/>
    <w:rsid w:val="002D261F"/>
    <w:rsid w:val="002D7A30"/>
    <w:rsid w:val="002E06F3"/>
    <w:rsid w:val="002E2901"/>
    <w:rsid w:val="002F0931"/>
    <w:rsid w:val="002F14F0"/>
    <w:rsid w:val="002F726D"/>
    <w:rsid w:val="0030431C"/>
    <w:rsid w:val="003046A1"/>
    <w:rsid w:val="00306D6E"/>
    <w:rsid w:val="00307911"/>
    <w:rsid w:val="00307A81"/>
    <w:rsid w:val="00313F29"/>
    <w:rsid w:val="00321AB8"/>
    <w:rsid w:val="003338F6"/>
    <w:rsid w:val="00340BC5"/>
    <w:rsid w:val="00355580"/>
    <w:rsid w:val="00367677"/>
    <w:rsid w:val="00371E20"/>
    <w:rsid w:val="0038390F"/>
    <w:rsid w:val="0038624D"/>
    <w:rsid w:val="00390A3F"/>
    <w:rsid w:val="003949D6"/>
    <w:rsid w:val="003974A2"/>
    <w:rsid w:val="003A00BD"/>
    <w:rsid w:val="003A6C63"/>
    <w:rsid w:val="003A76C1"/>
    <w:rsid w:val="003C07A7"/>
    <w:rsid w:val="003D01CD"/>
    <w:rsid w:val="003D1C63"/>
    <w:rsid w:val="003E2EC8"/>
    <w:rsid w:val="003E6D9D"/>
    <w:rsid w:val="003F7EB1"/>
    <w:rsid w:val="00403C22"/>
    <w:rsid w:val="0042197B"/>
    <w:rsid w:val="004222CC"/>
    <w:rsid w:val="00424062"/>
    <w:rsid w:val="00424535"/>
    <w:rsid w:val="004265DB"/>
    <w:rsid w:val="00434311"/>
    <w:rsid w:val="00450B03"/>
    <w:rsid w:val="00452E5D"/>
    <w:rsid w:val="00454C4A"/>
    <w:rsid w:val="00463B0C"/>
    <w:rsid w:val="004641F7"/>
    <w:rsid w:val="0046659C"/>
    <w:rsid w:val="00467137"/>
    <w:rsid w:val="00475D1D"/>
    <w:rsid w:val="00475E96"/>
    <w:rsid w:val="00487F99"/>
    <w:rsid w:val="0049214D"/>
    <w:rsid w:val="00493732"/>
    <w:rsid w:val="004947A7"/>
    <w:rsid w:val="004A7893"/>
    <w:rsid w:val="004B2B8D"/>
    <w:rsid w:val="004B3B05"/>
    <w:rsid w:val="004E6856"/>
    <w:rsid w:val="004F339F"/>
    <w:rsid w:val="00505A99"/>
    <w:rsid w:val="00506259"/>
    <w:rsid w:val="00507F05"/>
    <w:rsid w:val="005126A9"/>
    <w:rsid w:val="005147E1"/>
    <w:rsid w:val="005207B0"/>
    <w:rsid w:val="00526ED4"/>
    <w:rsid w:val="00527BF4"/>
    <w:rsid w:val="00530310"/>
    <w:rsid w:val="0053300D"/>
    <w:rsid w:val="005444FB"/>
    <w:rsid w:val="00550541"/>
    <w:rsid w:val="005511C1"/>
    <w:rsid w:val="005535B9"/>
    <w:rsid w:val="00553A69"/>
    <w:rsid w:val="0056706A"/>
    <w:rsid w:val="00575209"/>
    <w:rsid w:val="00575FE0"/>
    <w:rsid w:val="00577137"/>
    <w:rsid w:val="005807D0"/>
    <w:rsid w:val="00585361"/>
    <w:rsid w:val="00590EC0"/>
    <w:rsid w:val="00592CE6"/>
    <w:rsid w:val="00594543"/>
    <w:rsid w:val="005A2969"/>
    <w:rsid w:val="005A6F80"/>
    <w:rsid w:val="005A79CB"/>
    <w:rsid w:val="005B0270"/>
    <w:rsid w:val="005C2A9A"/>
    <w:rsid w:val="005C5157"/>
    <w:rsid w:val="005C669A"/>
    <w:rsid w:val="005C72D4"/>
    <w:rsid w:val="005E584D"/>
    <w:rsid w:val="005F360A"/>
    <w:rsid w:val="005F611F"/>
    <w:rsid w:val="005F72CC"/>
    <w:rsid w:val="006023B6"/>
    <w:rsid w:val="006136EE"/>
    <w:rsid w:val="00617897"/>
    <w:rsid w:val="00621BA5"/>
    <w:rsid w:val="00624593"/>
    <w:rsid w:val="00627B87"/>
    <w:rsid w:val="006406F0"/>
    <w:rsid w:val="006427AD"/>
    <w:rsid w:val="00660638"/>
    <w:rsid w:val="00660E66"/>
    <w:rsid w:val="00671495"/>
    <w:rsid w:val="00675FA5"/>
    <w:rsid w:val="00680144"/>
    <w:rsid w:val="00684334"/>
    <w:rsid w:val="00687082"/>
    <w:rsid w:val="006943CD"/>
    <w:rsid w:val="006945AA"/>
    <w:rsid w:val="006A4DFC"/>
    <w:rsid w:val="006B1D0D"/>
    <w:rsid w:val="006B35C3"/>
    <w:rsid w:val="006B387E"/>
    <w:rsid w:val="006B721A"/>
    <w:rsid w:val="006C2D16"/>
    <w:rsid w:val="006C39A0"/>
    <w:rsid w:val="006D7D8E"/>
    <w:rsid w:val="006E3704"/>
    <w:rsid w:val="006E5ACE"/>
    <w:rsid w:val="006F01DA"/>
    <w:rsid w:val="006F07BB"/>
    <w:rsid w:val="006F33DF"/>
    <w:rsid w:val="00727C95"/>
    <w:rsid w:val="00727E07"/>
    <w:rsid w:val="007355B8"/>
    <w:rsid w:val="0073574B"/>
    <w:rsid w:val="00743044"/>
    <w:rsid w:val="00746F71"/>
    <w:rsid w:val="00747BC2"/>
    <w:rsid w:val="007517D1"/>
    <w:rsid w:val="007548B4"/>
    <w:rsid w:val="007641BF"/>
    <w:rsid w:val="00770FF5"/>
    <w:rsid w:val="00775C78"/>
    <w:rsid w:val="0077606F"/>
    <w:rsid w:val="007937EF"/>
    <w:rsid w:val="007940A2"/>
    <w:rsid w:val="0079508B"/>
    <w:rsid w:val="007A300D"/>
    <w:rsid w:val="007B6A69"/>
    <w:rsid w:val="007D6E54"/>
    <w:rsid w:val="007E79F5"/>
    <w:rsid w:val="007F32F9"/>
    <w:rsid w:val="00803340"/>
    <w:rsid w:val="00803844"/>
    <w:rsid w:val="008158CC"/>
    <w:rsid w:val="00836999"/>
    <w:rsid w:val="00836AD2"/>
    <w:rsid w:val="00844834"/>
    <w:rsid w:val="00852634"/>
    <w:rsid w:val="00857590"/>
    <w:rsid w:val="00857CBB"/>
    <w:rsid w:val="008609F6"/>
    <w:rsid w:val="0086435C"/>
    <w:rsid w:val="00870461"/>
    <w:rsid w:val="008942C8"/>
    <w:rsid w:val="00896FFA"/>
    <w:rsid w:val="008A325F"/>
    <w:rsid w:val="008B1FA6"/>
    <w:rsid w:val="008C4305"/>
    <w:rsid w:val="008C6A9C"/>
    <w:rsid w:val="008D236C"/>
    <w:rsid w:val="008E51B5"/>
    <w:rsid w:val="008F0D78"/>
    <w:rsid w:val="008F40FD"/>
    <w:rsid w:val="00900D5D"/>
    <w:rsid w:val="009111A5"/>
    <w:rsid w:val="00912559"/>
    <w:rsid w:val="00916B6A"/>
    <w:rsid w:val="00953E7C"/>
    <w:rsid w:val="009609F8"/>
    <w:rsid w:val="00961A0D"/>
    <w:rsid w:val="00973B81"/>
    <w:rsid w:val="00974782"/>
    <w:rsid w:val="00982E85"/>
    <w:rsid w:val="009A7F1B"/>
    <w:rsid w:val="009B522B"/>
    <w:rsid w:val="009B7C0A"/>
    <w:rsid w:val="009C1545"/>
    <w:rsid w:val="009C2DDF"/>
    <w:rsid w:val="009D12D3"/>
    <w:rsid w:val="009F5BFE"/>
    <w:rsid w:val="009F792F"/>
    <w:rsid w:val="00A11747"/>
    <w:rsid w:val="00A14B3A"/>
    <w:rsid w:val="00A14F2F"/>
    <w:rsid w:val="00A16A70"/>
    <w:rsid w:val="00A17D84"/>
    <w:rsid w:val="00A273B5"/>
    <w:rsid w:val="00A32D66"/>
    <w:rsid w:val="00A33B4F"/>
    <w:rsid w:val="00A33C79"/>
    <w:rsid w:val="00A35A09"/>
    <w:rsid w:val="00A411C5"/>
    <w:rsid w:val="00A452B8"/>
    <w:rsid w:val="00A52321"/>
    <w:rsid w:val="00A54A11"/>
    <w:rsid w:val="00A54B1E"/>
    <w:rsid w:val="00A57DF1"/>
    <w:rsid w:val="00A6060E"/>
    <w:rsid w:val="00A70D82"/>
    <w:rsid w:val="00A920A6"/>
    <w:rsid w:val="00A9347E"/>
    <w:rsid w:val="00A96DBE"/>
    <w:rsid w:val="00AA2D37"/>
    <w:rsid w:val="00AB0976"/>
    <w:rsid w:val="00AB147D"/>
    <w:rsid w:val="00AB3905"/>
    <w:rsid w:val="00AB5BC9"/>
    <w:rsid w:val="00AC4700"/>
    <w:rsid w:val="00AC6E72"/>
    <w:rsid w:val="00AD0C6A"/>
    <w:rsid w:val="00AD1359"/>
    <w:rsid w:val="00B008FF"/>
    <w:rsid w:val="00B14D2E"/>
    <w:rsid w:val="00B22112"/>
    <w:rsid w:val="00B2499E"/>
    <w:rsid w:val="00B2662F"/>
    <w:rsid w:val="00B40336"/>
    <w:rsid w:val="00B41424"/>
    <w:rsid w:val="00B50397"/>
    <w:rsid w:val="00B5444E"/>
    <w:rsid w:val="00B60705"/>
    <w:rsid w:val="00B60914"/>
    <w:rsid w:val="00B91BC1"/>
    <w:rsid w:val="00BA060B"/>
    <w:rsid w:val="00BA123D"/>
    <w:rsid w:val="00BC7EFE"/>
    <w:rsid w:val="00BE042E"/>
    <w:rsid w:val="00BE3191"/>
    <w:rsid w:val="00BE36F7"/>
    <w:rsid w:val="00BE6554"/>
    <w:rsid w:val="00BE7BB5"/>
    <w:rsid w:val="00BF2F17"/>
    <w:rsid w:val="00BF75D8"/>
    <w:rsid w:val="00C007BB"/>
    <w:rsid w:val="00C03664"/>
    <w:rsid w:val="00C23AE3"/>
    <w:rsid w:val="00C23D89"/>
    <w:rsid w:val="00C37B04"/>
    <w:rsid w:val="00C42D13"/>
    <w:rsid w:val="00C56E49"/>
    <w:rsid w:val="00C71386"/>
    <w:rsid w:val="00C81B6E"/>
    <w:rsid w:val="00C92367"/>
    <w:rsid w:val="00CB1AF6"/>
    <w:rsid w:val="00CC505E"/>
    <w:rsid w:val="00CD14CF"/>
    <w:rsid w:val="00CD6F39"/>
    <w:rsid w:val="00D042E7"/>
    <w:rsid w:val="00D14242"/>
    <w:rsid w:val="00D1459E"/>
    <w:rsid w:val="00D15EF0"/>
    <w:rsid w:val="00D2455F"/>
    <w:rsid w:val="00D26A85"/>
    <w:rsid w:val="00D27E7B"/>
    <w:rsid w:val="00D307AC"/>
    <w:rsid w:val="00D32618"/>
    <w:rsid w:val="00D415D1"/>
    <w:rsid w:val="00D42617"/>
    <w:rsid w:val="00D63682"/>
    <w:rsid w:val="00D668F9"/>
    <w:rsid w:val="00D73201"/>
    <w:rsid w:val="00D92617"/>
    <w:rsid w:val="00D926ED"/>
    <w:rsid w:val="00D959F8"/>
    <w:rsid w:val="00D96FD0"/>
    <w:rsid w:val="00D97EAC"/>
    <w:rsid w:val="00DA12BE"/>
    <w:rsid w:val="00DA7C6A"/>
    <w:rsid w:val="00DB1BCA"/>
    <w:rsid w:val="00DB29C8"/>
    <w:rsid w:val="00DB5B8E"/>
    <w:rsid w:val="00DC45DE"/>
    <w:rsid w:val="00DC4DEE"/>
    <w:rsid w:val="00DD3F03"/>
    <w:rsid w:val="00DF3F16"/>
    <w:rsid w:val="00DF5B55"/>
    <w:rsid w:val="00DF6F29"/>
    <w:rsid w:val="00E00FC5"/>
    <w:rsid w:val="00E04AF7"/>
    <w:rsid w:val="00E050FE"/>
    <w:rsid w:val="00E066E2"/>
    <w:rsid w:val="00E21E9E"/>
    <w:rsid w:val="00E239C8"/>
    <w:rsid w:val="00E25318"/>
    <w:rsid w:val="00E25817"/>
    <w:rsid w:val="00E3053B"/>
    <w:rsid w:val="00E317E9"/>
    <w:rsid w:val="00E360A8"/>
    <w:rsid w:val="00E55BC3"/>
    <w:rsid w:val="00E56DF4"/>
    <w:rsid w:val="00E648F5"/>
    <w:rsid w:val="00E75C55"/>
    <w:rsid w:val="00E767D6"/>
    <w:rsid w:val="00E85267"/>
    <w:rsid w:val="00E91448"/>
    <w:rsid w:val="00EA0285"/>
    <w:rsid w:val="00EA5BBA"/>
    <w:rsid w:val="00EB3A1D"/>
    <w:rsid w:val="00EB621B"/>
    <w:rsid w:val="00EC3095"/>
    <w:rsid w:val="00EC446D"/>
    <w:rsid w:val="00EE1F6B"/>
    <w:rsid w:val="00EE4DA4"/>
    <w:rsid w:val="00EE6E83"/>
    <w:rsid w:val="00EF5BC2"/>
    <w:rsid w:val="00EF68A0"/>
    <w:rsid w:val="00F04E4F"/>
    <w:rsid w:val="00F10847"/>
    <w:rsid w:val="00F32470"/>
    <w:rsid w:val="00F3261F"/>
    <w:rsid w:val="00F40F33"/>
    <w:rsid w:val="00F42295"/>
    <w:rsid w:val="00F51526"/>
    <w:rsid w:val="00F60101"/>
    <w:rsid w:val="00FA45B6"/>
    <w:rsid w:val="00FB3A1A"/>
    <w:rsid w:val="00FD2084"/>
    <w:rsid w:val="00FF00E8"/>
    <w:rsid w:val="00FF4284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CCA6"/>
  <w15:chartTrackingRefBased/>
  <w15:docId w15:val="{18FC9298-4642-4723-A5DB-B4B95240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6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E6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E1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E6E8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E6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E6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Standaard"/>
    <w:link w:val="EndNoteBibliographyTitleChar"/>
    <w:rsid w:val="00EE6E8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Kop2Char"/>
    <w:link w:val="EndNoteBibliographyTitle"/>
    <w:rsid w:val="00EE6E83"/>
    <w:rPr>
      <w:rFonts w:ascii="Calibri" w:eastAsiaTheme="majorEastAsia" w:hAnsi="Calibri" w:cs="Calibri"/>
      <w:noProof/>
      <w:color w:val="2F5496" w:themeColor="accent1" w:themeShade="BF"/>
      <w:sz w:val="26"/>
      <w:szCs w:val="26"/>
      <w:lang w:val="en-US"/>
    </w:rPr>
  </w:style>
  <w:style w:type="paragraph" w:customStyle="1" w:styleId="EndNoteBibliography">
    <w:name w:val="EndNote Bibliography"/>
    <w:basedOn w:val="Standaard"/>
    <w:link w:val="EndNoteBibliographyChar"/>
    <w:rsid w:val="00EE6E83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Kop2Char"/>
    <w:link w:val="EndNoteBibliography"/>
    <w:rsid w:val="00EE6E83"/>
    <w:rPr>
      <w:rFonts w:ascii="Calibri" w:eastAsiaTheme="majorEastAsia" w:hAnsi="Calibri" w:cs="Calibri"/>
      <w:noProof/>
      <w:color w:val="2F5496" w:themeColor="accent1" w:themeShade="BF"/>
      <w:sz w:val="26"/>
      <w:szCs w:val="26"/>
      <w:lang w:val="en-US"/>
    </w:rPr>
  </w:style>
  <w:style w:type="paragraph" w:styleId="Bijschrift">
    <w:name w:val="caption"/>
    <w:basedOn w:val="Standaard"/>
    <w:next w:val="Standaard"/>
    <w:uiPriority w:val="35"/>
    <w:unhideWhenUsed/>
    <w:qFormat/>
    <w:rsid w:val="004665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086F5A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6945A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945A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16A70"/>
    <w:rPr>
      <w:color w:val="954F72" w:themeColor="followedHyperlink"/>
      <w:u w:val="single"/>
    </w:rPr>
  </w:style>
  <w:style w:type="paragraph" w:styleId="Geenafstand">
    <w:name w:val="No Spacing"/>
    <w:link w:val="GeenafstandChar"/>
    <w:uiPriority w:val="1"/>
    <w:qFormat/>
    <w:rsid w:val="00FA45B6"/>
    <w:pPr>
      <w:spacing w:after="0" w:line="240" w:lineRule="auto"/>
      <w:ind w:firstLine="357"/>
      <w:jc w:val="both"/>
    </w:pPr>
    <w:rPr>
      <w:lang w:val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A45B6"/>
    <w:rPr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EE1F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0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pretml/DiCE/tree/master/dice_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ore1/cadex" TargetMode="External"/><Relationship Id="rId11" Type="http://schemas.openxmlformats.org/officeDocument/2006/relationships/hyperlink" Target="https://github.com/thibaultlaugel/truc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mirhk/m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6391</TotalTime>
  <Pages>7</Pages>
  <Words>5806</Words>
  <Characters>31933</Characters>
  <Application>Microsoft Office Word</Application>
  <DocSecurity>0</DocSecurity>
  <Lines>266</Lines>
  <Paragraphs>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289</cp:revision>
  <dcterms:created xsi:type="dcterms:W3CDTF">2020-11-19T11:39:00Z</dcterms:created>
  <dcterms:modified xsi:type="dcterms:W3CDTF">2021-05-14T17:35:00Z</dcterms:modified>
</cp:coreProperties>
</file>