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4E79"/>
          <w:sz w:val="48"/>
          <w:szCs w:val="48"/>
        </w:rPr>
        <w:t xml:space="preserve">Registro de decisiones</w:t>
      </w:r>
    </w:p>
    <w:p>
      <w:pPr>
        <w:pBdr>
          <w:bottom w:val="single" w:color="1F4E79" w:sz="12" w:space="6"/>
        </w:pBdr>
        <w:spacing w:after="240"/>
      </w:pPr>
      <w:r>
        <w:rPr>
          <w:color w:val="595959"/>
          <w:sz w:val="24"/>
          <w:szCs w:val="24"/>
        </w:rPr>
        <w:t xml:space="preserve">METALFITNESS — Práctico Integrador · Arquitectura de Software 2026 (UCC)</w:t>
      </w:r>
    </w:p>
    <w:p>
      <w:pPr>
        <w:spacing w:after="240"/>
      </w:pPr>
      <w:r>
        <w:rPr>
          <w:i/>
          <w:iCs/>
          <w:color w:val="808080"/>
          <w:sz w:val="18"/>
          <w:szCs w:val="18"/>
        </w:rPr>
        <w:t xml:space="preserve">Última actualización: 8 de octubre de 2026</w:t>
      </w:r>
    </w:p>
    <w:p>
      <w:pPr>
        <w:pStyle w:val="Heading1"/>
      </w:pPr>
      <w:r>
        <w:t xml:space="preserve">Cómo usar este registro</w:t>
      </w:r>
    </w:p>
    <w:p>
      <w:pPr>
        <w:spacing w:after="100"/>
      </w:pPr>
      <w:r>
        <w:t xml:space="preserve">Acá quedan las decisiones de negocio y de alcance que va tomando el grupo. Son la referencia para el SPEC.md, para los prompts que se le pasan a la IA y para la defensa. En el repo existe una copia en texto, docs/DECISIONES.md, que es la que lee la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decisión tiene un identificador (D-NN) que no se reutiliza.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una decisión cambia, no se borra: se marca como reemplazada en "Decisiones reemplazadas" y la nueva indica a cuál reemplaza.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decisiones de arquitectura (D1 a D13 del enunciado) van en los ADR del repo (docs/adr/). Este registro es para las reglas del dominio y las decisiones de alcance.</w:t>
      </w:r>
    </w:p>
    <w:p>
      <w:pPr>
        <w:pStyle w:val="Heading1"/>
      </w:pPr>
      <w:r>
        <w:t xml:space="preserve">Decisiones confirmadas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7"/>
        <w:gridCol w:w="4408"/>
        <w:gridCol w:w="4483"/>
      </w:tblGrid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D-01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Turnos de Musculación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 08:00 a 23:00, con 7 turnos reservables de 2 horas por día: 08:00–10:00, 10:00–12:00, 12:00–14:00, 14:00–16:00, 16:00–18:00, 18:00–20:00 y 20:00–22:00. La última hora de apertura no genera un turno. Máximo 50 alumnos por turno.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D-02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Cancelación de reservas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Hasta 1 hora antes del inicio. Los únicos límites de reservas son D-17 y D-18.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D-03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Membresía para reservar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Tiene que estar vigente al reservar y en la fecha de la clase.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D-05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Reservas sin asistencia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 finalizar la clase, las reservas confirmadas sin ingreso válido (ver D-37) pasan automáticamente a AUSENTE y generan una penalización de hasta -100 puntos, sin saldo negativo. No existe regularización manual.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D-06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Usuarios de los partners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Solo alumnos del gimnasio vinculados al partner.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D-07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Qué ve el partner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saldo total y solo los movimientos que hizo él.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D-08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Límites de los partners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 tope de puntos. Los identificadores de operación se guardan al menos 30 días.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D-09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Alumnos que ve cada profesional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profesor ve a sus asignados y a los que reservaron en sus clases; los planes de entrenamiento, solo de sus asignados. La nutricionista ve solo a sus pacientes.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D-10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Nutricionista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dicta clases ni arma planes de entrenamiento. Carga planes alimenticios, registra mediciones y responde consultas de sus pacientes.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D-11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Avisos al alumno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se le avisa cuando se cancela una clase o su membresía.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D-12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Membresías con fecha pasada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se permiten: la fecha de inicio tiene que ser hoy o posterior.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D-13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Puntos y beneficios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Los puntos no vencen. Los beneficios no tienen stock: siempre hay, van cambiando y los cambia el administrador.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D-14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Puntos por actividad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asignan 500 puntos por cada clase asistida, sin diferenciar la actividad. La inasistencia a una reserva confirmada descuenta hasta 100 puntos, sin saldo negativo.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D-15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Administrador y reservas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Puede cancelar una reserva en nombre de un alumno, pero no reservar por él.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D-16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Consultas a la nutricionista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Una pregunta con una sola respuesta. Para repreguntar, el alumno manda una consulta nueva. Sin adjuntos ni chat en vivo.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D-17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Musculación por día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Máximo 1 turno de Musculación por alumno por día. Si lo cancela, puede reservar otro turno del mismo día.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D-18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Reservas que se pisan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se permiten, ni entre actividades distintas ni con los turnos de Musculación. Una clase que termina a las 20:00 no se pisa con una que empieza a las 20:00.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D-19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Tipos de membresía iniciales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Mensual (1 mes), Trimestral (3 meses) y Anual (12 meses).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D-20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Cancelación de reservas por membresía o baja (arquitectura)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members-service publica los eventos membresia.cancelada y usuario.desactivado; booking-service los consume y cancela las reservas futuras del alumno (RN-04, RN-34). Ver docs/ARCHITECTURE.md §6–7 y ADR-005.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D-22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Nombres de alumnos en los listados (arquitectura)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booking-service le pide a members-service los nombres de los alumnos de una clase. Si members-service no responde, el listado se muestra con los IDs y sin nombres (HU-21). Ver ADR-005.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D-24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Retención de claves de idempotencia API de partners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días (no 24 h), por partner, como fija la RN-27 y D-08. Se guardan también las respuestas de error. Ver docs/contracts/README.md y ADR-008.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D-25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Códigos de error adicionales en la API de partners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Además de los pedidos se agregan BENEFIT_NOT_FOUND (404), BENEFIT_NOT_AVAILABLE (422) e IDEMPOTENCY_IN_PROGRESS (409, reintentable con la misma key).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D-26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Máximo de puntos por operación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 1 a 1.000.000 puntos por operación. Es un límite técnico de validación del contrato, no un tope de negocio (D-08 sigue vigente).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D-27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Ruta pública de la API de partners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 producción: https://&lt;host&gt;/partner-api/v1/... a través del api-gateway. En el mock local: http://localhost:4010/v1/... Contrato en inglés y camelCase (excepción a la convención interna).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D-28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Vinculación de usuarios de partners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Solo el administrador del gimnasio vincula cada alumno con el externalUserId del partner (HU-10). El partner no puede vincular por la API; si opera sobre un usuario no vinculado recibe 404 ACCOUNT_NOT_FOUND.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D-29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Rutas públicas del api-gateway (arquitectura)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Los prefijos públicos van en inglés: /api/v1/auth, users, memberships, activities, classes, bookings, check-ins, benefits, training y nutrition, más /partner-api/v1. El dominio, el código y los campos JSON siguen en español y snake_case. Ver docs/ARCHITECTURE.md §5.2.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D-30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Estructura de los servicios hexagonales (arquitectura)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booking-service y benefits-service usan internal/domain (solo biblioteca estándar, sin tags), internal/application (casos de uso y puertos de entrada), internal/ports (puertos de salida) e internal/adapters (http, postgres...). Lo verifican tests de arquitectura. Ver ADR-002.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D-31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Puntos y penalización por asistencia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 ingreso válido registra la asistencia y suma 500 puntos. Si una reserva confirmada termina sin ingreso válido, pasa a AUSENTE y se descuentan hasta 100 puntos; el saldo nunca queda por debajo de 0. La penalización se aplica una sola vez mediante el evento inasistencia.registrada.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D-32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Avisos de vencimiento de membresía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METALFITNESS envía al alumno un recordatorio 10 días calendario antes del vencimiento y una advertencia durante el día del vencimiento. Los envíos son asíncronos, idempotentes por membresía y tipo, y no dependen del partner externo.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D-33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Asignaciones en training-service sin caché (arquitectura)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Reemplaza D-21. training-service consulta a members-service la asignación vigente antes de cada operación protegida. La autorización no se cachea; si members-service no puede confirmarla, la operación falla cerrada sin modificar datos (RN-30). Ver ADR-007.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D-34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Borde público del despliegue (arquitectura)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Reemplaza D-23. El stack se despliega en una VM con Docker Compose. Traefik es la única entrada pública HTTPS: sirve la SPA y enruta las APIs al api-gateway. Los servicios y la infraestructura quedan en una red privada. El proveedor de nube se fija en D-41. Ver docs/ARCHITECTURE.md §10 y §14.2, y ADR-006.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D-35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Horarios de las clases grupales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Musculación es la única actividad con turnos todo el día (D-01). Las grupales son de 60 minutos, en horarios fijos: GAP martes y jueves 09:00–10:00 y 17:00–18:00; Funcional lunes y miércoles 09:00–10:00 y 15:00–16:00; Strong Nation martes y sábados 09:00–10:00, martes 15:00–16:00 y sábados 12:00–13:00; Zumba lunes y miércoles 10:00–11:00 y 17:00–18:00. Las actividades son 5: Musculación, Funcional, GAP, Strong Nation y Zumba.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D-36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Ingreso al gimnasio por teclado (kiosco)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Reemplaza D-04. En la entrada hay un teclado donde el alumno escribe solo su DNI (sin PIN). Si el DNI es correcto aparece su nombre completo y el estado de su membresía. Membresía vigente y reserva válida (D-37): nombre en verde y "Bienvenido". Membresía vencida: nombre en rojo y la fecha en que venció. Membresía cancelada, sin membresía, usuario inactivo o sin reserva para ese horario: nombre en rojo y el motivo. En rojo no puede pasar. El profesor no registra asistencia manualmente.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D-37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Ventana de asistencia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ingreso cuenta como asistencia si se hace desde 15 minutos antes del inicio de la clase hasta 30 minutos antes de su fin (clase de 1 h: de inicio −15 min a inicio +30 min; turno de Musculación de 2 h: de inicio −15 min a inicio +90 min). Ingreso dentro de la ventana: la reserva pasa a ASISTIDA y suma 500 puntos. Si la ventana se cierra sin ingreso, la reserva pasa a AUSENTE al finalizar la clase y se aplica la penalización (D-05). Ejemplo: reservas en Musculación 08–10 y Zumba 10–11; si llega a las 09:50, Musculación queda AUSENTE (−100) y Zumba ASISTIDA (+500).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D-38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Reingreso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Los puntos van atados a cada reserva y nunca se suman dos veces por la misma. Si el alumno ya tiene la asistencia registrada y vuelve a ingresar el DNI antes de que termine esa clase, pasa en verde con "Bienvenido de nuevo" y sin puntos. Un ingreso posterior para otra reserva suma sus propios 500 puntos.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D-39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Ingreso sin reserva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 la membresía está vigente pero no tiene una reserva con la ventana de asistencia abierta (ni una asistencia en curso, D-38), no puede pasar: nombre en rojo y el motivo "sin reserva para este horario".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D-40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Desafíos bonus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anuncian en la Entrega 2: tests e2e con Playwright de los flujos del SPEC §11 y actualización de la ocupación de las clases en tiempo real (Server-Sent Events).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D-41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Proveedor de nube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Oracle Cloud Free Tier: una VM ARM "Always Free" con Docker Compose (completa D-34).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D-42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Alcance del servicio operativo para la Entrega 2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Seg?n confirmaci?n de la c?tedra comunicada por el equipo el 16/10/2026, benefits-service alcanza tanto para el servicio operativo como para la capacidad propia compartida. Se implementa el flujo de acreditaci?n, saldo, movimientos e idempotencia con PostgreSQL; no se exige un segundo servicio para este requisito de la Entrega 2. Ver docs/PLAN_ENTREGA_2.md ?3.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D-43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Presupuesto inicial de Benefits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Benefits limita su operación de aplicación y PostgreSQL a 4 segundos, o al tiempo restante del contexto si es menor, dentro de los 5 segundos del gateway. Implementado en etapa 3 y validado en etapa 6 con la tolerancia de medición D-56, sin cambiar el presupuesto. Ver ADR-010 v2.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D-44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Errores de borde del contrato de partners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OpenAPI 1.1.0 documenta 502 UNAVAILABLE y 504 TIMEOUT con formato de partners y correlationId; 502 incluye Retry-After. Reintento con la misma Idempotency-Key, sin asumir rollback ante timeout. La traducción del gateway fue implementada en la etapa 3 y validada en la etapa 6. Ver ADR-008 v2.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D-45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Diseño inicial de búsqueda de clases (D6)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OpenSearch con filtros por actividad, fecha, franja y disponibilidad; orden por inicio ascendente; 20 resultados por página por defecto, máximo 100. Objetivo de actualización menor a 2 segundos en condiciones normales. La reserva confirma el cupo en PostgreSQL. Implementación y medición pendientes. Ver ADR-014.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D-46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Diseño inicial de balanceo de Booking (D12)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dos instancias de booking-service detrás de Traefik, con igual peso y sin afinidad de sesión. Health checks cada 5 segundos con timeout de 2 segundos; retirar destinos caídos y reincorporarlos al recuperarse. Implementación y evidencia de distribución pendientes. Ver ADR-012.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D-47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Diseño inicial de resiliencia de Benefits (D10)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el gateway no reintenta escrituras automáticamente; el partner recupera el resultado reintentando con la misma Idempotency-Key. Benefits falla cerrado si PostgreSQL no permite confirmar la operación; un resultado de commit indeterminado no implica rollback. Se conserva el presupuesto D-43 y no se incorpora circuit breaker al flujo inicial Gateway → Benefits. Implementado y validado en etapa 6: 502/503/504, recuperación de respuesta confirmada y ausencia de duplicados. Ver ADR-010 v2 y POSTMORTEM.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D-48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Diseño inicial de observabilidad (D11)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logs JSON y trazas del flujo Gateway → Benefits → PostgreSQL con OpenTelemetry, Collector y Jaeger. Muestreo local 100 %, sin datos personales ni secretos. Métricas de duración, errores y reintentos; alertas iniciales por readiness crítica en 503 durante 30 s o errores 5xx superiores al 1 % durante 5 min con al menos 100 solicitudes. Logs correlacionados y primera traza implementados y exportados en etapa 4. Métricas, alertas y validación de umbrales pendientes. Ver ADR-011 v2.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D-49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 académica y herramientas adicionales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16/10/2026 el equipo aclaró que los conceptos se basan en el teórico y que se permiten herramientas adicionales necesarias y útiles, documentando su finalidad, justificación y vínculo con clase en decisiones y etapas. No atribuirlas al material. Los valores propios se proponen y deciden con el equipo. Conserva las aprobaciones previas; no aprueba automáticamente D13. Ver docs/BASE_TEORICA.md.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D-50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 inicial de capacidad y costos (D13)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usar k6 como herramienta adicional justificada para las pruebas de carga del TP, con 100 cuentas y escalones de 1, 5 y 10 usuarios simultáneos. Objetivos iniciales: cero duplicaciones, p95 de lecturas &lt; 200 ms y escrituras &lt; 500 ms. Comparar al menos dos mejoras y estimar costos con fecha y fuentes. Etapa 7 completó 36 fases locales, sin fallas funcionales ni inconsistencias; objetivos iniciales cumplidos. Experimento sin pausa: contención sobre una cuenta y p95 de 472,24 ms con 10 VU; no es capacidad máxima universal. Alternativas y costos fechados São Paulo USD/ARS documentados. Se prioriza clase y cada excepción se consulta. Ver ADR-013 v2 y ETAPA_7_CAPACIDAD_COSTOS.md.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D-51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Estabilidad de health checks de Booking (D12)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retirar tras 3 fallos consecutivos y reincorporar tras 2 éxitos consecutivos; conservar checks cada 5 s y timeout 2 s. Complementa D-46. Motivo: evitar entradas/salidas repetidas por demoras pasajeras (flapping), según Teórico EN PDF.pdf, p. 87. El teórico recomienda verificaciones consecutivas; los valores 3/2 son propios del proyecto. Costo: mayor demora para detectar caída y recuperación. Ver ADR-012 v2, que reemplaza ADR-012. Soporte de herramienta, implementación y pruebas pendientes.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D-52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Aclaración del saldo ante reversiones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alinear el glosario con RN-22, CA-11.1 y CA-19.2. Sumar todos los importes aplicados, incluido el original REVERTIDO y su compensatorio: +100 y −100 dejan saldo 0. REVERTIDO impide otra reversión; no borra el aporte histórico. Motivo: excluir el original produciría un saldo incorrecto. Fundamento de clase: transacciones locales/invariantes, pp. 27–28, y agregado como límite de consistencia, p. 120; la fórmula viene del SPEC. ADR-004 v2 reemplaza al original. SPEC v0.10 fue revisado e integrado en main mediante el PR #1.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D-53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updatedAt de cuentas sin movimientos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informar fecha de creación hasta el primer movimiento y luego fecha del último movimiento aplicado. Motivo: el campo es obligatorio; usar la hora de consulta inventaría un cambio y omitirlo incumpliría el esquema. Es semántica del contrato, apoyada en estado persistido/invariantes (teórico pp. 27–28 y 120), no una fecha prescrita por clase. OpenAPI 1.1.1 y ADR-008 v3 reemplazan la ambigüedad. Los datos anteriores sin fecha usan inicialmente la fecha de migración.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D-54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Operación idempotente en curso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intentar un bloqueo transaccional de PostgreSQL por partner/clave sin esperar; si está ocupado, devolver 409 IDEMPOTENCY_IN_PROGRESS. Conservar restricción única, huella y resultado durable. Motivo: cumplir la respuesta en curso del contrato sin esperar ni depender de locks en memoria. Fundamento: transacción local e idempotencia, pp. 27–28, 103–105 y 113–115. La función concreta de PostgreSQL es un detalle técnico adicional aprobado, no enseñado por el apunte. Ver ADR-015.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D-55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Historial de trazas de la demostración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Jaeger conserva trazas en memoria; reiniciarlo pierde el historial. Exportar una evidencia sanitizada al repositorio. Evita otra base para la primera traza de Entrega 2. Correlación/trazabilidad: pp. 7–8; Jaeger y su configuración son adicionales, no contenido del teórico. ADR-011 v2; etapa 4.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D-56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Tolerancia de medición del ejercicio de resiliencia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admitir hasta 500 ms adicionales al medir de punta a punta los presupuestos de 4 s en Benefits y 5 s en Gateway. No se cambian timeouts del código ni se define un SLA. Motivo: distinguir transporte y planificación local de la espera protegida. Fundamento: presupuestos y pruebas de fallas, pp. 101–105 y 113–116; el margen es un parámetro propio del ejercicio, no un valor del teórico.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D-57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Datos y ritmo inicial de las pruebas de carga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pausa de 100 ms por iteración y 100 cuentas con 10 movimientos sintéticos iniciales cada una. Cada usuario virtual dispone de una clave ya confirmada para replay. Motivo: comenzar con carga acotada y distinguir replay de contención por una misma clave. Se registra si limita la aplicación o el generador; esta carga no demuestra capacidad máxima. Fundamento: capacidad, latencia y límites, pp. 29–30, 86 y 101–102; son parámetros propios, no valores del teórico. Complementa D-50; etapa 7.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D-58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Región y monedas de la estimación de nube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São Paulo, Brasil (sa-saopaulo-1), como región de referencia de Oracle Cloud; presentar USD y equivalente ARS con tipo de cambio, fecha y fuente explícitos. La región es la ubicación de los servidores, independiente de que el gimnasio opere en Córdoba. Solo estimación: no crea ni contrata recursos. Motivo: cotización reproducible y comprensible para el equipo; disponibilidad, franquicias, impuestos y suficiencia se verifican por separado. Fundamento: criterios de costos/capacidad, pp. 29–30 y 143; región y monedas son elecciones del proyecto.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D-59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Experimento adicional de escrituras sin pausa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16/10/2026, condicionado a que la matriz con pausa no identifique saturación: medir créditos únicos sobre una cuenta, sin pausa, con 1/5/10 VU durante 30 s por nivel. Conservar precarga y calentamiento; ejecutar después y guardar evidencia separada. Motivo: distinguir el techo del generador de un límite del servicio. Sin cambiar código productivo, timeouts, pool ni invariantes. Fundamento: capacidad y límites, pp. 29–30, 86 y 101–102; los niveles y duración son parámetros propios aprobados, no cifras del teórico.</w:t>
            </w:r>
          </w:p>
        </w:tc>
      </w:tr>
      <w:tr>
        <w:trPr>
          <w:tblHeader w:val="false"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D-60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Supuesto de demanda para estimar almacenamiento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Aprobado el 16/10/2026: escenario ilustrativo de 100 cuentas y 2 movimientos diarios por cuenta (200 movimientos/día), usando tamaños medidos. No es demanda real confirmada ni compromiso de capacidad. Conservar movimientos y respuestas idempotentes al menos 30 días; hoy no existe purga automática, por lo que no se presupone una meseta de almacenamiento. Motivo: hacer explícita la demanda de la proyección sin inventar usuarios reales. Fundamento: dimensionamiento y costos, pp. 29–30 y 143; cantidades propias aprobadas para el cálculo de etapa 7.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Decisiones reemplazadas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0"/>
        <w:gridCol w:w="3821"/>
        <w:gridCol w:w="4987"/>
      </w:tblGrid>
      <w:tr>
        <w:trPr>
          <w:tblHeader/>
        </w:trPr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4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D-04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de asistencia (reemplazada)</w:t>
            </w:r>
          </w:p>
        </w:tc>
        <w:tc>
          <w:tcPr>
            <w:tcW w:type="dxa" w:w="4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Reemplazada por D-36 y D-37 el 08/10/2026. Decisión anterior: el alumno ingresaba su DNI durante la clase, el sistema validaba membresía y reserva, registraba la asistencia y sumaba 500 puntos.</w:t>
            </w:r>
          </w:p>
        </w:tc>
      </w:tr>
      <w:tr>
        <w:trPr>
          <w:tblHeader w:val="false"/>
        </w:trPr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D-21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Asignaciones en training-service (reemplazada)</w:t>
            </w:r>
          </w:p>
        </w:tc>
        <w:tc>
          <w:tcPr>
            <w:tcW w:type="dxa" w:w="4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Reemplazada por D-33 el 08/10/2026. Decisión anterior: training-service consultaba a members-service antes de cada operación y cacheaba la asignación durante 60 segundos.</w:t>
            </w:r>
          </w:p>
        </w:tc>
      </w:tr>
      <w:tr>
        <w:trPr>
          <w:tblHeader w:val="false"/>
        </w:trPr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D-23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Despliegue en la nube (reemplazada)</w:t>
            </w:r>
          </w:p>
        </w:tc>
        <w:tc>
          <w:tcPr>
            <w:tcW w:type="dxa" w:w="4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Reemplazada por D-34 el 08/10/2026. Decisión anterior: el stack se desplegaba en una VM con Docker Compose y se describía al api-gateway como único componente expuesto por HTTPS.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Historial de cambios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07/10/2026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Creación del registro con las decisiones D-01 a D-19.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07/10/2026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agregan D-20 a D-23: decisiones de arquitectura aprobadas por el grupo en la etapa 02 (eventos de cancelación, asignaciones, nombres de alumnos y despliegue en la nube).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07/10/2026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agregan D-24 a D-28: decisiones del contrato público de la API de partners (etapa 03).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07/10/2026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agregan D-29 y D-30: rutas del gateway en inglés y estructura de los servicios hexagonales (etapa de esqueleto).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07/10/2026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actualizan D-02, D-04, D-05 y D-14 (ingreso con DNI, cancelación hasta 1 hora antes, penalización por inasistencia). Se agregan D-31 y D-32.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08/10/2026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D-33 reemplaza D-21 y D-34 reemplaza D-23.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08/10/2026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agregan D-35 a D-41: horarios fijos de las grupales, ingreso por teclado en la entrada, ventana de asistencia, reingreso, ingreso sin reserva, bonus y proveedor de nube. D-36 y D-37 reemplazan D-04. Se ajusta D-05 para referirse a la ventana de D-37.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D-42: la c?tedra confirm? que Benefits alcanza para el requisito de servicio operativo y capacidad compartida de la Entrega 2.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agregan D-43 y D-44: límite inicial de 4 s en Benefits y contrato 1.1.0 con errores 502/504 aprobados.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D-45: diseño inicial de búsqueda de clases aprobado (D6 / ADR-014).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D-46: diseño inicial de balanceo de Booking aprobado (D12 / ADR-012).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D-47: diseño inicial de resiliencia de Benefits aprobado (D10 / ADR-010).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D-48: diseño inicial de observabilidad aprobado (D11 / ADR-011).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D-49: criterio académico aclarado; herramientas adicionales permitidas con justificación explícita.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D-50: plan inicial D13 aprobado; se precisa la prioridad del material de clase y la aprobación individual de excepciones.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D-51 y se registra fundamento teórico y motivo de las decisiones de la Entrega 2; ADR-012 v2 conserva la historia del balanceo.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D-52: saldo alineado con RN-22; SPEC v0.10 y ADR-004 v2 preparados, con revisión de PR pendiente.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agregan D-53/D-54 y sus motivos: fecha de cuenta vacía y bloqueo transaccional para operación en curso; avance de etapa 3.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D-55: Jaeger en memoria y evidencia exportada, aprobado para la etapa 4.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D-48: primera traza real y logs exportados en etapa 4; métricas y alertas siguen pendientes.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 D-56: tolerancia de medición del ejercicio de etapa 6; presupuestos funcionales sin cambios.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D-43/D-47: presupuestos y recuperación idempotente validados en etapa 6; postmortem y evidencia exportada.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agregan D-57/D-58: pausa, precarga, región y monedas aprobadas para etapa 7; mediciones en curso.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D-59: experimento adicional sin pausa aprobado si la matriz inicial no identifica saturación; evidencia separada.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D-60: supuesto ilustrativo de 200 movimientos diarios aprobado para proyectar almacenamiento medido.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D-50: etapa 7 completada con 36 fases, invariantes, límite explorado, alternativas y costos; ADR-013 v2 conserva la historia.</w:t>
            </w:r>
          </w:p>
        </w:tc>
      </w:tr>
    </w:tbl>
    <w:p>
      <w:pPr>
        <w:spacing w:after="120"/>
      </w:pPr>
    </w:p>
    <w:p>
      <w:r>
        <w:t>Justificación teórica de las decisiones de la Entrega 2 (páginas del PDF aportado)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7"/>
        <w:gridCol w:w="4408"/>
        <w:gridCol w:w="4483"/>
      </w:tblGrid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 y límites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D-43 / D-47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Presupuestos, cancelación e idempotencia: pp. 101–105 y 113–116.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Acotar esperas y recuperar resultados inciertos sin duplicar puntos. Los 4 s/5 s son parámetros propios, no valores universales de clase.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D-44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Contratos e idempotencia: pp. 138 y 144–148; presupuestos: pp. 101–105.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 contrato debe describir fallas reales del recorrido. Los HTTP/códigos concretos son elección del contrato del proyecto, no prescripción del teórico.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D-45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Búsqueda e índice derivado: pp. 69, 75–77 y 83.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Separar búsqueda de la fuente transaccional y validar cupo al reservar. Páginas 20/100 y objetivo &lt; 2 s son valores propios pendientes de medir.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D-46 / D-51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Balanceo, afinidad y salud: pp. 85–87; flapping: p. 87.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Repartir tráfico entre réplicas aptas sin cambios por fallas aisladas. Traefik es herramienta adicional justificada; 5 s/2 s y conteos 3/2 son parámetros propios.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D-48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Correlación/trazabilidad: pp. 7–8; señales de resiliencia: pp. 111–112.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Reconstruir una petición y localizar fallas. OTel/Collector/Jaeger son instrumentos adicionales, no productos explicados en el apunte; alertas y muestreo son valores propios.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D-49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explícito del equipo sobre el uso del material.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Priorizar lo visto en clase; cada herramienta adicional debe ser necesaria, útil, justificada y consultada. No es un concepto atribuido al PDF.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D-50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Capacidad, latencia y costos: pp. 29–30, 86, 101–102 y 143; pruebas exigidas por el TP.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Medir antes de elegir mejoras o afirmar capacidad. k6 y percentiles son instrumentos adicionales aprobados; cargas y objetivos son propios; evidencia local completada en etapa 7, sin garantía de capacidad ARM.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D-55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Correlación y trazabilidad, pp. 7–8; primera traza exigida en Entrega 2.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Memoria con exportación evita otra base y conserva evidencia revisable. Historial de pantalla volátil; no es retención productiva. Herramientas adicionales aprobadas en D-48.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D-56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Presupuestos y pruebas de fallas, pp. 101–105 y 113–116.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Margen de medición local aprobado para transporte y planificación; no amplía el contexto del negocio, no es SLA ni cifra del teórico.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D-57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Capacidad, latencia y límites: pp. 29–30, 86 y 101–102.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Pausa y precarga controlan el experimento y permiten replay real. Los valores son propios; resultados con pausa no demuestran saturación.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D-58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costos y capacidad: pp. 29–30 y 143.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Fuentes, fecha, región y conversión hacen revisable la estimación. El teórico no prescribe Oracle, São Paulo ni una cotización cambiaria.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D-59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 y límites: pp. 29–30, 86 y 101–102.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Experimento acotado sin pausa para distinguir pacing de contención o recursos. No garantiza encontrar capacidad máxima ni autoriza ampliar concurrencia sin consulta.</w:t>
            </w:r>
          </w:p>
        </w:tc>
      </w:tr>
      <w:tr>
        <w:trPr>
          <w:tblHeader/>
        </w:trPr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D-60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Dimensionamiento y costos: pp. 29–30 y 143.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Relacionar tasa supuesta con bytes medidos y retención efectiva. El supuesto no reemplaza una previsión real ni prueba rendimiento con ese historial.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Registro de decisiones – METALFITNESS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decisiones – METALFITNESS</dc:title>
  <dc:creator>Grupo TP Integrador</dc:creator>
  <cp:lastModifiedBy>Un-named</cp:lastModifiedBy>
  <cp:revision>1</cp:revision>
  <dcterms:created xsi:type="dcterms:W3CDTF">2026-10-08T18:31:14.246Z</dcterms:created>
  <dcterms:modified xsi:type="dcterms:W3CDTF">2026-10-08T18:31:14.255Z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