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758B9" w14:textId="77777777" w:rsidR="005D6E77" w:rsidRPr="003D4B7C" w:rsidRDefault="005D6E77" w:rsidP="005D6E77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3D4B7C">
        <w:rPr>
          <w:rFonts w:ascii="Times New Roman" w:hAnsi="Times New Roman"/>
          <w:sz w:val="28"/>
          <w:szCs w:val="28"/>
        </w:rPr>
        <w:t>УДК 557.114:616-006</w:t>
      </w:r>
    </w:p>
    <w:p w14:paraId="2583A054" w14:textId="2A98F19C" w:rsidR="005D6E77" w:rsidRPr="003D4B7C" w:rsidRDefault="005D6E77" w:rsidP="005D6E77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Студ. </w:t>
      </w:r>
      <w:r w:rsidR="00CF64E8">
        <w:rPr>
          <w:rFonts w:ascii="Times New Roman" w:hAnsi="Times New Roman"/>
          <w:sz w:val="28"/>
          <w:szCs w:val="28"/>
        </w:rPr>
        <w:t>Т. Ф. Марушко</w:t>
      </w:r>
    </w:p>
    <w:p w14:paraId="45AA784D" w14:textId="02EB4A1A" w:rsidR="005D6E77" w:rsidRPr="003D4B7C" w:rsidRDefault="005D6E77" w:rsidP="005D6E77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3D4B7C">
        <w:rPr>
          <w:rFonts w:ascii="Times New Roman" w:hAnsi="Times New Roman"/>
          <w:sz w:val="28"/>
          <w:szCs w:val="28"/>
        </w:rPr>
        <w:t xml:space="preserve">Науч. рук. зав. </w:t>
      </w:r>
      <w:r w:rsidR="009E5EC4" w:rsidRPr="003D4B7C">
        <w:rPr>
          <w:rFonts w:ascii="Times New Roman" w:hAnsi="Times New Roman"/>
          <w:sz w:val="28"/>
          <w:szCs w:val="28"/>
        </w:rPr>
        <w:t>К</w:t>
      </w:r>
      <w:r w:rsidRPr="003D4B7C">
        <w:rPr>
          <w:rFonts w:ascii="Times New Roman" w:hAnsi="Times New Roman"/>
          <w:sz w:val="28"/>
          <w:szCs w:val="28"/>
        </w:rPr>
        <w:t>афедрой</w:t>
      </w:r>
      <w:r w:rsidR="009E5EC4">
        <w:rPr>
          <w:rFonts w:ascii="Times New Roman" w:hAnsi="Times New Roman"/>
          <w:sz w:val="28"/>
          <w:szCs w:val="28"/>
        </w:rPr>
        <w:t xml:space="preserve"> Е. А. Блинова</w:t>
      </w:r>
      <w:r w:rsidR="009E5EC4">
        <w:rPr>
          <w:rFonts w:ascii="Times New Roman" w:hAnsi="Times New Roman"/>
          <w:sz w:val="28"/>
          <w:szCs w:val="28"/>
        </w:rPr>
        <w:br/>
      </w:r>
      <w:r w:rsidR="005F6F3D">
        <w:rPr>
          <w:rFonts w:ascii="Times New Roman" w:hAnsi="Times New Roman"/>
          <w:sz w:val="24"/>
          <w:szCs w:val="24"/>
        </w:rPr>
        <w:t>(кафедра</w:t>
      </w:r>
      <w:r w:rsidR="00CF64E8">
        <w:rPr>
          <w:rFonts w:ascii="Times New Roman" w:hAnsi="Times New Roman"/>
          <w:sz w:val="24"/>
          <w:szCs w:val="24"/>
        </w:rPr>
        <w:t xml:space="preserve"> информационных технологий</w:t>
      </w:r>
      <w:r w:rsidRPr="003D4B7C">
        <w:rPr>
          <w:rFonts w:ascii="Times New Roman" w:hAnsi="Times New Roman"/>
          <w:sz w:val="24"/>
          <w:szCs w:val="24"/>
        </w:rPr>
        <w:t>, БГТУ)</w:t>
      </w:r>
    </w:p>
    <w:p w14:paraId="444DC0A3" w14:textId="5865887B" w:rsidR="00E83D28" w:rsidRPr="00E83D28" w:rsidRDefault="00E83D28" w:rsidP="00E83D28">
      <w:pPr>
        <w:spacing w:before="16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E83D28">
        <w:rPr>
          <w:rFonts w:ascii="Times New Roman" w:hAnsi="Times New Roman"/>
          <w:b/>
          <w:sz w:val="28"/>
          <w:szCs w:val="28"/>
        </w:rPr>
        <w:t>МУЛЬТИМАСТЕР</w:t>
      </w:r>
      <w:r w:rsidRPr="00E83D28">
        <w:rPr>
          <w:rFonts w:ascii="Times New Roman" w:hAnsi="Times New Roman"/>
          <w:b/>
          <w:sz w:val="28"/>
          <w:szCs w:val="28"/>
        </w:rPr>
        <w:noBreakHyphen/>
        <w:t>АРХИТЕКТУРА НА ОСНОВЕ</w:t>
      </w:r>
      <w:r w:rsidRPr="00E83D28">
        <w:rPr>
          <w:rFonts w:ascii="Times New Roman" w:hAnsi="Times New Roman"/>
          <w:b/>
          <w:sz w:val="28"/>
          <w:szCs w:val="28"/>
        </w:rPr>
        <w:t xml:space="preserve"> </w:t>
      </w:r>
      <w:r w:rsidRPr="00E83D28">
        <w:rPr>
          <w:rFonts w:ascii="Times New Roman" w:hAnsi="Times New Roman"/>
          <w:b/>
          <w:sz w:val="28"/>
          <w:szCs w:val="28"/>
        </w:rPr>
        <w:t>POSTGRESQL, CITUS И KUBERNETES</w:t>
      </w:r>
    </w:p>
    <w:p w14:paraId="45B2EEC5" w14:textId="09FD44DB" w:rsidR="00E83D28" w:rsidRPr="00E83D28" w:rsidRDefault="00E83D28" w:rsidP="00E83D28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E83D28">
        <w:rPr>
          <w:rFonts w:ascii="Times New Roman" w:hAnsi="Times New Roman"/>
          <w:color w:val="000000"/>
          <w:sz w:val="28"/>
          <w:szCs w:val="28"/>
          <w:lang w:eastAsia="ru-RU"/>
        </w:rPr>
        <w:t>Рост требований к масштабируемости и отказоустойчивости приводит к тому, что классическая схема с одним ведущим сервером</w:t>
      </w:r>
      <w:r w:rsidRPr="00E83D28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E83D28">
        <w:rPr>
          <w:rFonts w:ascii="Times New Roman" w:hAnsi="Times New Roman"/>
          <w:color w:val="000000"/>
          <w:sz w:val="28"/>
          <w:szCs w:val="28"/>
          <w:lang w:eastAsia="ru-RU"/>
        </w:rPr>
        <w:t>пер</w:t>
      </w:r>
      <w:r>
        <w:rPr>
          <w:rFonts w:ascii="Times New Roman" w:hAnsi="Times New Roman"/>
          <w:color w:val="000000"/>
          <w:sz w:val="28"/>
          <w:szCs w:val="28"/>
          <w:lang w:val="en-US" w:eastAsia="ru-RU"/>
        </w:rPr>
        <w:t>e</w:t>
      </w:r>
      <w:r w:rsidRPr="00E83D28">
        <w:rPr>
          <w:rFonts w:ascii="Times New Roman" w:hAnsi="Times New Roman"/>
          <w:color w:val="000000"/>
          <w:sz w:val="28"/>
          <w:szCs w:val="28"/>
          <w:lang w:eastAsia="ru-RU"/>
        </w:rPr>
        <w:t>стаёт удовлетворять потребност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ям </w:t>
      </w:r>
      <w:r w:rsidRPr="00E83D28">
        <w:rPr>
          <w:rFonts w:ascii="Times New Roman" w:hAnsi="Times New Roman"/>
          <w:color w:val="000000"/>
          <w:sz w:val="28"/>
          <w:szCs w:val="28"/>
          <w:lang w:eastAsia="ru-RU"/>
        </w:rPr>
        <w:t>современных приложений. Одним из решений является мультимастер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E83D28">
        <w:rPr>
          <w:rFonts w:ascii="Times New Roman" w:hAnsi="Times New Roman"/>
          <w:color w:val="000000"/>
          <w:sz w:val="28"/>
          <w:szCs w:val="28"/>
          <w:lang w:eastAsia="ru-RU"/>
        </w:rPr>
        <w:t>подход, при котором несколько узлов могут принимать записи и обеспечивать высокую доступность данных.</w:t>
      </w:r>
    </w:p>
    <w:p w14:paraId="7C7ECB36" w14:textId="77777777" w:rsidR="00E83D28" w:rsidRPr="00E83D28" w:rsidRDefault="00E83D28" w:rsidP="00E83D28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E83D28">
        <w:rPr>
          <w:rFonts w:ascii="Times New Roman" w:hAnsi="Times New Roman"/>
          <w:color w:val="000000"/>
          <w:sz w:val="28"/>
          <w:szCs w:val="28"/>
          <w:lang w:eastAsia="ru-RU"/>
        </w:rPr>
        <w:t>Цель работы — спроектировать и реализовать прототип распределённой СУБД, сочетающий PostgreSQL, расширение Citus и оркестратор Kubernetes, а также оценить возможности такой архитектуры для учебных и прикладных задач. В рамках работы были исследованы механизмы шардирования и репликации данных на уровне Citus, а также логической репликации PostgreSQL, позволяющие организовать мультимастер</w:t>
      </w:r>
      <w:r w:rsidRPr="00E83D28">
        <w:rPr>
          <w:rFonts w:ascii="Times New Roman" w:hAnsi="Times New Roman"/>
          <w:color w:val="000000"/>
          <w:sz w:val="28"/>
          <w:szCs w:val="28"/>
          <w:lang w:eastAsia="ru-RU"/>
        </w:rPr>
        <w:noBreakHyphen/>
        <w:t>взаимодействие нескольких координаторов.</w:t>
      </w:r>
    </w:p>
    <w:p w14:paraId="2746DA0B" w14:textId="54472C4C" w:rsidR="00E83D28" w:rsidRPr="00E83D28" w:rsidRDefault="00E83D28" w:rsidP="00E83D28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E83D28">
        <w:rPr>
          <w:rFonts w:ascii="Times New Roman" w:hAnsi="Times New Roman"/>
          <w:color w:val="000000"/>
          <w:sz w:val="28"/>
          <w:szCs w:val="28"/>
          <w:lang w:eastAsia="ru-RU"/>
        </w:rPr>
        <w:t>На базе локального кластера Kubernetes (Docker Desktop / kind) развёрнут Citus</w:t>
      </w:r>
      <w:r w:rsidRPr="00E83D28">
        <w:rPr>
          <w:rFonts w:ascii="Times New Roman" w:hAnsi="Times New Roman"/>
          <w:color w:val="000000"/>
          <w:sz w:val="28"/>
          <w:szCs w:val="28"/>
          <w:lang w:eastAsia="ru-RU"/>
        </w:rPr>
        <w:noBreakHyphen/>
        <w:t>кластер с двумя координаторами и пятью worker</w:t>
      </w:r>
      <w:r w:rsidRPr="00E83D28">
        <w:rPr>
          <w:rFonts w:ascii="Times New Roman" w:hAnsi="Times New Roman"/>
          <w:color w:val="000000"/>
          <w:sz w:val="28"/>
          <w:szCs w:val="28"/>
          <w:lang w:eastAsia="ru-RU"/>
        </w:rPr>
        <w:noBreakHyphen/>
        <w:t>узлами. Kubernetes обеспечивает изоляцию компонентов, автоматический перезапуск pod’ов и адресацию через сервисы, включая headless</w:t>
      </w:r>
      <w:r w:rsidRPr="00E83D28">
        <w:rPr>
          <w:rFonts w:ascii="Times New Roman" w:hAnsi="Times New Roman"/>
          <w:color w:val="000000"/>
          <w:sz w:val="28"/>
          <w:szCs w:val="28"/>
          <w:lang w:eastAsia="ru-RU"/>
        </w:rPr>
        <w:noBreakHyphen/>
        <w:t>сервисы для адресации worker</w:t>
      </w:r>
      <w:r w:rsidRPr="00E83D28">
        <w:rPr>
          <w:rFonts w:ascii="Times New Roman" w:hAnsi="Times New Roman"/>
          <w:color w:val="000000"/>
          <w:sz w:val="28"/>
          <w:szCs w:val="28"/>
          <w:lang w:eastAsia="ru-RU"/>
        </w:rPr>
        <w:noBreakHyphen/>
        <w:t>узлов по имени pod’а. Регистрация рабочих узлов и управление шардированием выполняются через штатные средства Citus, что позволяет масштабировать объём данных и распределять нагрузку по нескольким серверам.</w:t>
      </w:r>
    </w:p>
    <w:p w14:paraId="6427A28C" w14:textId="77777777" w:rsidR="00E83D28" w:rsidRPr="00E83D28" w:rsidRDefault="00E83D28" w:rsidP="00E83D28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E83D28">
        <w:rPr>
          <w:rFonts w:ascii="Times New Roman" w:hAnsi="Times New Roman"/>
          <w:color w:val="000000"/>
          <w:sz w:val="28"/>
          <w:szCs w:val="28"/>
          <w:lang w:eastAsia="ru-RU"/>
        </w:rPr>
        <w:t>На уровне координаторов реализована логическая репликация PostgreSQL: один координатор публикует изменения, другой подписывается и получает как начальную копию данных, так и последующий поток обновлений. Далее схема расширена до двунаправленной: оба координатора одновременно выступают в роли издателей и подписчиков, при этом используется фильтрация по происхождению транзакций (origin) для предотвращения зацикливания потока изменений. Это позволяет реализовать мультимастер</w:t>
      </w:r>
      <w:r w:rsidRPr="00E83D28">
        <w:rPr>
          <w:rFonts w:ascii="Times New Roman" w:hAnsi="Times New Roman"/>
          <w:color w:val="000000"/>
          <w:sz w:val="28"/>
          <w:szCs w:val="28"/>
          <w:lang w:eastAsia="ru-RU"/>
        </w:rPr>
        <w:noBreakHyphen/>
        <w:t>взаимодействие без появления дубликатов и конфликтов, сохраняя согласованность данных между узлами.</w:t>
      </w:r>
    </w:p>
    <w:p w14:paraId="5F93CACB" w14:textId="6BFD1633" w:rsidR="00E83D28" w:rsidRDefault="00E83D28" w:rsidP="00E83D28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E83D28">
        <w:rPr>
          <w:rFonts w:ascii="Times New Roman" w:hAnsi="Times New Roman"/>
          <w:color w:val="000000"/>
          <w:sz w:val="28"/>
          <w:szCs w:val="28"/>
          <w:lang w:eastAsia="ru-RU"/>
        </w:rPr>
        <w:t>Для координации конкурентных изменений в мультимастер</w:t>
      </w:r>
      <w:r w:rsidRPr="00E83D28">
        <w:rPr>
          <w:rFonts w:ascii="Times New Roman" w:hAnsi="Times New Roman"/>
          <w:color w:val="000000"/>
          <w:sz w:val="28"/>
          <w:szCs w:val="28"/>
          <w:lang w:eastAsia="ru-RU"/>
        </w:rPr>
        <w:noBreakHyphen/>
        <w:t>режиме спроектирован отдельный сервис глобальных блокировок</w:t>
      </w:r>
      <w:r w:rsidR="009E5EC4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E83D28">
        <w:rPr>
          <w:rFonts w:ascii="Times New Roman" w:hAnsi="Times New Roman"/>
          <w:color w:val="000000"/>
          <w:sz w:val="28"/>
          <w:szCs w:val="28"/>
          <w:lang w:eastAsia="ru-RU"/>
        </w:rPr>
        <w:t xml:space="preserve">pg-locker. Он хранит информацию о том, какой координатор в текущий </w:t>
      </w:r>
      <w:r w:rsidRPr="00E83D28">
        <w:rPr>
          <w:rFonts w:ascii="Times New Roman" w:hAnsi="Times New Roman"/>
          <w:color w:val="000000"/>
          <w:sz w:val="28"/>
          <w:szCs w:val="28"/>
          <w:lang w:eastAsia="ru-RU"/>
        </w:rPr>
        <w:lastRenderedPageBreak/>
        <w:t>момент обладает «правом записи» для конкретного логического ключа, и вызывается из координаторов через удалённые обращения. В результате удаётся избежать одновременного изменения одной и той же записи на разных узлах и снизить вероятность конфликтов при репликации.</w:t>
      </w:r>
    </w:p>
    <w:p w14:paraId="055AEF23" w14:textId="6DEA9292" w:rsidR="00EF1E3D" w:rsidRPr="00E83D28" w:rsidRDefault="00EF1E3D" w:rsidP="00E83D28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>*вот этот абзац можно убрать</w:t>
      </w:r>
    </w:p>
    <w:p w14:paraId="43D7CA34" w14:textId="77777777" w:rsidR="00E83D28" w:rsidRPr="00E83D28" w:rsidRDefault="00E83D28" w:rsidP="00E83D28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E83D28">
        <w:rPr>
          <w:rFonts w:ascii="Times New Roman" w:hAnsi="Times New Roman"/>
          <w:color w:val="000000"/>
          <w:sz w:val="28"/>
          <w:szCs w:val="28"/>
          <w:lang w:eastAsia="ru-RU"/>
        </w:rPr>
        <w:t>В ходе работы выявлено ограничение расширения Citus, связанное с отсутствием поддержки обычных триггеров на распределённых таблицах. Это потребовало архитектурного разделения: критичные сущности с бизнес</w:t>
      </w:r>
      <w:r w:rsidRPr="00E83D28">
        <w:rPr>
          <w:rFonts w:ascii="Times New Roman" w:hAnsi="Times New Roman"/>
          <w:color w:val="000000"/>
          <w:sz w:val="28"/>
          <w:szCs w:val="28"/>
          <w:lang w:eastAsia="ru-RU"/>
        </w:rPr>
        <w:noBreakHyphen/>
        <w:t>логикой и глобальными блокировками остаются локальными для координаторов и масштабируются через логическую репликацию, а крупные объёмные таблицы без сложной логики шардируются и реплицируются на уровне Citus. Такой компромисс позволяет одновременно использовать преимущества мультимастера и горизонтального масштабирования, не нарушая ограничений платформы.</w:t>
      </w:r>
    </w:p>
    <w:p w14:paraId="5F39EF99" w14:textId="0F713FD3" w:rsidR="009E5EC4" w:rsidRPr="003D4B7C" w:rsidRDefault="00E83D28" w:rsidP="009E5EC4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E83D28">
        <w:rPr>
          <w:rFonts w:ascii="Times New Roman" w:hAnsi="Times New Roman"/>
          <w:color w:val="000000"/>
          <w:sz w:val="28"/>
          <w:szCs w:val="28"/>
          <w:lang w:eastAsia="ru-RU"/>
        </w:rPr>
        <w:t>Полученный прототип показывает, что комбинация Kubernetes, Citus и PostgreSQL пригодна для построения учебных и экспериментальных мультимастер</w:t>
      </w:r>
      <w:r w:rsidRPr="00E83D28">
        <w:rPr>
          <w:rFonts w:ascii="Times New Roman" w:hAnsi="Times New Roman"/>
          <w:color w:val="000000"/>
          <w:sz w:val="28"/>
          <w:szCs w:val="28"/>
          <w:lang w:eastAsia="ru-RU"/>
        </w:rPr>
        <w:noBreakHyphen/>
        <w:t>систем. Kubernetes отвечает за инфраструктурную надёжность, Citus — за распределённое хранение и репликацию шардов, PostgreSQL — за гибкие механизмы логической репликации. Введение дополнительного сервиса глобальных блокировок расширяет эти возможности и позволяет приблизиться к практической мультимастер</w:t>
      </w:r>
      <w:r w:rsidRPr="00E83D28">
        <w:rPr>
          <w:rFonts w:ascii="Times New Roman" w:hAnsi="Times New Roman"/>
          <w:color w:val="000000"/>
          <w:sz w:val="28"/>
          <w:szCs w:val="28"/>
          <w:lang w:eastAsia="ru-RU"/>
        </w:rPr>
        <w:noBreakHyphen/>
        <w:t>архитектуре, которую можно использовать как основу для дальнейших исследований и развития прикладных систем.</w:t>
      </w:r>
    </w:p>
    <w:p w14:paraId="4CA9AD61" w14:textId="77777777" w:rsidR="009E5EC4" w:rsidRPr="00641F15" w:rsidRDefault="009E5EC4" w:rsidP="009E5EC4">
      <w:pPr>
        <w:spacing w:before="120" w:after="80"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3D4B7C">
        <w:rPr>
          <w:rFonts w:ascii="Times New Roman" w:hAnsi="Times New Roman"/>
          <w:sz w:val="28"/>
          <w:szCs w:val="28"/>
        </w:rPr>
        <w:t>ЛИТЕРАТУРА</w:t>
      </w:r>
    </w:p>
    <w:p w14:paraId="246D3230" w14:textId="77777777" w:rsidR="009E5EC4" w:rsidRPr="009E5EC4" w:rsidRDefault="009E5EC4" w:rsidP="009E5EC4">
      <w:pPr>
        <w:autoSpaceDE w:val="0"/>
        <w:autoSpaceDN w:val="0"/>
        <w:adjustRightInd w:val="0"/>
        <w:spacing w:after="0" w:line="312" w:lineRule="exact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9E5EC4">
        <w:rPr>
          <w:rFonts w:ascii="Times New Roman" w:hAnsi="Times New Roman"/>
          <w:sz w:val="28"/>
          <w:szCs w:val="28"/>
          <w:lang w:val="en-US"/>
        </w:rPr>
        <w:t>1.</w:t>
      </w:r>
      <w:r w:rsidRPr="009E5EC4">
        <w:rPr>
          <w:lang w:val="en-US"/>
        </w:rPr>
        <w:t>  </w:t>
      </w:r>
      <w:r w:rsidRPr="009E5EC4">
        <w:rPr>
          <w:rFonts w:ascii="Times New Roman" w:hAnsi="Times New Roman"/>
          <w:sz w:val="28"/>
          <w:szCs w:val="28"/>
          <w:lang w:val="en-US"/>
        </w:rPr>
        <w:t>Bioactive Polysaccharides/ Shaoping N. [et al] // USA: Elsevier Ltd. – 2017. – P. 8–13, 16–17.</w:t>
      </w:r>
    </w:p>
    <w:p w14:paraId="0C2B2E03" w14:textId="77777777" w:rsidR="009E5EC4" w:rsidRPr="009E5EC4" w:rsidRDefault="009E5EC4" w:rsidP="009E5EC4">
      <w:pPr>
        <w:spacing w:after="0" w:line="312" w:lineRule="exact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9E5EC4">
        <w:rPr>
          <w:rFonts w:ascii="Times New Roman" w:hAnsi="Times New Roman"/>
          <w:sz w:val="28"/>
          <w:szCs w:val="28"/>
          <w:lang w:val="en-US"/>
        </w:rPr>
        <w:t>2.</w:t>
      </w:r>
      <w:bookmarkStart w:id="0" w:name="_Hlk511910535"/>
      <w:r w:rsidRPr="009E5EC4">
        <w:rPr>
          <w:rFonts w:ascii="Times New Roman" w:hAnsi="Times New Roman"/>
          <w:sz w:val="28"/>
          <w:szCs w:val="28"/>
          <w:lang w:val="en-US"/>
        </w:rPr>
        <w:t> </w:t>
      </w:r>
      <w:r w:rsidRPr="009E5EC4">
        <w:rPr>
          <w:lang w:val="en-US"/>
        </w:rPr>
        <w:t> </w:t>
      </w:r>
      <w:r w:rsidRPr="009E5EC4">
        <w:rPr>
          <w:rFonts w:ascii="Times New Roman" w:hAnsi="Times New Roman"/>
          <w:sz w:val="28"/>
          <w:szCs w:val="28"/>
          <w:lang w:val="en-US"/>
        </w:rPr>
        <w:t>Qiong Wan</w:t>
      </w:r>
      <w:bookmarkEnd w:id="0"/>
      <w:r w:rsidRPr="009E5EC4">
        <w:rPr>
          <w:rFonts w:ascii="Times New Roman" w:hAnsi="Times New Roman"/>
          <w:sz w:val="28"/>
          <w:szCs w:val="28"/>
          <w:lang w:val="en-US"/>
        </w:rPr>
        <w:t>g. Bioactive Mushroom Polysaccharides: A Review on Monosaccharide Composition, Biosynthesis and Regulation / Qiong Wang, Feng Wang [et al] // School of Food and Biological Engineering, Jiangsu University, China. – P. 2–5.</w:t>
      </w:r>
    </w:p>
    <w:p w14:paraId="6F90E302" w14:textId="77777777" w:rsidR="009E5EC4" w:rsidRPr="009E5EC4" w:rsidRDefault="009E5EC4" w:rsidP="009E5EC4">
      <w:pPr>
        <w:spacing w:after="0" w:line="312" w:lineRule="exact"/>
        <w:ind w:firstLine="709"/>
        <w:jc w:val="both"/>
        <w:rPr>
          <w:rFonts w:ascii="Times New Roman" w:hAnsi="Times New Roman"/>
          <w:sz w:val="28"/>
          <w:szCs w:val="28"/>
        </w:rPr>
      </w:pPr>
      <w:r w:rsidRPr="009E5EC4">
        <w:rPr>
          <w:rFonts w:ascii="Times New Roman" w:hAnsi="Times New Roman"/>
          <w:sz w:val="28"/>
          <w:szCs w:val="28"/>
          <w:lang w:val="en-US"/>
        </w:rPr>
        <w:t>3.  Borchers A.T. Mushrooms, tumors, and immunity / Borchers A.T., Stern J.S. [et al] // Proc. Soc. Exp. Biol</w:t>
      </w:r>
      <w:r w:rsidRPr="009E5EC4">
        <w:rPr>
          <w:rFonts w:ascii="Times New Roman" w:hAnsi="Times New Roman"/>
          <w:sz w:val="28"/>
          <w:szCs w:val="28"/>
        </w:rPr>
        <w:t xml:space="preserve">. </w:t>
      </w:r>
      <w:r w:rsidRPr="009E5EC4">
        <w:rPr>
          <w:rFonts w:ascii="Times New Roman" w:hAnsi="Times New Roman"/>
          <w:sz w:val="28"/>
          <w:szCs w:val="28"/>
          <w:lang w:val="en-US"/>
        </w:rPr>
        <w:t>Med</w:t>
      </w:r>
      <w:r w:rsidRPr="009E5EC4">
        <w:rPr>
          <w:rFonts w:ascii="Times New Roman" w:hAnsi="Times New Roman"/>
          <w:sz w:val="28"/>
          <w:szCs w:val="28"/>
        </w:rPr>
        <w:t xml:space="preserve">. – 1999. – </w:t>
      </w:r>
      <w:r w:rsidRPr="009E5EC4">
        <w:rPr>
          <w:rFonts w:ascii="Times New Roman" w:hAnsi="Times New Roman"/>
          <w:sz w:val="28"/>
          <w:szCs w:val="28"/>
          <w:lang w:val="en-US"/>
        </w:rPr>
        <w:t>P</w:t>
      </w:r>
      <w:r w:rsidRPr="009E5EC4">
        <w:rPr>
          <w:rFonts w:ascii="Times New Roman" w:hAnsi="Times New Roman"/>
          <w:sz w:val="28"/>
          <w:szCs w:val="28"/>
        </w:rPr>
        <w:t>. 281–293.</w:t>
      </w:r>
    </w:p>
    <w:p w14:paraId="2461AD3A" w14:textId="77777777" w:rsidR="009E5EC4" w:rsidRPr="009E5EC4" w:rsidRDefault="009E5EC4" w:rsidP="009E5EC4">
      <w:pPr>
        <w:spacing w:after="0" w:line="312" w:lineRule="exact"/>
        <w:ind w:firstLine="709"/>
        <w:jc w:val="both"/>
        <w:rPr>
          <w:sz w:val="28"/>
          <w:szCs w:val="28"/>
        </w:rPr>
      </w:pPr>
      <w:r w:rsidRPr="009E5EC4">
        <w:rPr>
          <w:rFonts w:ascii="Times New Roman" w:hAnsi="Times New Roman"/>
          <w:sz w:val="28"/>
          <w:szCs w:val="28"/>
        </w:rPr>
        <w:t>4.</w:t>
      </w:r>
      <w:r w:rsidRPr="009E5EC4">
        <w:rPr>
          <w:rFonts w:ascii="Times New Roman" w:hAnsi="Times New Roman"/>
          <w:sz w:val="28"/>
          <w:szCs w:val="28"/>
          <w:lang w:eastAsia="ru-RU"/>
        </w:rPr>
        <w:t>  Е. П. Феофилова. Мицелиальные грибы как источники получения новых лекарственных препаратов с иммуномодулирующей, противоопухолевой и ранозаживляющей активностями / Е. П. Феофилова; РАН, Ин-т микробиологии – Москва, 2004. №1 : 27–32 с.</w:t>
      </w:r>
    </w:p>
    <w:p w14:paraId="632518A7" w14:textId="647E475A" w:rsidR="003B6D1A" w:rsidRPr="00275073" w:rsidRDefault="009E5EC4" w:rsidP="009E5EC4">
      <w:pPr>
        <w:spacing w:before="120" w:after="80" w:line="240" w:lineRule="auto"/>
        <w:jc w:val="center"/>
        <w:rPr>
          <w:rFonts w:ascii="Times New Roman" w:hAnsi="Times New Roman"/>
          <w:color w:val="222222"/>
          <w:sz w:val="28"/>
          <w:szCs w:val="28"/>
        </w:rPr>
      </w:pPr>
      <w:r>
        <w:rPr>
          <w:rFonts w:ascii="Times New Roman" w:hAnsi="Times New Roman"/>
          <w:color w:val="222222"/>
          <w:sz w:val="28"/>
          <w:szCs w:val="28"/>
        </w:rPr>
        <w:t>*дополнить литературу</w:t>
      </w:r>
    </w:p>
    <w:sectPr w:rsidR="003B6D1A" w:rsidRPr="00275073" w:rsidSect="005D6E77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C73734"/>
    <w:multiLevelType w:val="multilevel"/>
    <w:tmpl w:val="278A248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573317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E77"/>
    <w:rsid w:val="000D2FB1"/>
    <w:rsid w:val="000D3798"/>
    <w:rsid w:val="001027CB"/>
    <w:rsid w:val="001876C3"/>
    <w:rsid w:val="00275073"/>
    <w:rsid w:val="003B6D1A"/>
    <w:rsid w:val="004E74A1"/>
    <w:rsid w:val="005B3DFB"/>
    <w:rsid w:val="005D6E77"/>
    <w:rsid w:val="005F6F3D"/>
    <w:rsid w:val="00673E99"/>
    <w:rsid w:val="006815AC"/>
    <w:rsid w:val="006D6FA6"/>
    <w:rsid w:val="008B513B"/>
    <w:rsid w:val="009823E2"/>
    <w:rsid w:val="009E5EC4"/>
    <w:rsid w:val="00A73FF4"/>
    <w:rsid w:val="00BF21DA"/>
    <w:rsid w:val="00C448CB"/>
    <w:rsid w:val="00C64609"/>
    <w:rsid w:val="00CA24B8"/>
    <w:rsid w:val="00CB02C8"/>
    <w:rsid w:val="00CF64E8"/>
    <w:rsid w:val="00D31945"/>
    <w:rsid w:val="00E83D28"/>
    <w:rsid w:val="00E86C8F"/>
    <w:rsid w:val="00EF1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1E67D"/>
  <w15:docId w15:val="{21ACFCC0-2599-4CA5-BEC9-0040BDEE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6E77"/>
    <w:pPr>
      <w:spacing w:after="160" w:line="259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5D6E77"/>
    <w:rPr>
      <w:rFonts w:cs="Times New Roman"/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5D6E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D6E77"/>
    <w:rPr>
      <w:rFonts w:ascii="Tahoma" w:eastAsia="Calibri" w:hAnsi="Tahoma" w:cs="Tahoma"/>
      <w:sz w:val="16"/>
      <w:szCs w:val="16"/>
    </w:rPr>
  </w:style>
  <w:style w:type="character" w:styleId="a6">
    <w:name w:val="FollowedHyperlink"/>
    <w:basedOn w:val="a0"/>
    <w:uiPriority w:val="99"/>
    <w:semiHidden/>
    <w:unhideWhenUsed/>
    <w:rsid w:val="005F6F3D"/>
    <w:rPr>
      <w:color w:val="800080" w:themeColor="followedHyperlink"/>
      <w:u w:val="single"/>
    </w:rPr>
  </w:style>
  <w:style w:type="paragraph" w:styleId="a7">
    <w:name w:val="List Paragraph"/>
    <w:basedOn w:val="a"/>
    <w:uiPriority w:val="34"/>
    <w:qFormat/>
    <w:rsid w:val="002750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1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1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7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3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649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Тимофей Марушко</cp:lastModifiedBy>
  <cp:revision>7</cp:revision>
  <dcterms:created xsi:type="dcterms:W3CDTF">2025-03-25T10:41:00Z</dcterms:created>
  <dcterms:modified xsi:type="dcterms:W3CDTF">2026-03-25T06:57:00Z</dcterms:modified>
</cp:coreProperties>
</file>