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140" w:lineRule="auto"/>
        <w:rPr/>
      </w:pP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2022-04-05</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bl>
    <w:p w:rsidR="00000000" w:rsidDel="00000000" w:rsidP="00000000" w:rsidRDefault="00000000" w:rsidRPr="00000000" w14:paraId="00000013">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4">
      <w:pPr>
        <w:pStyle w:val="Heading2"/>
        <w:numPr>
          <w:ilvl w:val="0"/>
          <w:numId w:val="4"/>
        </w:numPr>
        <w:ind w:left="360" w:hanging="360"/>
        <w:rPr/>
      </w:pPr>
      <w:r w:rsidDel="00000000" w:rsidR="00000000" w:rsidRPr="00000000">
        <w:rPr>
          <w:rtl w:val="0"/>
        </w:rPr>
        <w:t xml:space="preserve">Version History</w:t>
      </w:r>
    </w:p>
    <w:tbl>
      <w:tblPr>
        <w:tblStyle w:val="Table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F">
      <w:pPr>
        <w:pStyle w:val="Heading2"/>
        <w:numPr>
          <w:ilvl w:val="0"/>
          <w:numId w:val="4"/>
        </w:numPr>
        <w:ind w:left="360" w:hanging="360"/>
        <w:rPr/>
      </w:pPr>
      <w:r w:rsidDel="00000000" w:rsidR="00000000" w:rsidRPr="00000000">
        <w:rPr>
          <w:rtl w:val="0"/>
        </w:rPr>
        <w:t xml:space="preserve">Purpose</w:t>
      </w:r>
    </w:p>
    <w:p w:rsidR="00000000" w:rsidDel="00000000" w:rsidP="00000000" w:rsidRDefault="00000000" w:rsidRPr="00000000" w14:paraId="0000002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21">
      <w:pPr>
        <w:spacing w:after="120" w:before="120" w:line="288" w:lineRule="auto"/>
        <w:rPr>
          <w:rFonts w:ascii="Calibri" w:cs="Calibri" w:eastAsia="Calibri" w:hAnsi="Calibri"/>
          <w:sz w:val="21"/>
          <w:szCs w:val="21"/>
        </w:rPr>
      </w:pPr>
      <w:sdt>
        <w:sdtPr>
          <w:tag w:val="goog_rdk_0"/>
        </w:sdtPr>
        <w:sdtContent>
          <w:commentRangeStart w:id="0"/>
        </w:sdtContent>
      </w:sdt>
      <w:r w:rsidDel="00000000" w:rsidR="00000000" w:rsidRPr="00000000">
        <w:rPr>
          <w:rFonts w:ascii="Calibri" w:cs="Calibri" w:eastAsia="Calibri" w:hAnsi="Calibri"/>
          <w:sz w:val="21"/>
          <w:szCs w:val="21"/>
          <w:rtl w:val="0"/>
        </w:rPr>
        <w:t xml:space="preserve">This document includes an overview of the cybersecurity related activities and measures.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3">
      <w:pPr>
        <w:pStyle w:val="Heading2"/>
        <w:numPr>
          <w:ilvl w:val="0"/>
          <w:numId w:val="4"/>
        </w:numPr>
        <w:ind w:left="360" w:hanging="360"/>
        <w:rPr/>
      </w:pPr>
      <w:r w:rsidDel="00000000" w:rsidR="00000000" w:rsidRPr="00000000">
        <w:rPr>
          <w:rtl w:val="0"/>
        </w:rPr>
        <w:t xml:space="preserve">Identification of the product</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2092"/>
        <w:gridCol w:w="3069"/>
        <w:gridCol w:w="2441"/>
        <w:tblGridChange w:id="0">
          <w:tblGrid>
            <w:gridCol w:w="2030"/>
            <w:gridCol w:w="2092"/>
            <w:gridCol w:w="3069"/>
            <w:gridCol w:w="2441"/>
          </w:tblGrid>
        </w:tblGridChange>
      </w:tblGrid>
      <w:tr>
        <w:trPr>
          <w:cantSplit w:val="0"/>
          <w:tblHeader w:val="1"/>
        </w:trPr>
        <w:tc>
          <w:tcPr>
            <w:shd w:fill="dddddd"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2p2csry" w:id="1"/>
            <w:bookmarkEnd w:id="1"/>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sz w:val="21"/>
                <w:szCs w:val="21"/>
                <w:highlight w:val="yellow"/>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2C">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D">
      <w:pPr>
        <w:pStyle w:val="Heading2"/>
        <w:numPr>
          <w:ilvl w:val="0"/>
          <w:numId w:val="4"/>
        </w:numPr>
        <w:ind w:left="360" w:hanging="360"/>
        <w:rPr/>
      </w:pPr>
      <w:r w:rsidDel="00000000" w:rsidR="00000000" w:rsidRPr="00000000">
        <w:rPr>
          <w:rtl w:val="0"/>
        </w:rPr>
        <w:t xml:space="preserve">System Description and Diagrams</w:t>
      </w:r>
    </w:p>
    <w:p w:rsidR="00000000" w:rsidDel="00000000" w:rsidP="00000000" w:rsidRDefault="00000000" w:rsidRPr="00000000" w14:paraId="0000002E">
      <w:pPr>
        <w:pStyle w:val="Heading3"/>
        <w:numPr>
          <w:ilvl w:val="1"/>
          <w:numId w:val="4"/>
        </w:numPr>
        <w:ind w:left="792" w:hanging="432"/>
        <w:rPr/>
      </w:pPr>
      <w:r w:rsidDel="00000000" w:rsidR="00000000" w:rsidRPr="00000000">
        <w:rPr>
          <w:rtl w:val="0"/>
        </w:rPr>
        <w:t xml:space="preserve">Context of Medical Device</w:t>
      </w:r>
    </w:p>
    <w:p w:rsidR="00000000" w:rsidDel="00000000" w:rsidP="00000000" w:rsidRDefault="00000000" w:rsidRPr="00000000" w14:paraId="0000002F">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Adapt this section as required for the specific medical device.</w:t>
      </w:r>
    </w:p>
    <w:p w:rsidR="00000000" w:rsidDel="00000000" w:rsidP="00000000" w:rsidRDefault="00000000" w:rsidRPr="00000000" w14:paraId="00000030">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here the interoperability and interactions of the product with external systems. Include a schematic overview of interaction with other systems.</w:t>
      </w:r>
    </w:p>
    <w:p w:rsidR="00000000" w:rsidDel="00000000" w:rsidP="00000000" w:rsidRDefault="00000000" w:rsidRPr="00000000" w14:paraId="00000031">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As described in the intended use, the interoperability of our product with external systems is schematized in the figure below.</w:t>
      </w:r>
    </w:p>
    <w:p w:rsidR="00000000" w:rsidDel="00000000" w:rsidP="00000000" w:rsidRDefault="00000000" w:rsidRPr="00000000" w14:paraId="00000032">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3">
      <w:pPr>
        <w:pStyle w:val="Heading3"/>
        <w:numPr>
          <w:ilvl w:val="1"/>
          <w:numId w:val="4"/>
        </w:numPr>
        <w:ind w:left="792" w:hanging="432"/>
        <w:rPr/>
      </w:pPr>
      <w:bookmarkStart w:colFirst="0" w:colLast="0" w:name="_heading=h.6up2dyej2hpv" w:id="2"/>
      <w:bookmarkEnd w:id="2"/>
      <w:r w:rsidDel="00000000" w:rsidR="00000000" w:rsidRPr="00000000">
        <w:rPr>
          <w:rtl w:val="0"/>
        </w:rPr>
        <w:t xml:space="preserve">Interfaces and Access Rights</w:t>
      </w:r>
    </w:p>
    <w:p w:rsidR="00000000" w:rsidDel="00000000" w:rsidP="00000000" w:rsidRDefault="00000000" w:rsidRPr="00000000" w14:paraId="0000003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Adapt this section as required for the specific medical device.</w:t>
      </w:r>
    </w:p>
    <w:p w:rsidR="00000000" w:rsidDel="00000000" w:rsidP="00000000" w:rsidRDefault="00000000" w:rsidRPr="00000000" w14:paraId="00000035">
      <w:pPr>
        <w:pStyle w:val="Heading4"/>
        <w:numPr>
          <w:ilvl w:val="2"/>
          <w:numId w:val="4"/>
        </w:numPr>
        <w:ind w:left="1224" w:hanging="504.00000000000006"/>
        <w:rPr/>
      </w:pPr>
      <w:r w:rsidDel="00000000" w:rsidR="00000000" w:rsidRPr="00000000">
        <w:rPr>
          <w:rtl w:val="0"/>
        </w:rPr>
        <w:t xml:space="preserve">Overview of interfaces</w:t>
      </w:r>
    </w:p>
    <w:p w:rsidR="00000000" w:rsidDel="00000000" w:rsidP="00000000" w:rsidRDefault="00000000" w:rsidRPr="00000000" w14:paraId="0000003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interfaces detailed in the image of the section Context of Medical Devices</w:t>
      </w:r>
    </w:p>
    <w:tbl>
      <w:tblPr>
        <w:tblStyle w:val="Table4"/>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9"/>
        <w:gridCol w:w="1986"/>
        <w:gridCol w:w="3398"/>
        <w:gridCol w:w="3059"/>
        <w:tblGridChange w:id="0">
          <w:tblGrid>
            <w:gridCol w:w="1189"/>
            <w:gridCol w:w="1986"/>
            <w:gridCol w:w="3398"/>
            <w:gridCol w:w="3059"/>
          </w:tblGrid>
        </w:tblGridChange>
      </w:tblGrid>
      <w:tr>
        <w:trPr>
          <w:cantSplit w:val="0"/>
          <w:tblHeader w:val="1"/>
        </w:trPr>
        <w:tc>
          <w:tcPr>
            <w:shd w:fill="dddddd"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w:t>
            </w:r>
          </w:p>
        </w:tc>
        <w:tc>
          <w:tcPr>
            <w:shd w:fill="dddddd" w:val="clear"/>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Type</w:t>
            </w:r>
          </w:p>
        </w:tc>
        <w:tc>
          <w:tcPr>
            <w:shd w:fill="dddddd"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Data</w:t>
            </w:r>
          </w:p>
        </w:tc>
        <w:tc>
          <w:tcPr>
            <w:shd w:fill="dddddd"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Structural and syntactical interoperability</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LIMS interface</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external (inside organization)</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Bidirectional exchange of data from laboratory information management system (LIMS)</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TCP-socket based (port 1024) connection in LAN (wires). </w:t>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Data are exchanged via HL7 V2 (pipe symbols).</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Cloud interface</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external (outside organization)</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Client-Server</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internal</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bl>
    <w:p w:rsidR="00000000" w:rsidDel="00000000" w:rsidP="00000000" w:rsidRDefault="00000000" w:rsidRPr="00000000" w14:paraId="00000048">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9">
      <w:pPr>
        <w:pStyle w:val="Heading4"/>
        <w:numPr>
          <w:ilvl w:val="2"/>
          <w:numId w:val="4"/>
        </w:numPr>
        <w:ind w:left="1224" w:hanging="504.00000000000006"/>
        <w:rPr/>
      </w:pPr>
      <w:r w:rsidDel="00000000" w:rsidR="00000000" w:rsidRPr="00000000">
        <w:rPr>
          <w:rtl w:val="0"/>
        </w:rPr>
        <w:t xml:space="preserve">Authentication Methods</w:t>
      </w:r>
    </w:p>
    <w:p w:rsidR="00000000" w:rsidDel="00000000" w:rsidP="00000000" w:rsidRDefault="00000000" w:rsidRPr="00000000" w14:paraId="0000004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of authentication.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medical device authenticates the external actors as described in the table below.</w:t>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7"/>
        <w:gridCol w:w="8185"/>
        <w:tblGridChange w:id="0">
          <w:tblGrid>
            <w:gridCol w:w="1447"/>
            <w:gridCol w:w="8185"/>
          </w:tblGrid>
        </w:tblGridChange>
      </w:tblGrid>
      <w:tr>
        <w:trPr>
          <w:cantSplit w:val="0"/>
          <w:tblHeader w:val="0"/>
        </w:trPr>
        <w:tc>
          <w:tcPr>
            <w:shd w:fill="dddddd" w:val="clea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Interface Connection</w:t>
            </w:r>
          </w:p>
        </w:tc>
        <w:tc>
          <w:tcPr>
            <w:shd w:fill="dddddd" w:val="clear"/>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Authentication Method</w:t>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3rdcrjn" w:id="3"/>
            <w:bookmarkEnd w:id="3"/>
            <w:r w:rsidDel="00000000" w:rsidR="00000000" w:rsidRPr="00000000">
              <w:rPr>
                <w:rFonts w:ascii="Calibri" w:cs="Calibri" w:eastAsia="Calibri" w:hAnsi="Calibri"/>
                <w:color w:val="00000a"/>
                <w:sz w:val="21"/>
                <w:szCs w:val="21"/>
                <w:rtl w:val="0"/>
              </w:rPr>
              <w:t xml:space="preserve">LIMS interface</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Authentication is not handled via medical device but by external measures: Network traffic is only permitted between white listed IP and MAC addresses.</w:t>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Cloud interface X</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No authentication, as only unidirectional data flow. Data cannot be read or even changed via this interface.</w:t>
            </w:r>
          </w:p>
        </w:tc>
      </w:tr>
      <w:tr>
        <w:trPr>
          <w:cantSplit w:val="0"/>
          <w:trHeight w:val="604" w:hRule="atLeast"/>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Cloud interface Y</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There are only responses to https requests of the medical device. I.e. the medical device has to authenticate itself at the cloud storage but not the cloud storage at the medical device. Incoming http and https requests are only permitted via interface #7.</w:t>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Client Server</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users' (not the client PC's) credentials (password and ID (via ID card)) are transferred to the server. The server forwards these data to an authentication service that grants or declines permissions. This service uses the Auth0 protocol</w:t>
            </w:r>
          </w:p>
        </w:tc>
      </w:tr>
    </w:tbl>
    <w:p w:rsidR="00000000" w:rsidDel="00000000" w:rsidP="00000000" w:rsidRDefault="00000000" w:rsidRPr="00000000" w14:paraId="00000056">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7">
      <w:pPr>
        <w:pStyle w:val="Heading4"/>
        <w:numPr>
          <w:ilvl w:val="2"/>
          <w:numId w:val="4"/>
        </w:numPr>
        <w:ind w:left="1224" w:hanging="504.00000000000006"/>
        <w:rPr/>
      </w:pPr>
      <w:r w:rsidDel="00000000" w:rsidR="00000000" w:rsidRPr="00000000">
        <w:rPr>
          <w:rtl w:val="0"/>
        </w:rPr>
        <w:t xml:space="preserve">Authorization and User Roles</w:t>
      </w:r>
    </w:p>
    <w:p w:rsidR="00000000" w:rsidDel="00000000" w:rsidP="00000000" w:rsidRDefault="00000000" w:rsidRPr="00000000" w14:paraId="0000005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authorized user roles</w:t>
      </w:r>
    </w:p>
    <w:p w:rsidR="00000000" w:rsidDel="00000000" w:rsidP="00000000" w:rsidRDefault="00000000" w:rsidRPr="00000000" w14:paraId="00000059">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has role-based authorization.</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29"/>
        <w:gridCol w:w="850"/>
        <w:gridCol w:w="1609"/>
        <w:gridCol w:w="1624"/>
        <w:gridCol w:w="1872"/>
        <w:gridCol w:w="2048"/>
        <w:tblGridChange w:id="0">
          <w:tblGrid>
            <w:gridCol w:w="1629"/>
            <w:gridCol w:w="850"/>
            <w:gridCol w:w="1609"/>
            <w:gridCol w:w="1624"/>
            <w:gridCol w:w="1872"/>
            <w:gridCol w:w="2048"/>
          </w:tblGrid>
        </w:tblGridChange>
      </w:tblGrid>
      <w:tr>
        <w:trPr>
          <w:cantSplit w:val="0"/>
          <w:tblHeader w:val="1"/>
        </w:trPr>
        <w:tc>
          <w:tcPr>
            <w:shd w:fill="dddddd"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Roles</w:t>
            </w:r>
          </w:p>
        </w:tc>
        <w:tc>
          <w:tcPr>
            <w:shd w:fill="dddddd"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Type</w:t>
            </w:r>
          </w:p>
        </w:tc>
        <w:tc>
          <w:tcPr>
            <w:shd w:fill="dddddd"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Access to medical data</w:t>
            </w:r>
          </w:p>
        </w:tc>
        <w:tc>
          <w:tcPr>
            <w:shd w:fill="dddddd" w:val="clea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Access to technical data</w:t>
            </w:r>
          </w:p>
        </w:tc>
        <w:tc>
          <w:tcPr>
            <w:shd w:fill="dddddd"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Update</w:t>
            </w:r>
          </w:p>
        </w:tc>
        <w:tc>
          <w:tcPr>
            <w:shd w:fill="dddddd"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User Management</w:t>
            </w:r>
          </w:p>
        </w:tc>
      </w:tr>
      <w:tr>
        <w:trPr>
          <w:cantSplit w:val="0"/>
          <w:tblHeader w:val="0"/>
        </w:trPr>
        <w:tc>
          <w:tcPr>
            <w:shd w:fill="f2f2f2"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Role</w:t>
            </w:r>
          </w:p>
        </w:tc>
        <w:tc>
          <w:tcPr>
            <w:shd w:fill="f2f2f2"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Human /System</w:t>
            </w:r>
          </w:p>
        </w:tc>
        <w:tc>
          <w:tcPr>
            <w:shd w:fill="f2f2f2"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E.g. read (incl. search), change and delete medical data. Describe which type of medical data</w:t>
            </w:r>
          </w:p>
        </w:tc>
        <w:tc>
          <w:tcPr>
            <w:shd w:fill="f2f2f2"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E.g. Event and audit logs, change history, performance statistics, etc.</w:t>
            </w:r>
          </w:p>
        </w:tc>
        <w:tc>
          <w:tcPr>
            <w:shd w:fill="f2f2f2"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E.g. Installation, update, upgrade of system including management of cryptographic keys</w:t>
            </w:r>
          </w:p>
        </w:tc>
        <w:tc>
          <w:tcPr>
            <w:shd w:fill="f2f2f2"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libri" w:cs="Calibri" w:eastAsia="Calibri" w:hAnsi="Calibri"/>
                <w:color w:val="434343"/>
                <w:sz w:val="18"/>
                <w:szCs w:val="18"/>
              </w:rPr>
            </w:pPr>
            <w:r w:rsidDel="00000000" w:rsidR="00000000" w:rsidRPr="00000000">
              <w:rPr>
                <w:rFonts w:ascii="Calibri" w:cs="Calibri" w:eastAsia="Calibri" w:hAnsi="Calibri"/>
                <w:color w:val="434343"/>
                <w:sz w:val="18"/>
                <w:szCs w:val="18"/>
                <w:rtl w:val="0"/>
              </w:rPr>
              <w:t xml:space="preserve">E.g. Adding and removing users, granting and revoking specific access rights, setting passwords</w:t>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35nkun2" w:id="4"/>
            <w:bookmarkEnd w:id="4"/>
            <w:r w:rsidDel="00000000" w:rsidR="00000000" w:rsidRPr="00000000">
              <w:rPr>
                <w:rFonts w:ascii="Calibri" w:cs="Calibri" w:eastAsia="Calibri" w:hAnsi="Calibri"/>
                <w:color w:val="00000a"/>
                <w:sz w:val="21"/>
                <w:szCs w:val="21"/>
                <w:rtl w:val="0"/>
              </w:rPr>
              <w:t xml:space="preserve">Healthcare professionals</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Human</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Admin</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Human</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HL7 communication partner</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System</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Support</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Human</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07E">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F">
      <w:pPr>
        <w:pStyle w:val="Heading3"/>
        <w:numPr>
          <w:ilvl w:val="1"/>
          <w:numId w:val="4"/>
        </w:numPr>
        <w:ind w:left="792" w:hanging="432"/>
        <w:rPr/>
      </w:pPr>
      <w:r w:rsidDel="00000000" w:rsidR="00000000" w:rsidRPr="00000000">
        <w:rPr>
          <w:rtl w:val="0"/>
        </w:rPr>
        <w:t xml:space="preserve">Runtime environment</w:t>
      </w:r>
    </w:p>
    <w:p w:rsidR="00000000" w:rsidDel="00000000" w:rsidP="00000000" w:rsidRDefault="00000000" w:rsidRPr="00000000" w14:paraId="00000080">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run-time environment comprises software and hardware that are not part of the medical device but that are required to run the medical device software.</w:t>
      </w:r>
    </w:p>
    <w:p w:rsidR="00000000" w:rsidDel="00000000" w:rsidP="00000000" w:rsidRDefault="00000000" w:rsidRPr="00000000" w14:paraId="00000081">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minimum requirements of the run-time environment These may include:</w:t>
      </w:r>
    </w:p>
    <w:p w:rsidR="00000000" w:rsidDel="00000000" w:rsidP="00000000" w:rsidRDefault="00000000" w:rsidRPr="00000000" w14:paraId="00000082">
      <w:pPr>
        <w:numPr>
          <w:ilvl w:val="0"/>
          <w:numId w:val="2"/>
        </w:numPr>
        <w:pBdr>
          <w:top w:space="0" w:sz="0" w:val="nil"/>
          <w:left w:color="cccccc" w:space="9" w:sz="16" w:val="single"/>
          <w:bottom w:space="0" w:sz="0" w:val="nil"/>
          <w:right w:space="0" w:sz="0" w:val="nil"/>
          <w:between w:space="0" w:sz="0" w:val="nil"/>
        </w:pBdr>
        <w:spacing w:after="120" w:before="240" w:line="288" w:lineRule="auto"/>
        <w:ind w:left="720" w:hanging="360"/>
        <w:rPr>
          <w:rFonts w:ascii="Calibri" w:cs="Calibri" w:eastAsia="Calibri" w:hAnsi="Calibri"/>
          <w:color w:val="00000a"/>
          <w:sz w:val="21"/>
          <w:szCs w:val="21"/>
        </w:rPr>
      </w:pPr>
      <w:r w:rsidDel="00000000" w:rsidR="00000000" w:rsidRPr="00000000">
        <w:rPr>
          <w:rFonts w:ascii="Calibri" w:cs="Calibri" w:eastAsia="Calibri" w:hAnsi="Calibri"/>
          <w:color w:val="666666"/>
          <w:sz w:val="21"/>
          <w:szCs w:val="21"/>
          <w:rtl w:val="0"/>
        </w:rPr>
        <w:t xml:space="preserve">Hardware: RAM, CPU, storage, screen (size, resolution, orientation)</w:t>
      </w:r>
      <w:r w:rsidDel="00000000" w:rsidR="00000000" w:rsidRPr="00000000">
        <w:rPr>
          <w:rtl w:val="0"/>
        </w:rPr>
      </w:r>
    </w:p>
    <w:p w:rsidR="00000000" w:rsidDel="00000000" w:rsidP="00000000" w:rsidRDefault="00000000" w:rsidRPr="00000000" w14:paraId="00000083">
      <w:pPr>
        <w:numPr>
          <w:ilvl w:val="0"/>
          <w:numId w:val="2"/>
        </w:numPr>
        <w:pBdr>
          <w:top w:space="0" w:sz="0" w:val="nil"/>
          <w:left w:color="cccccc" w:space="9" w:sz="16" w:val="single"/>
          <w:bottom w:space="0" w:sz="0" w:val="nil"/>
          <w:right w:space="0" w:sz="0" w:val="nil"/>
          <w:between w:space="0" w:sz="0" w:val="nil"/>
        </w:pBdr>
        <w:spacing w:after="120" w:before="240" w:line="288" w:lineRule="auto"/>
        <w:ind w:left="720" w:hanging="360"/>
        <w:rPr>
          <w:rFonts w:ascii="Calibri" w:cs="Calibri" w:eastAsia="Calibri" w:hAnsi="Calibri"/>
          <w:color w:val="00000a"/>
          <w:sz w:val="21"/>
          <w:szCs w:val="21"/>
        </w:rPr>
      </w:pPr>
      <w:r w:rsidDel="00000000" w:rsidR="00000000" w:rsidRPr="00000000">
        <w:rPr>
          <w:rFonts w:ascii="Calibri" w:cs="Calibri" w:eastAsia="Calibri" w:hAnsi="Calibri"/>
          <w:color w:val="666666"/>
          <w:sz w:val="21"/>
          <w:szCs w:val="21"/>
          <w:rtl w:val="0"/>
        </w:rPr>
        <w:t xml:space="preserve">Software: Operating system (including version), virtualization layers (e.g. virtual machines, .NET, JRE), browsers, firewalls, anti-malware</w:t>
      </w:r>
      <w:r w:rsidDel="00000000" w:rsidR="00000000" w:rsidRPr="00000000">
        <w:rPr>
          <w:rtl w:val="0"/>
        </w:rPr>
      </w:r>
    </w:p>
    <w:p w:rsidR="00000000" w:rsidDel="00000000" w:rsidP="00000000" w:rsidRDefault="00000000" w:rsidRPr="00000000" w14:paraId="00000084">
      <w:pPr>
        <w:numPr>
          <w:ilvl w:val="0"/>
          <w:numId w:val="2"/>
        </w:numPr>
        <w:pBdr>
          <w:top w:space="0" w:sz="0" w:val="nil"/>
          <w:left w:color="cccccc" w:space="9" w:sz="16" w:val="single"/>
          <w:bottom w:space="0" w:sz="0" w:val="nil"/>
          <w:right w:space="0" w:sz="0" w:val="nil"/>
          <w:between w:space="0" w:sz="0" w:val="nil"/>
        </w:pBdr>
        <w:spacing w:after="120" w:before="240" w:line="288" w:lineRule="auto"/>
        <w:ind w:left="720" w:hanging="360"/>
        <w:rPr>
          <w:rFonts w:ascii="Calibri" w:cs="Calibri" w:eastAsia="Calibri" w:hAnsi="Calibri"/>
          <w:color w:val="00000a"/>
          <w:sz w:val="21"/>
          <w:szCs w:val="21"/>
        </w:rPr>
      </w:pPr>
      <w:r w:rsidDel="00000000" w:rsidR="00000000" w:rsidRPr="00000000">
        <w:rPr>
          <w:rFonts w:ascii="Calibri" w:cs="Calibri" w:eastAsia="Calibri" w:hAnsi="Calibri"/>
          <w:color w:val="666666"/>
          <w:sz w:val="21"/>
          <w:szCs w:val="21"/>
          <w:rtl w:val="0"/>
        </w:rPr>
        <w:t xml:space="preserve">Network: Bandwidth, latency, reliability, physical representation (should match "structural interoperability" as specified above)</w:t>
      </w:r>
      <w:r w:rsidDel="00000000" w:rsidR="00000000" w:rsidRPr="00000000">
        <w:rPr>
          <w:rtl w:val="0"/>
        </w:rPr>
      </w:r>
    </w:p>
    <w:p w:rsidR="00000000" w:rsidDel="00000000" w:rsidP="00000000" w:rsidRDefault="00000000" w:rsidRPr="00000000" w14:paraId="00000085">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6">
      <w:pPr>
        <w:pStyle w:val="Heading3"/>
        <w:numPr>
          <w:ilvl w:val="1"/>
          <w:numId w:val="4"/>
        </w:numPr>
        <w:ind w:left="792" w:hanging="432"/>
        <w:rPr/>
      </w:pPr>
      <w:r w:rsidDel="00000000" w:rsidR="00000000" w:rsidRPr="00000000">
        <w:rPr>
          <w:rtl w:val="0"/>
        </w:rPr>
        <w:t xml:space="preserve">System and Software Architecture</w:t>
      </w:r>
    </w:p>
    <w:p w:rsidR="00000000" w:rsidDel="00000000" w:rsidP="00000000" w:rsidRDefault="00000000" w:rsidRPr="00000000" w14:paraId="00000087">
      <w:pPr>
        <w:pStyle w:val="Heading4"/>
        <w:numPr>
          <w:ilvl w:val="2"/>
          <w:numId w:val="4"/>
        </w:numPr>
        <w:ind w:left="1224" w:hanging="504.00000000000006"/>
        <w:rPr/>
      </w:pPr>
      <w:r w:rsidDel="00000000" w:rsidR="00000000" w:rsidRPr="00000000">
        <w:rPr>
          <w:rtl w:val="0"/>
        </w:rPr>
        <w:t xml:space="preserve">Logical View (SOUP components)</w:t>
      </w:r>
    </w:p>
    <w:p w:rsidR="00000000" w:rsidDel="00000000" w:rsidP="00000000" w:rsidRDefault="00000000" w:rsidRPr="00000000" w14:paraId="0000008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Add here a component diagram that reveals all top-level software components and all SOUP/OTS components. The software architecture does not only have to identify the components, but also the interfaces and the interaction of these components.</w:t>
      </w:r>
    </w:p>
    <w:p w:rsidR="00000000" w:rsidDel="00000000" w:rsidP="00000000" w:rsidRDefault="00000000" w:rsidRPr="00000000" w14:paraId="00000089">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List the SOUP/OTS components that are part of the medical device. Alternatively, if already described there, link to the TMP-SW-05 Software Architecture. Describe these components including</w:t>
      </w:r>
    </w:p>
    <w:p w:rsidR="00000000" w:rsidDel="00000000" w:rsidP="00000000" w:rsidRDefault="00000000" w:rsidRPr="00000000" w14:paraId="0000008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SOUP Name:</w:t>
      </w:r>
    </w:p>
    <w:p w:rsidR="00000000" w:rsidDel="00000000" w:rsidP="00000000" w:rsidRDefault="00000000" w:rsidRPr="00000000" w14:paraId="0000008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Version: </w:t>
      </w:r>
    </w:p>
    <w:p w:rsidR="00000000" w:rsidDel="00000000" w:rsidP="00000000" w:rsidRDefault="00000000" w:rsidRPr="00000000" w14:paraId="0000008C">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Manufacturer: </w:t>
      </w:r>
    </w:p>
    <w:p w:rsidR="00000000" w:rsidDel="00000000" w:rsidP="00000000" w:rsidRDefault="00000000" w:rsidRPr="00000000" w14:paraId="0000008D">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Reference to NIST National Vulnerability Database (optional)</w:t>
      </w:r>
    </w:p>
    <w:p w:rsidR="00000000" w:rsidDel="00000000" w:rsidP="00000000" w:rsidRDefault="00000000" w:rsidRPr="00000000" w14:paraId="0000008E">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F">
      <w:pPr>
        <w:pStyle w:val="Heading4"/>
        <w:numPr>
          <w:ilvl w:val="2"/>
          <w:numId w:val="4"/>
        </w:numPr>
        <w:ind w:left="1224" w:hanging="504.00000000000006"/>
        <w:rPr/>
      </w:pPr>
      <w:r w:rsidDel="00000000" w:rsidR="00000000" w:rsidRPr="00000000">
        <w:rPr>
          <w:rtl w:val="0"/>
        </w:rPr>
        <w:t xml:space="preserve">Run-time view</w:t>
      </w:r>
    </w:p>
    <w:p w:rsidR="00000000" w:rsidDel="00000000" w:rsidP="00000000" w:rsidRDefault="00000000" w:rsidRPr="00000000" w14:paraId="00000090">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Add a flow or sequence diagram that illustrates how data are propagated from external interfaces (outside) through the system (via its components) and back to the external interfaces.</w:t>
      </w:r>
    </w:p>
    <w:p w:rsidR="00000000" w:rsidDel="00000000" w:rsidP="00000000" w:rsidRDefault="00000000" w:rsidRPr="00000000" w14:paraId="00000091">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2">
      <w:pPr>
        <w:pStyle w:val="Heading4"/>
        <w:numPr>
          <w:ilvl w:val="2"/>
          <w:numId w:val="4"/>
        </w:numPr>
        <w:ind w:left="1224" w:hanging="504.00000000000006"/>
        <w:rPr/>
      </w:pPr>
      <w:r w:rsidDel="00000000" w:rsidR="00000000" w:rsidRPr="00000000">
        <w:rPr>
          <w:rtl w:val="0"/>
        </w:rPr>
        <w:t xml:space="preserve">IT security-related aspects</w:t>
      </w:r>
    </w:p>
    <w:p w:rsidR="00000000" w:rsidDel="00000000" w:rsidP="00000000" w:rsidRDefault="00000000" w:rsidRPr="00000000" w14:paraId="0000009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18"/>
          <w:szCs w:val="18"/>
        </w:rPr>
      </w:pPr>
      <w:r w:rsidDel="00000000" w:rsidR="00000000" w:rsidRPr="00000000">
        <w:rPr>
          <w:rFonts w:ascii="Calibri" w:cs="Calibri" w:eastAsia="Calibri" w:hAnsi="Calibri"/>
          <w:color w:val="666666"/>
          <w:sz w:val="18"/>
          <w:szCs w:val="18"/>
          <w:rtl w:val="0"/>
        </w:rPr>
        <w:t xml:space="preserve">Describe the Programming language, Type of cryptographic methods/algorithms, Handling of cryptographic assets such as keys, certificates, code, and Secure software updates.</w:t>
      </w:r>
    </w:p>
    <w:p w:rsidR="00000000" w:rsidDel="00000000" w:rsidP="00000000" w:rsidRDefault="00000000" w:rsidRPr="00000000" w14:paraId="0000009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5">
      <w:pPr>
        <w:pStyle w:val="Heading3"/>
        <w:numPr>
          <w:ilvl w:val="0"/>
          <w:numId w:val="4"/>
        </w:numPr>
        <w:ind w:left="360" w:hanging="360"/>
        <w:rPr/>
      </w:pPr>
      <w:r w:rsidDel="00000000" w:rsidR="00000000" w:rsidRPr="00000000">
        <w:rPr>
          <w:rtl w:val="0"/>
        </w:rPr>
        <w:t xml:space="preserve">Risk Management</w:t>
      </w:r>
    </w:p>
    <w:p w:rsidR="00000000" w:rsidDel="00000000" w:rsidP="00000000" w:rsidRDefault="00000000" w:rsidRPr="00000000" w14:paraId="00000096">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risk management process is incorporated into the secure software life cycle.</w:t>
      </w:r>
    </w:p>
    <w:p w:rsidR="00000000" w:rsidDel="00000000" w:rsidP="00000000" w:rsidRDefault="00000000" w:rsidRPr="00000000" w14:paraId="00000097">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8">
      <w:pPr>
        <w:pStyle w:val="Heading3"/>
        <w:numPr>
          <w:ilvl w:val="1"/>
          <w:numId w:val="4"/>
        </w:numPr>
        <w:ind w:left="792" w:hanging="432"/>
        <w:rPr/>
      </w:pPr>
      <w:r w:rsidDel="00000000" w:rsidR="00000000" w:rsidRPr="00000000">
        <w:rPr>
          <w:rtl w:val="0"/>
        </w:rPr>
        <w:t xml:space="preserve">Risk Analysis</w:t>
      </w:r>
    </w:p>
    <w:p w:rsidR="00000000" w:rsidDel="00000000" w:rsidP="00000000" w:rsidRDefault="00000000" w:rsidRPr="00000000" w14:paraId="00000099">
      <w:pPr>
        <w:pStyle w:val="Heading4"/>
        <w:numPr>
          <w:ilvl w:val="2"/>
          <w:numId w:val="4"/>
        </w:numPr>
        <w:ind w:left="1224" w:hanging="504.00000000000006"/>
        <w:rPr/>
      </w:pPr>
      <w:r w:rsidDel="00000000" w:rsidR="00000000" w:rsidRPr="00000000">
        <w:rPr>
          <w:rtl w:val="0"/>
        </w:rPr>
        <w:t xml:space="preserve">Methods</w:t>
      </w:r>
    </w:p>
    <w:p w:rsidR="00000000" w:rsidDel="00000000" w:rsidP="00000000" w:rsidRDefault="00000000" w:rsidRPr="00000000" w14:paraId="0000009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Provide a short summary of different methods and link to the detailed results:</w:t>
      </w:r>
    </w:p>
    <w:p w:rsidR="00000000" w:rsidDel="00000000" w:rsidP="00000000" w:rsidRDefault="00000000" w:rsidRPr="00000000" w14:paraId="0000009B">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threat modeling (including the number of threats before and after mitigation)</w:t>
      </w:r>
    </w:p>
    <w:p w:rsidR="00000000" w:rsidDel="00000000" w:rsidP="00000000" w:rsidRDefault="00000000" w:rsidRPr="00000000" w14:paraId="0000009C">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FMEA (Failure Mode and Effect Analysis) </w:t>
      </w:r>
    </w:p>
    <w:p w:rsidR="00000000" w:rsidDel="00000000" w:rsidP="00000000" w:rsidRDefault="00000000" w:rsidRPr="00000000" w14:paraId="0000009D">
      <w:pPr>
        <w:numPr>
          <w:ilvl w:val="0"/>
          <w:numId w:val="1"/>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Production related risks (indication of what can go wrong in the production and respective harms, such as within IT systems, credentials, software or certificates)</w:t>
      </w:r>
    </w:p>
    <w:p w:rsidR="00000000" w:rsidDel="00000000" w:rsidP="00000000" w:rsidRDefault="00000000" w:rsidRPr="00000000" w14:paraId="0000009E">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F">
      <w:pPr>
        <w:pStyle w:val="Heading4"/>
        <w:numPr>
          <w:ilvl w:val="2"/>
          <w:numId w:val="4"/>
        </w:numPr>
        <w:ind w:left="1224" w:hanging="504.00000000000006"/>
        <w:rPr/>
      </w:pPr>
      <w:r w:rsidDel="00000000" w:rsidR="00000000" w:rsidRPr="00000000">
        <w:rPr>
          <w:rtl w:val="0"/>
        </w:rPr>
        <w:t xml:space="preserve">Results</w:t>
      </w:r>
    </w:p>
    <w:p w:rsidR="00000000" w:rsidDel="00000000" w:rsidP="00000000" w:rsidRDefault="00000000" w:rsidRPr="00000000" w14:paraId="000000A0">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The structure and content of the following table is only an example. The risks may be included also in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w:t>
      </w:r>
      <w:r w:rsidDel="00000000" w:rsidR="00000000" w:rsidRPr="00000000">
        <w:rPr>
          <w:rtl w:val="0"/>
        </w:rPr>
      </w:r>
    </w:p>
    <w:p w:rsidR="00000000" w:rsidDel="00000000" w:rsidP="00000000" w:rsidRDefault="00000000" w:rsidRPr="00000000" w14:paraId="000000A1">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IT security-related risk analysis revealed the following risks: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3"/>
        <w:gridCol w:w="1743"/>
        <w:gridCol w:w="1927"/>
        <w:gridCol w:w="2249"/>
        <w:gridCol w:w="1221"/>
        <w:gridCol w:w="915"/>
        <w:gridCol w:w="1204"/>
        <w:tblGridChange w:id="0">
          <w:tblGrid>
            <w:gridCol w:w="373"/>
            <w:gridCol w:w="1743"/>
            <w:gridCol w:w="1927"/>
            <w:gridCol w:w="2249"/>
            <w:gridCol w:w="1221"/>
            <w:gridCol w:w="915"/>
            <w:gridCol w:w="1204"/>
          </w:tblGrid>
        </w:tblGridChange>
      </w:tblGrid>
      <w:tr>
        <w:trPr>
          <w:cantSplit w:val="0"/>
          <w:tblHeader w:val="1"/>
        </w:trPr>
        <w:tc>
          <w:tcPr>
            <w:shd w:fill="dddddd" w:val="clea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w:t>
            </w:r>
          </w:p>
        </w:tc>
        <w:tc>
          <w:tcPr>
            <w:shd w:fill="dddddd"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Function, component, input/interface</w:t>
            </w:r>
          </w:p>
        </w:tc>
        <w:tc>
          <w:tcPr>
            <w:shd w:fill="dddddd"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Hazard</w:t>
            </w:r>
          </w:p>
        </w:tc>
        <w:tc>
          <w:tcPr>
            <w:shd w:fill="dddddd"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Cause</w:t>
            </w:r>
          </w:p>
        </w:tc>
        <w:tc>
          <w:tcPr>
            <w:shd w:fill="dddddd"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before measures</w:t>
            </w:r>
          </w:p>
        </w:tc>
        <w:tc>
          <w:tcPr>
            <w:shd w:fill="dddddd"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Measure</w:t>
            </w:r>
          </w:p>
        </w:tc>
        <w:tc>
          <w:tcPr>
            <w:shd w:fill="dddddd"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after measure</w:t>
            </w:r>
          </w:p>
        </w:tc>
      </w:tr>
      <w:tr>
        <w:trPr>
          <w:cantSplit w:val="0"/>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bookmarkStart w:colFirst="0" w:colLast="0" w:name="_heading=h.1ci93xb" w:id="5"/>
            <w:bookmarkEnd w:id="5"/>
            <w:r w:rsidDel="00000000" w:rsidR="00000000" w:rsidRPr="00000000">
              <w:rPr>
                <w:rFonts w:ascii="Calibri" w:cs="Calibri" w:eastAsia="Calibri" w:hAnsi="Calibri"/>
                <w:color w:val="00000a"/>
                <w:sz w:val="21"/>
                <w:szCs w:val="21"/>
                <w:highlight w:val="yellow"/>
                <w:rtl w:val="0"/>
              </w:rPr>
              <w:t xml:space="preserve">23</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DB with medications</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wrong data on contraindications</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Person has unauthorized access and manipulates of data</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Not acceptable</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RM1</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Acceptable</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65</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User interface</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wrong entry of treatment parameters</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Authorized person leaves system unattended and other person has unauthorized access</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Not acceptable</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RM2</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Acceptable</w:t>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69</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REST interface</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entire system crashes</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DDoS attack on REST interface</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Not acceptable</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RM3</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Acceptable</w:t>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72</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Web interface</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System reveals confidential information</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Cross-site scripting attack</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Not acceptable</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RM4</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Acceptable</w:t>
            </w:r>
          </w:p>
        </w:tc>
      </w:tr>
    </w:tbl>
    <w:p w:rsidR="00000000" w:rsidDel="00000000" w:rsidP="00000000" w:rsidRDefault="00000000" w:rsidRPr="00000000" w14:paraId="000000C5">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C6">
      <w:pPr>
        <w:pStyle w:val="Heading3"/>
        <w:numPr>
          <w:ilvl w:val="1"/>
          <w:numId w:val="4"/>
        </w:numPr>
        <w:ind w:left="792" w:hanging="432"/>
        <w:rPr/>
      </w:pPr>
      <w:r w:rsidDel="00000000" w:rsidR="00000000" w:rsidRPr="00000000">
        <w:rPr>
          <w:rtl w:val="0"/>
        </w:rPr>
        <w:t xml:space="preserve">Risk Mitigation</w:t>
      </w:r>
    </w:p>
    <w:p w:rsidR="00000000" w:rsidDel="00000000" w:rsidP="00000000" w:rsidRDefault="00000000" w:rsidRPr="00000000" w14:paraId="000000C7">
      <w:pPr>
        <w:pStyle w:val="Heading4"/>
        <w:numPr>
          <w:ilvl w:val="2"/>
          <w:numId w:val="4"/>
        </w:numPr>
        <w:ind w:left="1224" w:hanging="504.00000000000006"/>
        <w:rPr/>
      </w:pPr>
      <w:r w:rsidDel="00000000" w:rsidR="00000000" w:rsidRPr="00000000">
        <w:rPr>
          <w:rtl w:val="0"/>
        </w:rPr>
        <w:t xml:space="preserve">Measurements by manufacturer</w:t>
      </w:r>
    </w:p>
    <w:p w:rsidR="00000000" w:rsidDel="00000000" w:rsidP="00000000" w:rsidRDefault="00000000" w:rsidRPr="00000000" w14:paraId="000000C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structure and content of the following table only serve as an example. </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1"/>
        <w:gridCol w:w="4788"/>
        <w:gridCol w:w="1675"/>
        <w:gridCol w:w="2608"/>
        <w:tblGridChange w:id="0">
          <w:tblGrid>
            <w:gridCol w:w="561"/>
            <w:gridCol w:w="4788"/>
            <w:gridCol w:w="1675"/>
            <w:gridCol w:w="2608"/>
          </w:tblGrid>
        </w:tblGridChange>
      </w:tblGrid>
      <w:tr>
        <w:trPr>
          <w:cantSplit w:val="0"/>
          <w:tblHeader w:val="1"/>
        </w:trPr>
        <w:tc>
          <w:tcPr>
            <w:shd w:fill="dddddd"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w:t>
            </w:r>
          </w:p>
        </w:tc>
        <w:tc>
          <w:tcPr>
            <w:shd w:fill="dddddd"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Description</w:t>
            </w:r>
          </w:p>
        </w:tc>
        <w:tc>
          <w:tcPr>
            <w:shd w:fill="dddddd"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Related Requirement</w:t>
            </w:r>
          </w:p>
        </w:tc>
        <w:tc>
          <w:tcPr>
            <w:shd w:fill="dddddd"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dddddd" w:val="clea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Verification</w:t>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RM1</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Authentication and roles-based authorization</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SRS_25, SD_78</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Software system test #36</w:t>
            </w:r>
          </w:p>
        </w:tc>
      </w:tr>
      <w:tr>
        <w:trPr>
          <w:cantSplit w:val="0"/>
          <w:tblHeader w:val="0"/>
        </w:trPr>
        <w:tc>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RM2</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Automatic logoff</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SRS_12</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Software system test #35</w:t>
            </w:r>
          </w:p>
        </w:tc>
      </w:tr>
      <w:tr>
        <w:trPr>
          <w:cantSplit w:val="0"/>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RM3</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System access only via whitelisted IP addresses (required in the Instructions for Use)</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IFU chapter "Installation requirements"</w:t>
            </w:r>
          </w:p>
        </w:tc>
      </w:tr>
    </w:tbl>
    <w:p w:rsidR="00000000" w:rsidDel="00000000" w:rsidP="00000000" w:rsidRDefault="00000000" w:rsidRPr="00000000" w14:paraId="000000D9">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measures are suitable to reduce the risks to an acceptable level.</w:t>
      </w:r>
    </w:p>
    <w:p w:rsidR="00000000" w:rsidDel="00000000" w:rsidP="00000000" w:rsidRDefault="00000000" w:rsidRPr="00000000" w14:paraId="000000DA">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DB">
      <w:pPr>
        <w:pStyle w:val="Heading4"/>
        <w:numPr>
          <w:ilvl w:val="2"/>
          <w:numId w:val="4"/>
        </w:numPr>
        <w:ind w:left="1224" w:hanging="504.00000000000006"/>
        <w:rPr/>
      </w:pPr>
      <w:r w:rsidDel="00000000" w:rsidR="00000000" w:rsidRPr="00000000">
        <w:rPr>
          <w:rtl w:val="0"/>
        </w:rPr>
        <w:t xml:space="preserve">Measures by users</w:t>
      </w:r>
    </w:p>
    <w:p w:rsidR="00000000" w:rsidDel="00000000" w:rsidP="00000000" w:rsidRDefault="00000000" w:rsidRPr="00000000" w14:paraId="000000DC">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here the measures that the users, hospitals, etc. are responsible for. These measures include</w:t>
      </w:r>
    </w:p>
    <w:p w:rsidR="00000000" w:rsidDel="00000000" w:rsidP="00000000" w:rsidRDefault="00000000" w:rsidRPr="00000000" w14:paraId="000000DD">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Malware protection, use of firewalls</w:t>
      </w:r>
    </w:p>
    <w:p w:rsidR="00000000" w:rsidDel="00000000" w:rsidP="00000000" w:rsidRDefault="00000000" w:rsidRPr="00000000" w14:paraId="000000DE">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Password policies</w:t>
      </w:r>
    </w:p>
    <w:p w:rsidR="00000000" w:rsidDel="00000000" w:rsidP="00000000" w:rsidRDefault="00000000" w:rsidRPr="00000000" w14:paraId="000000DF">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Restriction of physical access</w:t>
      </w:r>
    </w:p>
    <w:p w:rsidR="00000000" w:rsidDel="00000000" w:rsidP="00000000" w:rsidRDefault="00000000" w:rsidRPr="00000000" w14:paraId="000000E0">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Network layout</w:t>
      </w:r>
    </w:p>
    <w:p w:rsidR="00000000" w:rsidDel="00000000" w:rsidP="00000000" w:rsidRDefault="00000000" w:rsidRPr="00000000" w14:paraId="000000E1">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Backup and restore</w:t>
      </w:r>
    </w:p>
    <w:p w:rsidR="00000000" w:rsidDel="00000000" w:rsidP="00000000" w:rsidRDefault="00000000" w:rsidRPr="00000000" w14:paraId="000000E2">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Detection of security breaches and required actions</w:t>
      </w:r>
    </w:p>
    <w:p w:rsidR="00000000" w:rsidDel="00000000" w:rsidP="00000000" w:rsidRDefault="00000000" w:rsidRPr="00000000" w14:paraId="000000E3">
      <w:pPr>
        <w:numPr>
          <w:ilvl w:val="0"/>
          <w:numId w:val="3"/>
        </w:numPr>
        <w:pBdr>
          <w:top w:space="0" w:sz="0" w:val="nil"/>
          <w:left w:color="cccccc" w:space="9" w:sz="16" w:val="single"/>
          <w:bottom w:space="0" w:sz="0" w:val="nil"/>
          <w:right w:space="0" w:sz="0" w:val="nil"/>
          <w:between w:space="0" w:sz="0" w:val="nil"/>
        </w:pBdr>
        <w:spacing w:after="140" w:before="140" w:lineRule="auto"/>
        <w:ind w:left="96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Required education</w:t>
      </w:r>
    </w:p>
    <w:p w:rsidR="00000000" w:rsidDel="00000000" w:rsidP="00000000" w:rsidRDefault="00000000" w:rsidRPr="00000000" w14:paraId="000000E4">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5">
      <w:pPr>
        <w:pStyle w:val="Heading2"/>
        <w:numPr>
          <w:ilvl w:val="0"/>
          <w:numId w:val="4"/>
        </w:numPr>
        <w:ind w:left="360" w:hanging="360"/>
        <w:rPr/>
      </w:pPr>
      <w:r w:rsidDel="00000000" w:rsidR="00000000" w:rsidRPr="00000000">
        <w:rPr>
          <w:rtl w:val="0"/>
        </w:rPr>
        <w:t xml:space="preserve">Post-market Activities</w:t>
      </w:r>
    </w:p>
    <w:p w:rsidR="00000000" w:rsidDel="00000000" w:rsidP="00000000" w:rsidRDefault="00000000" w:rsidRPr="00000000" w14:paraId="000000E6">
      <w:pPr>
        <w:pStyle w:val="Heading3"/>
        <w:numPr>
          <w:ilvl w:val="1"/>
          <w:numId w:val="4"/>
        </w:numPr>
        <w:ind w:left="792" w:hanging="432"/>
        <w:rPr/>
      </w:pPr>
      <w:r w:rsidDel="00000000" w:rsidR="00000000" w:rsidRPr="00000000">
        <w:rPr>
          <w:rtl w:val="0"/>
        </w:rPr>
        <w:t xml:space="preserve">Post-Market Surveillance</w:t>
      </w:r>
    </w:p>
    <w:p w:rsidR="00000000" w:rsidDel="00000000" w:rsidP="00000000" w:rsidRDefault="00000000" w:rsidRPr="00000000" w14:paraId="000000E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Adapt as required.</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post-market surveillance plan (</w:t>
      </w:r>
      <w:r w:rsidDel="00000000" w:rsidR="00000000" w:rsidRPr="00000000">
        <w:rPr>
          <w:rFonts w:ascii="Calibri" w:cs="Calibri" w:eastAsia="Calibri" w:hAnsi="Calibri"/>
          <w:b w:val="1"/>
          <w:color w:val="00000a"/>
          <w:sz w:val="21"/>
          <w:szCs w:val="21"/>
          <w:rtl w:val="0"/>
        </w:rPr>
        <w:t xml:space="preserve">SOP-PM-01 Procedure Post Market Surveillance</w:t>
      </w:r>
      <w:r w:rsidDel="00000000" w:rsidR="00000000" w:rsidRPr="00000000">
        <w:rPr>
          <w:rFonts w:ascii="Calibri" w:cs="Calibri" w:eastAsia="Calibri" w:hAnsi="Calibri"/>
          <w:color w:val="00000a"/>
          <w:sz w:val="21"/>
          <w:szCs w:val="21"/>
          <w:rtl w:val="0"/>
        </w:rPr>
        <w:t xml:space="preserve">) specifies the post-market activities. The IT security-related activities include:</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Weekly </w:t>
      </w:r>
      <w:r w:rsidDel="00000000" w:rsidR="00000000" w:rsidRPr="00000000">
        <w:rPr>
          <w:rFonts w:ascii="Calibri" w:cs="Calibri" w:eastAsia="Calibri" w:hAnsi="Calibri"/>
          <w:color w:val="00000a"/>
          <w:sz w:val="21"/>
          <w:szCs w:val="21"/>
          <w:rtl w:val="0"/>
        </w:rPr>
        <w:t xml:space="preserve">scanning of the </w:t>
      </w:r>
      <w:hyperlink r:id="rId9">
        <w:r w:rsidDel="00000000" w:rsidR="00000000" w:rsidRPr="00000000">
          <w:rPr>
            <w:rFonts w:ascii="Calibri" w:cs="Calibri" w:eastAsia="Calibri" w:hAnsi="Calibri"/>
            <w:color w:val="1155cc"/>
            <w:sz w:val="21"/>
            <w:szCs w:val="21"/>
            <w:u w:val="single"/>
            <w:rtl w:val="0"/>
          </w:rPr>
          <w:t xml:space="preserve">NIST NVD</w:t>
        </w:r>
      </w:hyperlink>
      <w:r w:rsidDel="00000000" w:rsidR="00000000" w:rsidRPr="00000000">
        <w:rPr>
          <w:rFonts w:ascii="Calibri" w:cs="Calibri" w:eastAsia="Calibri" w:hAnsi="Calibri"/>
          <w:color w:val="00000a"/>
          <w:sz w:val="21"/>
          <w:szCs w:val="21"/>
          <w:rtl w:val="0"/>
        </w:rPr>
        <w:t xml:space="preserve"> database;</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Monthly analysis of government databases: BfArM, SwissMedic, FDA;</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Monthly analysis of bug reports and release notes of SOUP/OTS manufacturers.</w:t>
      </w:r>
    </w:p>
    <w:p w:rsidR="00000000" w:rsidDel="00000000" w:rsidP="00000000" w:rsidRDefault="00000000" w:rsidRPr="00000000" w14:paraId="000000EC">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you have an incident plan, please reference it here.</w:t>
      </w:r>
      <w:r w:rsidDel="00000000" w:rsidR="00000000" w:rsidRPr="00000000">
        <w:rPr>
          <w:rtl w:val="0"/>
        </w:rPr>
      </w:r>
    </w:p>
    <w:p w:rsidR="00000000" w:rsidDel="00000000" w:rsidP="00000000" w:rsidRDefault="00000000" w:rsidRPr="00000000" w14:paraId="000000ED">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E">
      <w:pPr>
        <w:pStyle w:val="Heading2"/>
        <w:numPr>
          <w:ilvl w:val="0"/>
          <w:numId w:val="4"/>
        </w:numPr>
        <w:ind w:left="360" w:hanging="360"/>
        <w:rPr/>
      </w:pPr>
      <w:r w:rsidDel="00000000" w:rsidR="00000000" w:rsidRPr="00000000">
        <w:rPr>
          <w:rtl w:val="0"/>
        </w:rPr>
        <w:t xml:space="preserve">Summary</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secure software development lifecycle was followed. IT-security-related hazards were identified and mitigated. Post-market activities were also planned. Based on this, it is considered that the IT requirements of the medical device have been met.</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F1">
      <w:pPr>
        <w:pStyle w:val="Heading2"/>
        <w:numPr>
          <w:ilvl w:val="0"/>
          <w:numId w:val="4"/>
        </w:numPr>
        <w:ind w:left="360" w:hanging="360"/>
        <w:rPr/>
      </w:pPr>
      <w:r w:rsidDel="00000000" w:rsidR="00000000" w:rsidRPr="00000000">
        <w:rPr>
          <w:rtl w:val="0"/>
        </w:rPr>
        <w:t xml:space="preserve">Annex</w:t>
      </w:r>
    </w:p>
    <w:p w:rsidR="00000000" w:rsidDel="00000000" w:rsidP="00000000" w:rsidRDefault="00000000" w:rsidRPr="00000000" w14:paraId="000000F2">
      <w:pPr>
        <w:pStyle w:val="Heading3"/>
        <w:numPr>
          <w:ilvl w:val="1"/>
          <w:numId w:val="4"/>
        </w:numPr>
        <w:ind w:left="792" w:hanging="432"/>
        <w:rPr/>
      </w:pPr>
      <w:r w:rsidDel="00000000" w:rsidR="00000000" w:rsidRPr="00000000">
        <w:rPr>
          <w:rtl w:val="0"/>
        </w:rPr>
        <w:t xml:space="preserve">Applicable and relevant documents</w:t>
      </w:r>
    </w:p>
    <w:tbl>
      <w:tblPr>
        <w:tblStyle w:val="Table9"/>
        <w:tblW w:w="85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5430"/>
        <w:tblGridChange w:id="0">
          <w:tblGrid>
            <w:gridCol w:w="3118"/>
            <w:gridCol w:w="5430"/>
          </w:tblGrid>
        </w:tblGridChange>
      </w:tblGrid>
      <w:tr>
        <w:trPr>
          <w:cantSplit w:val="0"/>
          <w:tblHeader w:val="1"/>
        </w:trPr>
        <w:tc>
          <w:tcPr>
            <w:shd w:fill="dddddd" w:val="clear"/>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SOP-SW-01</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Software Development</w:t>
            </w:r>
          </w:p>
        </w:tc>
      </w:tr>
      <w:tr>
        <w:trPr>
          <w:cantSplit w:val="0"/>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SOP-CC-01</w:t>
            </w: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Intended use</w:t>
            </w:r>
            <w:r w:rsidDel="00000000" w:rsidR="00000000" w:rsidRPr="00000000">
              <w:rPr>
                <w:rtl w:val="0"/>
              </w:rPr>
            </w:r>
          </w:p>
        </w:tc>
      </w:tr>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TMP-IU-01</w:t>
            </w: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Stakeholder Requirements</w:t>
            </w:r>
            <w:r w:rsidDel="00000000" w:rsidR="00000000" w:rsidRPr="00000000">
              <w:rPr>
                <w:rtl w:val="0"/>
              </w:rPr>
            </w:r>
          </w:p>
        </w:tc>
      </w:tr>
      <w:tr>
        <w:trPr>
          <w:cantSplit w:val="0"/>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TMP-IU-02</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Software Development Plan</w:t>
            </w:r>
            <w:r w:rsidDel="00000000" w:rsidR="00000000" w:rsidRPr="00000000">
              <w:rPr>
                <w:rtl w:val="0"/>
              </w:rPr>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TMP-SW-02</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Configuration Management Plan</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TMP-SW-03</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Software Requirements Specification</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10" w:type="default"/>
      <w:headerReference r:id="rId11" w:type="first"/>
      <w:footerReference r:id="rId12" w:type="default"/>
      <w:footerReference r:id="rId13"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2-13T15:41:3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documento pretende ser uma proposta das atividades e medidas relacionadas com a Cibersegurança. Deverá ser adaptado de acordo com a realidade da instituição/produtos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2"/>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12">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13">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14">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3"/>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17">
          <w:pPr>
            <w:spacing w:after="60" w:lineRule="auto"/>
            <w:rPr>
              <w:rFonts w:ascii="Calibri" w:cs="Calibri" w:eastAsia="Calibri" w:hAnsi="Calibri"/>
              <w:sz w:val="18"/>
              <w:szCs w:val="18"/>
            </w:rPr>
          </w:pPr>
          <w:bookmarkStart w:colFirst="0" w:colLast="0" w:name="_heading=h.19c6y18" w:id="7"/>
          <w:bookmarkEnd w:id="7"/>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18">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19">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0"/>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25"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3">
          <w:pPr>
            <w:spacing w:after="120" w:before="120" w:line="288" w:lineRule="auto"/>
            <w:jc w:val="center"/>
            <w:rPr>
              <w:rFonts w:ascii="Calibri" w:cs="Calibri" w:eastAsia="Calibri" w:hAnsi="Calibri"/>
              <w:color w:val="000000"/>
              <w:sz w:val="22"/>
              <w:szCs w:val="22"/>
              <w:highlight w:val="yellow"/>
            </w:rPr>
          </w:pPr>
          <w:bookmarkStart w:colFirst="0" w:colLast="0" w:name="_heading=h.vx1227" w:id="6"/>
          <w:bookmarkEnd w:id="6"/>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4">
          <w:pPr>
            <w:pStyle w:val="Heading1"/>
            <w:spacing w:before="120" w:line="288" w:lineRule="auto"/>
            <w:jc w:val="center"/>
            <w:rPr/>
          </w:pPr>
          <w:r w:rsidDel="00000000" w:rsidR="00000000" w:rsidRPr="00000000">
            <w:rPr>
              <w:rtl w:val="0"/>
            </w:rPr>
            <w:t xml:space="preserve">Cybersecurity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before="120" w:line="288"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TMP-SW-08</w:t>
          </w:r>
        </w:p>
      </w:tc>
    </w:tr>
    <w:tr>
      <w:trPr>
        <w:cantSplit w:val="0"/>
        <w:trHeight w:val="425"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7">
          <w:pPr>
            <w:spacing w:after="120" w:before="120" w:line="288"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8">
          <w:pPr>
            <w:spacing w:after="120" w:before="120" w:line="288"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9">
          <w:pPr>
            <w:spacing w:after="120" w:before="120" w:line="288"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A">
          <w:pPr>
            <w:spacing w:after="120" w:before="120" w:line="288"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1"/>
      <w:tblW w:w="978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D">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E">
          <w:pPr>
            <w:pStyle w:val="Heading1"/>
            <w:spacing w:before="120" w:lineRule="auto"/>
            <w:jc w:val="center"/>
            <w:rPr/>
          </w:pPr>
          <w:r w:rsidDel="00000000" w:rsidR="00000000" w:rsidRPr="00000000">
            <w:rPr>
              <w:rtl w:val="0"/>
            </w:rPr>
            <w:t xml:space="preserve">Cybersecurity</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TMP-SW-08</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9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7B701C"/>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80.0" w:type="dxa"/>
        <w:bottom w:w="80.0" w:type="dxa"/>
        <w:right w:w="80.0" w:type="dxa"/>
      </w:tblCellMar>
    </w:tblPr>
  </w:style>
  <w:style w:type="table" w:styleId="ab" w:customStyle="1">
    <w:basedOn w:val="TableNormal"/>
    <w:tblPr>
      <w:tblStyleRowBandSize w:val="1"/>
      <w:tblStyleColBandSize w:val="1"/>
      <w:tblCellMar>
        <w:top w:w="80.0" w:type="dxa"/>
        <w:left w:w="80.0" w:type="dxa"/>
        <w:bottom w:w="80.0" w:type="dxa"/>
        <w:right w:w="80.0" w:type="dxa"/>
      </w:tblCellMar>
    </w:tblPr>
  </w:style>
  <w:style w:type="table" w:styleId="ac" w:customStyle="1">
    <w:basedOn w:val="TableNormal"/>
    <w:tblPr>
      <w:tblStyleRowBandSize w:val="1"/>
      <w:tblStyleColBandSize w:val="1"/>
      <w:tblCellMar>
        <w:top w:w="80.0" w:type="dxa"/>
        <w:left w:w="80.0" w:type="dxa"/>
        <w:bottom w:w="80.0" w:type="dxa"/>
        <w:right w:w="80.0" w:type="dxa"/>
      </w:tblCellMar>
    </w:tblPr>
  </w:style>
  <w:style w:type="table" w:styleId="ad" w:customStyle="1">
    <w:basedOn w:val="TableNormal"/>
    <w:tblPr>
      <w:tblStyleRowBandSize w:val="1"/>
      <w:tblStyleColBandSize w:val="1"/>
      <w:tblCellMar>
        <w:top w:w="80.0" w:type="dxa"/>
        <w:left w:w="80.0" w:type="dxa"/>
        <w:bottom w:w="80.0" w:type="dxa"/>
        <w:right w:w="80.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footer" Target="footer2.xml"/><Relationship Id="rId7" Type="http://schemas.openxmlformats.org/officeDocument/2006/relationships/customXml" Target="../customXML/item1.xml"/><Relationship Id="rId2" Type="http://schemas.openxmlformats.org/officeDocument/2006/relationships/comments" Target="comments.xml"/><Relationship Id="rId16" Type="http://schemas.openxmlformats.org/officeDocument/2006/relationships/customXml" Target="../customXML/item4.xml"/><Relationship Id="rId11" Type="http://schemas.openxmlformats.org/officeDocument/2006/relationships/header" Target="header1.xm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yperlink" Target="https://nvd.nist.gov/" TargetMode="Externa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BXW1RMKtoqG/4NfVNekR8P4+vQ==">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B3AD6C-DE4B-4E9C-A204-7F426610A78C}"/>
</file>

<file path=customXML/itemProps3.xml><?xml version="1.0" encoding="utf-8"?>
<ds:datastoreItem xmlns:ds="http://schemas.openxmlformats.org/officeDocument/2006/customXml" ds:itemID="{C698F497-1C03-4B1B-8014-771858EA044C}"/>
</file>

<file path=customXML/itemProps4.xml><?xml version="1.0" encoding="utf-8"?>
<ds:datastoreItem xmlns:ds="http://schemas.openxmlformats.org/officeDocument/2006/customXml" ds:itemID="{B3CBB65F-1FD7-462B-91CA-2FC160425284}"/>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2022-06-29T21:08:00Z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15900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