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sdt>
        <w:sdtPr>
          <w:tag w:val="goog_rdk_0"/>
        </w:sdtPr>
        <w:sdtContent>
          <w:commentRangeStart w:id="0"/>
        </w:sdtContent>
      </w:sdt>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2022-06-01</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3"/>
        </w:numPr>
        <w:ind w:left="360" w:hanging="360"/>
        <w:rPr/>
      </w:pPr>
      <w:r w:rsidDel="00000000" w:rsidR="00000000" w:rsidRPr="00000000">
        <w:rPr>
          <w:rtl w:val="0"/>
        </w:rPr>
        <w:t xml:space="preserve">Version History</w:t>
      </w:r>
    </w:p>
    <w:tbl>
      <w:tblPr>
        <w:tblStyle w:val="Table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1A">
      <w:pPr>
        <w:pStyle w:val="Heading2"/>
        <w:numPr>
          <w:ilvl w:val="0"/>
          <w:numId w:val="3"/>
        </w:numPr>
        <w:ind w:left="360" w:hanging="360"/>
        <w:rPr/>
      </w:pPr>
      <w:r w:rsidDel="00000000" w:rsidR="00000000" w:rsidRPr="00000000">
        <w:rPr>
          <w:rtl w:val="0"/>
        </w:rPr>
        <w:t xml:space="preserve">Purpose and Scope </w:t>
      </w:r>
    </w:p>
    <w:p w:rsidR="00000000" w:rsidDel="00000000" w:rsidP="00000000" w:rsidRDefault="00000000" w:rsidRPr="00000000" w14:paraId="0000001B">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purpose of this procedure is to describe methods for the processing and reporting of incidents and field safety corrective actions.</w:t>
      </w:r>
    </w:p>
    <w:p w:rsidR="00000000" w:rsidDel="00000000" w:rsidP="00000000" w:rsidRDefault="00000000" w:rsidRPr="00000000" w14:paraId="0000001C">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procedure applies to all medical devices as well as incidents and required field safety corrective actions which occurred / performed in the European Economic Area (EEA).</w:t>
      </w:r>
    </w:p>
    <w:p w:rsidR="00000000" w:rsidDel="00000000" w:rsidP="00000000" w:rsidRDefault="00000000" w:rsidRPr="00000000" w14:paraId="0000001D">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E">
      <w:pPr>
        <w:pStyle w:val="Heading2"/>
        <w:numPr>
          <w:ilvl w:val="0"/>
          <w:numId w:val="3"/>
        </w:numPr>
        <w:ind w:left="360" w:hanging="360"/>
        <w:rPr/>
      </w:pPr>
      <w:r w:rsidDel="00000000" w:rsidR="00000000" w:rsidRPr="00000000">
        <w:rPr>
          <w:rtl w:val="0"/>
        </w:rPr>
        <w:t xml:space="preserve">Responsibilities</w:t>
      </w:r>
    </w:p>
    <w:p w:rsidR="00000000" w:rsidDel="00000000" w:rsidP="00000000" w:rsidRDefault="00000000" w:rsidRPr="00000000" w14:paraId="0000001F">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the responsibilities accordingly to your company. </w:t>
      </w:r>
    </w:p>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w:t>
      </w:r>
      <w:r w:rsidDel="00000000" w:rsidR="00000000" w:rsidRPr="00000000">
        <w:rPr>
          <w:rFonts w:ascii="Calibri" w:cs="Calibri" w:eastAsia="Calibri" w:hAnsi="Calibri"/>
          <w:b w:val="1"/>
          <w:sz w:val="21"/>
          <w:szCs w:val="21"/>
          <w:rtl w:val="0"/>
        </w:rPr>
        <w:t xml:space="preserve">Person Responsible for Regulatory Compliance (PRRC)</w:t>
      </w:r>
      <w:r w:rsidDel="00000000" w:rsidR="00000000" w:rsidRPr="00000000">
        <w:rPr>
          <w:rFonts w:ascii="Calibri" w:cs="Calibri" w:eastAsia="Calibri" w:hAnsi="Calibri"/>
          <w:sz w:val="21"/>
          <w:szCs w:val="21"/>
          <w:rtl w:val="0"/>
        </w:rPr>
        <w:t xml:space="preserve"> is responsible for following, applying and updating this procedure.</w:t>
      </w:r>
    </w:p>
    <w:p w:rsidR="00000000" w:rsidDel="00000000" w:rsidP="00000000" w:rsidRDefault="00000000" w:rsidRPr="00000000" w14:paraId="0000002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2">
      <w:pPr>
        <w:pStyle w:val="Heading2"/>
        <w:numPr>
          <w:ilvl w:val="0"/>
          <w:numId w:val="3"/>
        </w:numPr>
        <w:ind w:left="360" w:hanging="360"/>
        <w:rPr>
          <w:color w:val="595959"/>
        </w:rPr>
      </w:pPr>
      <w:bookmarkStart w:colFirst="0" w:colLast="0" w:name="_heading=h.6up2dyej2hpv" w:id="1"/>
      <w:bookmarkEnd w:id="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23">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accordingly to your company.</w:t>
      </w:r>
    </w:p>
    <w:p w:rsidR="00000000" w:rsidDel="00000000" w:rsidP="00000000" w:rsidRDefault="00000000" w:rsidRPr="00000000" w14:paraId="0000002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5">
      <w:pPr>
        <w:pStyle w:val="Heading3"/>
        <w:numPr>
          <w:ilvl w:val="1"/>
          <w:numId w:val="3"/>
        </w:numPr>
        <w:ind w:left="792" w:hanging="432"/>
        <w:rPr/>
      </w:pPr>
      <w:r w:rsidDel="00000000" w:rsidR="00000000" w:rsidRPr="00000000">
        <w:rPr>
          <w:rtl w:val="0"/>
        </w:rPr>
        <w:t xml:space="preserve">Terms</w:t>
      </w:r>
    </w:p>
    <w:p w:rsidR="00000000" w:rsidDel="00000000" w:rsidP="00000000" w:rsidRDefault="00000000" w:rsidRPr="00000000" w14:paraId="00000026">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following terms are consistent with the definitions in the MDR and MEDDEV 2.12/1 Rev.8 in combination with the document "Additional Guidance Regarding the Vigilance System as outlined in MEDDEV 2.12-1 rev. 8".</w:t>
      </w:r>
    </w:p>
    <w:p w:rsidR="00000000" w:rsidDel="00000000" w:rsidP="00000000" w:rsidRDefault="00000000" w:rsidRPr="00000000" w14:paraId="00000027">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tl w:val="0"/>
        </w:rPr>
      </w:r>
    </w:p>
    <w:p w:rsidR="00000000" w:rsidDel="00000000" w:rsidP="00000000" w:rsidRDefault="00000000" w:rsidRPr="00000000" w14:paraId="00000028">
      <w:pPr>
        <w:pStyle w:val="Heading4"/>
        <w:numPr>
          <w:ilvl w:val="2"/>
          <w:numId w:val="3"/>
        </w:numPr>
        <w:ind w:left="1224" w:hanging="504.00000000000006"/>
        <w:rPr/>
      </w:pPr>
      <w:r w:rsidDel="00000000" w:rsidR="00000000" w:rsidRPr="00000000">
        <w:rPr>
          <w:rtl w:val="0"/>
        </w:rPr>
        <w:t xml:space="preserve">Incident</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An </w:t>
      </w:r>
      <w:r w:rsidDel="00000000" w:rsidR="00000000" w:rsidRPr="00000000">
        <w:rPr>
          <w:rFonts w:ascii="Calibri" w:cs="Calibri" w:eastAsia="Calibri" w:hAnsi="Calibri"/>
          <w:b w:val="1"/>
          <w:color w:val="00000a"/>
          <w:sz w:val="21"/>
          <w:szCs w:val="21"/>
          <w:rtl w:val="0"/>
        </w:rPr>
        <w:t xml:space="preserve">incident</w:t>
      </w:r>
      <w:r w:rsidDel="00000000" w:rsidR="00000000" w:rsidRPr="00000000">
        <w:rPr>
          <w:rFonts w:ascii="Calibri" w:cs="Calibri" w:eastAsia="Calibri" w:hAnsi="Calibri"/>
          <w:color w:val="00000a"/>
          <w:sz w:val="21"/>
          <w:szCs w:val="21"/>
          <w:rtl w:val="0"/>
        </w:rPr>
        <w:t xml:space="preserve"> means a malfunction or deterioration in the characteristics or performance of a product already on the market, including application errors due to ergonomic features, as well as an inadequacy in the information provided by the manufacturer or an undesirable side effect.</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w:t>
      </w:r>
      <w:r w:rsidDel="00000000" w:rsidR="00000000" w:rsidRPr="00000000">
        <w:rPr>
          <w:rFonts w:ascii="Calibri" w:cs="Calibri" w:eastAsia="Calibri" w:hAnsi="Calibri"/>
          <w:b w:val="1"/>
          <w:color w:val="00000a"/>
          <w:sz w:val="21"/>
          <w:szCs w:val="21"/>
          <w:rtl w:val="0"/>
        </w:rPr>
        <w:t xml:space="preserve">serious incident</w:t>
      </w:r>
      <w:r w:rsidDel="00000000" w:rsidR="00000000" w:rsidRPr="00000000">
        <w:rPr>
          <w:rFonts w:ascii="Calibri" w:cs="Calibri" w:eastAsia="Calibri" w:hAnsi="Calibri"/>
          <w:color w:val="00000a"/>
          <w:sz w:val="21"/>
          <w:szCs w:val="21"/>
          <w:rtl w:val="0"/>
        </w:rPr>
        <w:t xml:space="preserve"> describes an adverse event which directly or indirectly has had or could have had one of the following consequences: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the death of a patient, user or other person,</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b) the temporary or permanent serious deterioration in the state of health of a patient, user or other person,</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 a serious risk to public health.</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w:t>
      </w:r>
      <w:r w:rsidDel="00000000" w:rsidR="00000000" w:rsidRPr="00000000">
        <w:rPr>
          <w:rFonts w:ascii="Calibri" w:cs="Calibri" w:eastAsia="Calibri" w:hAnsi="Calibri"/>
          <w:b w:val="1"/>
          <w:color w:val="00000a"/>
          <w:sz w:val="21"/>
          <w:szCs w:val="21"/>
          <w:rtl w:val="0"/>
        </w:rPr>
        <w:t xml:space="preserve">serious threat to public health</w:t>
      </w:r>
      <w:r w:rsidDel="00000000" w:rsidR="00000000" w:rsidRPr="00000000">
        <w:rPr>
          <w:rFonts w:ascii="Calibri" w:cs="Calibri" w:eastAsia="Calibri" w:hAnsi="Calibri"/>
          <w:color w:val="00000a"/>
          <w:sz w:val="21"/>
          <w:szCs w:val="21"/>
          <w:rtl w:val="0"/>
        </w:rPr>
        <w:t xml:space="preserve"> means an event which could result in an immediate risk of death, serious deterioration in the health status of a person, or a serious illness requiring immediate remedial action, and which may cause significant morbidity or mortality in human beings, or which is unusual or unexpected for a specific place and time.</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30">
      <w:pPr>
        <w:pStyle w:val="Heading4"/>
        <w:numPr>
          <w:ilvl w:val="2"/>
          <w:numId w:val="3"/>
        </w:numPr>
        <w:ind w:left="1224" w:hanging="504.00000000000006"/>
        <w:rPr/>
      </w:pPr>
      <w:r w:rsidDel="00000000" w:rsidR="00000000" w:rsidRPr="00000000">
        <w:rPr>
          <w:rtl w:val="0"/>
        </w:rPr>
        <w:t xml:space="preserve">Reportable Incident</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term "reportable incident" is not described in the Medical Device Regulation. Any serious incident that becomes known is considered reportable if one of our products is suspected of having caused or been involved in the serious incident. For other reportable events, please also refer to the chapters </w:t>
      </w:r>
      <w:hyperlink w:anchor="_heading=h.3tbugp1">
        <w:r w:rsidDel="00000000" w:rsidR="00000000" w:rsidRPr="00000000">
          <w:rPr>
            <w:rFonts w:ascii="Calibri" w:cs="Calibri" w:eastAsia="Calibri" w:hAnsi="Calibri"/>
            <w:color w:val="0000ff"/>
            <w:sz w:val="21"/>
            <w:szCs w:val="21"/>
            <w:u w:val="single"/>
            <w:rtl w:val="0"/>
          </w:rPr>
          <w:t xml:space="preserve">Field Safety Corrective Actions</w:t>
        </w:r>
      </w:hyperlink>
      <w:r w:rsidDel="00000000" w:rsidR="00000000" w:rsidRPr="00000000">
        <w:rPr>
          <w:rFonts w:ascii="Calibri" w:cs="Calibri" w:eastAsia="Calibri" w:hAnsi="Calibri"/>
          <w:color w:val="00000a"/>
          <w:sz w:val="21"/>
          <w:szCs w:val="21"/>
          <w:rtl w:val="0"/>
        </w:rPr>
        <w:t xml:space="preserve"> and </w:t>
      </w:r>
      <w:hyperlink w:anchor="_heading=h.gjdgxs">
        <w:r w:rsidDel="00000000" w:rsidR="00000000" w:rsidRPr="00000000">
          <w:rPr>
            <w:rFonts w:ascii="Calibri" w:cs="Calibri" w:eastAsia="Calibri" w:hAnsi="Calibri"/>
            <w:color w:val="0000ff"/>
            <w:sz w:val="21"/>
            <w:szCs w:val="21"/>
            <w:u w:val="single"/>
            <w:rtl w:val="0"/>
          </w:rPr>
          <w:t xml:space="preserve">Reportable Trends</w:t>
        </w:r>
      </w:hyperlink>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or its representative is uncertain whether a serious incident has occurred, should report it within the time limits specified in section </w:t>
      </w:r>
      <w:hyperlink w:anchor="_heading=h.4i7ojhp">
        <w:r w:rsidDel="00000000" w:rsidR="00000000" w:rsidRPr="00000000">
          <w:rPr>
            <w:rFonts w:ascii="Calibri" w:cs="Calibri" w:eastAsia="Calibri" w:hAnsi="Calibri"/>
            <w:color w:val="0000ff"/>
            <w:sz w:val="21"/>
            <w:szCs w:val="21"/>
            <w:u w:val="single"/>
            <w:rtl w:val="0"/>
          </w:rPr>
          <w:t xml:space="preserve">Reporting Deadlines</w:t>
        </w:r>
      </w:hyperlink>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34">
      <w:pPr>
        <w:pStyle w:val="Heading4"/>
        <w:numPr>
          <w:ilvl w:val="2"/>
          <w:numId w:val="3"/>
        </w:numPr>
        <w:ind w:left="1224" w:hanging="504.00000000000006"/>
        <w:rPr/>
      </w:pPr>
      <w:r w:rsidDel="00000000" w:rsidR="00000000" w:rsidRPr="00000000">
        <w:rPr>
          <w:rtl w:val="0"/>
        </w:rPr>
        <w:t xml:space="preserve">Field Safety Corrective Action (FSCA)</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color w:val="00000a"/>
          <w:sz w:val="21"/>
          <w:szCs w:val="21"/>
          <w:rtl w:val="0"/>
        </w:rPr>
        <w:t xml:space="preserve">Field Safety Corrective Action</w:t>
      </w:r>
      <w:r w:rsidDel="00000000" w:rsidR="00000000" w:rsidRPr="00000000">
        <w:rPr>
          <w:rFonts w:ascii="Calibri" w:cs="Calibri" w:eastAsia="Calibri" w:hAnsi="Calibri"/>
          <w:b w:val="1"/>
          <w:color w:val="00000a"/>
          <w:sz w:val="21"/>
          <w:szCs w:val="21"/>
          <w:rtl w:val="0"/>
        </w:rPr>
        <w:t xml:space="preserve"> </w:t>
      </w:r>
      <w:r w:rsidDel="00000000" w:rsidR="00000000" w:rsidRPr="00000000">
        <w:rPr>
          <w:rFonts w:ascii="Calibri" w:cs="Calibri" w:eastAsia="Calibri" w:hAnsi="Calibri"/>
          <w:color w:val="00000a"/>
          <w:sz w:val="21"/>
          <w:szCs w:val="21"/>
          <w:rtl w:val="0"/>
        </w:rPr>
        <w:t xml:space="preserve">(FSCA) refers to a corrective action taken by a manufacturer for technical or medical reasons to</w:t>
      </w:r>
      <w:r w:rsidDel="00000000" w:rsidR="00000000" w:rsidRPr="00000000">
        <w:rPr>
          <w:rFonts w:ascii="Calibri" w:cs="Calibri" w:eastAsia="Calibri" w:hAnsi="Calibri"/>
          <w:b w:val="1"/>
          <w:color w:val="00000a"/>
          <w:sz w:val="21"/>
          <w:szCs w:val="21"/>
          <w:rtl w:val="0"/>
        </w:rPr>
        <w:t xml:space="preserve"> </w:t>
      </w:r>
      <w:r w:rsidDel="00000000" w:rsidR="00000000" w:rsidRPr="00000000">
        <w:rPr>
          <w:rFonts w:ascii="Calibri" w:cs="Calibri" w:eastAsia="Calibri" w:hAnsi="Calibri"/>
          <w:color w:val="00000a"/>
          <w:sz w:val="21"/>
          <w:szCs w:val="21"/>
          <w:rtl w:val="0"/>
        </w:rPr>
        <w:t xml:space="preserve">prevent or reduce</w:t>
      </w:r>
      <w:r w:rsidDel="00000000" w:rsidR="00000000" w:rsidRPr="00000000">
        <w:rPr>
          <w:rFonts w:ascii="Calibri" w:cs="Calibri" w:eastAsia="Calibri" w:hAnsi="Calibri"/>
          <w:b w:val="1"/>
          <w:color w:val="00000a"/>
          <w:sz w:val="21"/>
          <w:szCs w:val="21"/>
          <w:rtl w:val="0"/>
        </w:rPr>
        <w:t xml:space="preserve"> </w:t>
      </w:r>
      <w:r w:rsidDel="00000000" w:rsidR="00000000" w:rsidRPr="00000000">
        <w:rPr>
          <w:rFonts w:ascii="Calibri" w:cs="Calibri" w:eastAsia="Calibri" w:hAnsi="Calibri"/>
          <w:color w:val="00000a"/>
          <w:sz w:val="21"/>
          <w:szCs w:val="21"/>
          <w:rtl w:val="0"/>
        </w:rPr>
        <w:t xml:space="preserve">the risk of a serious incident</w:t>
      </w:r>
      <w:r w:rsidDel="00000000" w:rsidR="00000000" w:rsidRPr="00000000">
        <w:rPr>
          <w:rFonts w:ascii="Calibri" w:cs="Calibri" w:eastAsia="Calibri" w:hAnsi="Calibri"/>
          <w:b w:val="1"/>
          <w:color w:val="00000a"/>
          <w:sz w:val="21"/>
          <w:szCs w:val="21"/>
          <w:rtl w:val="0"/>
        </w:rPr>
        <w:t xml:space="preserve"> </w:t>
      </w:r>
      <w:r w:rsidDel="00000000" w:rsidR="00000000" w:rsidRPr="00000000">
        <w:rPr>
          <w:rFonts w:ascii="Calibri" w:cs="Calibri" w:eastAsia="Calibri" w:hAnsi="Calibri"/>
          <w:color w:val="00000a"/>
          <w:sz w:val="21"/>
          <w:szCs w:val="21"/>
          <w:rtl w:val="0"/>
        </w:rPr>
        <w:t xml:space="preserve">in relation to a device made available on the market. FSCAs include:</w:t>
      </w:r>
      <w:r w:rsidDel="00000000" w:rsidR="00000000" w:rsidRPr="00000000">
        <w:rPr>
          <w:rtl w:val="0"/>
        </w:rPr>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Return (take-back (e.g. from distributor) and / or recall from end user))</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Exchange</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Conversion or retrofitting / modification</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Discarding</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Destruction</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Recommendation of measures for the use of the product for further use or for patient management (e.g. for control examinations of implants)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product modification may include, for example:</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Permanent or temporary change in labeling or instructions for use.</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updates / upgrades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Any FSCA related to a product made available on the EEA market is subject to reporting. In addition, FSCAs in third countries are also reportable if the FSCA relates to a product that is also made available in the EEA market, and provided that the reason for the FSCA does not relate only to the third country (example for a non-reportable FSCA: an error in the Japanese version of the instructions for use, provided that the error only occurs in the Japanese translation).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41">
      <w:pPr>
        <w:pStyle w:val="Heading4"/>
        <w:numPr>
          <w:ilvl w:val="2"/>
          <w:numId w:val="3"/>
        </w:numPr>
        <w:ind w:left="1224" w:hanging="504.00000000000006"/>
        <w:rPr/>
      </w:pPr>
      <w:r w:rsidDel="00000000" w:rsidR="00000000" w:rsidRPr="00000000">
        <w:rPr>
          <w:rtl w:val="0"/>
        </w:rPr>
        <w:t xml:space="preserve">Recall</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recall is any measure aimed at achieving the return of a device that has already been made available to the end user.</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44">
      <w:pPr>
        <w:pStyle w:val="Heading4"/>
        <w:numPr>
          <w:ilvl w:val="2"/>
          <w:numId w:val="3"/>
        </w:numPr>
        <w:ind w:left="1224" w:hanging="504.00000000000006"/>
        <w:rPr/>
      </w:pPr>
      <w:r w:rsidDel="00000000" w:rsidR="00000000" w:rsidRPr="00000000">
        <w:rPr>
          <w:rtl w:val="0"/>
        </w:rPr>
        <w:t xml:space="preserve">Withdrawal</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withdrawal refers to any measure aimed at preventing a device in the supply chain from being further made available on the market.</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47">
      <w:pPr>
        <w:pStyle w:val="Heading4"/>
        <w:numPr>
          <w:ilvl w:val="2"/>
          <w:numId w:val="3"/>
        </w:numPr>
        <w:ind w:left="1224" w:hanging="504.00000000000006"/>
        <w:rPr/>
      </w:pPr>
      <w:r w:rsidDel="00000000" w:rsidR="00000000" w:rsidRPr="00000000">
        <w:rPr>
          <w:rtl w:val="0"/>
        </w:rPr>
        <w:t xml:space="preserve">Field Safety Notice (FSN)</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Field Safety Notice</w:t>
      </w:r>
      <w:r w:rsidDel="00000000" w:rsidR="00000000" w:rsidRPr="00000000">
        <w:rPr>
          <w:rFonts w:ascii="Calibri" w:cs="Calibri" w:eastAsia="Calibri" w:hAnsi="Calibri"/>
          <w:b w:val="1"/>
          <w:color w:val="00000a"/>
          <w:sz w:val="21"/>
          <w:szCs w:val="21"/>
          <w:rtl w:val="0"/>
        </w:rPr>
        <w:t xml:space="preserve"> </w:t>
      </w:r>
      <w:r w:rsidDel="00000000" w:rsidR="00000000" w:rsidRPr="00000000">
        <w:rPr>
          <w:rFonts w:ascii="Calibri" w:cs="Calibri" w:eastAsia="Calibri" w:hAnsi="Calibri"/>
          <w:color w:val="00000a"/>
          <w:sz w:val="21"/>
          <w:szCs w:val="21"/>
          <w:rtl w:val="0"/>
        </w:rPr>
        <w:t xml:space="preserve">(FSN) refers to a communication sent by a manufacturer to users or customers in relation to a field safety corrective action (and, if possible, made available to the public via the EUDAMED). </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Therefore, it is the notification with which users are informed of required FSCA activities.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FSNs must be written in an official language or official languages of the EU. The states in which the FSCA is taken make the corresponding specifications. </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FSN includes the following information:</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Information to correctly identify the product (by including the relevant UDI, if applicable);</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Information to correctly identify the manufacturer (by including the Single Registration Number (SRN), if applicable) undertaking the FSCA;</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Reasons for the FSCA with reference to the malfunction of the product and associated risks to patients, users and third parties;</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Any action to be taken by the user (Professional users and operators will be informed, if necessary, that products and sample materials suspected of being involved in a serious incident should not be discarded immediately but may need to be provided to the manufacturer as evidence).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template of the FSN can be found in </w:t>
      </w:r>
      <w:r w:rsidDel="00000000" w:rsidR="00000000" w:rsidRPr="00000000">
        <w:rPr>
          <w:rFonts w:ascii="Calibri" w:cs="Calibri" w:eastAsia="Calibri" w:hAnsi="Calibri"/>
          <w:b w:val="1"/>
          <w:sz w:val="22"/>
          <w:szCs w:val="22"/>
          <w:rtl w:val="0"/>
        </w:rPr>
        <w:t xml:space="preserve">FRM-VI-02 Field Safety Notice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52">
      <w:pPr>
        <w:pStyle w:val="Heading4"/>
        <w:numPr>
          <w:ilvl w:val="2"/>
          <w:numId w:val="3"/>
        </w:numPr>
        <w:ind w:left="1224" w:hanging="504.00000000000006"/>
        <w:rPr/>
      </w:pPr>
      <w:bookmarkStart w:colFirst="0" w:colLast="0" w:name="_heading=h.gjdgxs" w:id="2"/>
      <w:bookmarkEnd w:id="2"/>
      <w:r w:rsidDel="00000000" w:rsidR="00000000" w:rsidRPr="00000000">
        <w:rPr>
          <w:rtl w:val="0"/>
        </w:rPr>
        <w:t xml:space="preserve">Reportable Trends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For reporting trends purposes (MDR Article 88), </w:t>
      </w:r>
      <w:r w:rsidDel="00000000" w:rsidR="00000000" w:rsidRPr="00000000">
        <w:rPr>
          <w:rFonts w:ascii="Calibri" w:cs="Calibri" w:eastAsia="Calibri" w:hAnsi="Calibri"/>
          <w:i w:val="1"/>
          <w:color w:val="00000a"/>
          <w:sz w:val="21"/>
          <w:szCs w:val="21"/>
          <w:rtl w:val="0"/>
        </w:rPr>
        <w:t xml:space="preserve">trend</w:t>
      </w:r>
      <w:r w:rsidDel="00000000" w:rsidR="00000000" w:rsidRPr="00000000">
        <w:rPr>
          <w:rFonts w:ascii="Calibri" w:cs="Calibri" w:eastAsia="Calibri" w:hAnsi="Calibri"/>
          <w:color w:val="00000a"/>
          <w:sz w:val="21"/>
          <w:szCs w:val="21"/>
          <w:rtl w:val="0"/>
        </w:rPr>
        <w:t xml:space="preserve"> is any statistically significant increase in frequency or severity of non-serious events or anticipated adverse reactions that could have a significant impact on the risk-benefit analysis and that results or could result in putting the health or safety of patients, users, or others at a higher risk, which is unacceptable considering the intended benefits. </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Reportable trends are defined in </w:t>
      </w:r>
      <w:r w:rsidDel="00000000" w:rsidR="00000000" w:rsidRPr="00000000">
        <w:rPr>
          <w:rFonts w:ascii="Calibri" w:cs="Calibri" w:eastAsia="Calibri" w:hAnsi="Calibri"/>
          <w:b w:val="1"/>
          <w:color w:val="00000a"/>
          <w:sz w:val="21"/>
          <w:szCs w:val="21"/>
          <w:rtl w:val="0"/>
        </w:rPr>
        <w:t xml:space="preserve">SOP-PMS-01 Procedure Post Market Surveillance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56">
      <w:pPr>
        <w:pStyle w:val="Heading3"/>
        <w:numPr>
          <w:ilvl w:val="1"/>
          <w:numId w:val="3"/>
        </w:numPr>
        <w:ind w:left="792" w:hanging="432"/>
        <w:rPr/>
      </w:pPr>
      <w:bookmarkStart w:colFirst="0" w:colLast="0" w:name="_heading=h.3j2qqm3" w:id="3"/>
      <w:bookmarkEnd w:id="3"/>
      <w:r w:rsidDel="00000000" w:rsidR="00000000" w:rsidRPr="00000000">
        <w:rPr>
          <w:rtl w:val="0"/>
        </w:rPr>
        <w:t xml:space="preserve">Involved Authorities</w:t>
      </w:r>
    </w:p>
    <w:p w:rsidR="00000000" w:rsidDel="00000000" w:rsidP="00000000" w:rsidRDefault="00000000" w:rsidRPr="00000000" w14:paraId="00000057">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soon as the functionality of the EUDAMED is guaranteed, the reporting is to be made via the electronic system. Please note that at the national level, EU countries may have their own regulations on how to proceed until the EUDAMED is functional. </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color w:val="00000a"/>
          <w:sz w:val="21"/>
          <w:szCs w:val="21"/>
          <w:rtl w:val="0"/>
        </w:rPr>
        <w:t xml:space="preserve">Reportable incidents</w:t>
      </w:r>
      <w:r w:rsidDel="00000000" w:rsidR="00000000" w:rsidRPr="00000000">
        <w:rPr>
          <w:rFonts w:ascii="Calibri" w:cs="Calibri" w:eastAsia="Calibri" w:hAnsi="Calibri"/>
          <w:b w:val="1"/>
          <w:color w:val="00000a"/>
          <w:sz w:val="21"/>
          <w:szCs w:val="21"/>
          <w:rtl w:val="0"/>
        </w:rPr>
        <w:t xml:space="preserve"> </w:t>
      </w:r>
      <w:r w:rsidDel="00000000" w:rsidR="00000000" w:rsidRPr="00000000">
        <w:rPr>
          <w:rFonts w:ascii="Calibri" w:cs="Calibri" w:eastAsia="Calibri" w:hAnsi="Calibri"/>
          <w:color w:val="00000a"/>
          <w:sz w:val="21"/>
          <w:szCs w:val="21"/>
          <w:rtl w:val="0"/>
        </w:rPr>
        <w:t xml:space="preserve">are reported to the authorities of the country in which the reportable event has occurred.</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reports</w:t>
      </w:r>
      <w:r w:rsidDel="00000000" w:rsidR="00000000" w:rsidRPr="00000000">
        <w:rPr>
          <w:rFonts w:ascii="Calibri" w:cs="Calibri" w:eastAsia="Calibri" w:hAnsi="Calibri"/>
          <w:b w:val="1"/>
          <w:color w:val="00000a"/>
          <w:sz w:val="21"/>
          <w:szCs w:val="21"/>
          <w:rtl w:val="0"/>
        </w:rPr>
        <w:t xml:space="preserve"> </w:t>
      </w:r>
      <w:r w:rsidDel="00000000" w:rsidR="00000000" w:rsidRPr="00000000">
        <w:rPr>
          <w:rFonts w:ascii="Calibri" w:cs="Calibri" w:eastAsia="Calibri" w:hAnsi="Calibri"/>
          <w:color w:val="00000a"/>
          <w:sz w:val="21"/>
          <w:szCs w:val="21"/>
          <w:rtl w:val="0"/>
        </w:rPr>
        <w:t xml:space="preserve">Field Safety Corrective Action</w:t>
      </w:r>
      <w:r w:rsidDel="00000000" w:rsidR="00000000" w:rsidRPr="00000000">
        <w:rPr>
          <w:rFonts w:ascii="Calibri" w:cs="Calibri" w:eastAsia="Calibri" w:hAnsi="Calibri"/>
          <w:b w:val="1"/>
          <w:color w:val="00000a"/>
          <w:sz w:val="21"/>
          <w:szCs w:val="21"/>
          <w:rtl w:val="0"/>
        </w:rPr>
        <w:t xml:space="preserve"> </w:t>
      </w:r>
      <w:r w:rsidDel="00000000" w:rsidR="00000000" w:rsidRPr="00000000">
        <w:rPr>
          <w:rFonts w:ascii="Calibri" w:cs="Calibri" w:eastAsia="Calibri" w:hAnsi="Calibri"/>
          <w:color w:val="00000a"/>
          <w:sz w:val="21"/>
          <w:szCs w:val="21"/>
          <w:rtl w:val="0"/>
        </w:rPr>
        <w:t xml:space="preserve">(FSCA) reports to the authorities in the countries where the FSCA is to be implemented.</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FSCAs that we conduct outside the EEA but which are or may be related to a product on the EEA market are reported by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to the </w:t>
      </w:r>
      <w:r w:rsidDel="00000000" w:rsidR="00000000" w:rsidRPr="00000000">
        <w:rPr>
          <w:rFonts w:ascii="Calibri" w:cs="Calibri" w:eastAsia="Calibri" w:hAnsi="Calibri"/>
          <w:color w:val="00000a"/>
          <w:sz w:val="21"/>
          <w:szCs w:val="21"/>
          <w:highlight w:val="yellow"/>
          <w:rtl w:val="0"/>
        </w:rPr>
        <w:t xml:space="preserve">National Competent Authority where the manufacturer is based</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5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Trends are reported to the </w:t>
      </w:r>
      <w:r w:rsidDel="00000000" w:rsidR="00000000" w:rsidRPr="00000000">
        <w:rPr>
          <w:rFonts w:ascii="Calibri" w:cs="Calibri" w:eastAsia="Calibri" w:hAnsi="Calibri"/>
          <w:color w:val="00000a"/>
          <w:sz w:val="21"/>
          <w:szCs w:val="21"/>
          <w:highlight w:val="yellow"/>
          <w:rtl w:val="0"/>
        </w:rPr>
        <w:t xml:space="preserve">National Competent Authority where the manufacturer is based</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Contacts of the National Competent Authorities can be found in </w:t>
      </w:r>
      <w:r w:rsidDel="00000000" w:rsidR="00000000" w:rsidRPr="00000000">
        <w:rPr>
          <w:rFonts w:ascii="Calibri" w:cs="Calibri" w:eastAsia="Calibri" w:hAnsi="Calibri"/>
          <w:b w:val="1"/>
          <w:color w:val="00000a"/>
          <w:sz w:val="21"/>
          <w:szCs w:val="21"/>
          <w:rtl w:val="0"/>
        </w:rPr>
        <w:t xml:space="preserve">LST-VI-01 Regulatory Entities Contacts.</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Until the EUDAMED is fully functional and / or the reporting form is renewed, use the following templates:</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hyperlink r:id="rId9">
        <w:r w:rsidDel="00000000" w:rsidR="00000000" w:rsidRPr="00000000">
          <w:rPr>
            <w:rFonts w:ascii="Calibri" w:cs="Calibri" w:eastAsia="Calibri" w:hAnsi="Calibri"/>
            <w:color w:val="0000ff"/>
            <w:sz w:val="21"/>
            <w:szCs w:val="21"/>
            <w:u w:val="single"/>
            <w:rtl w:val="0"/>
          </w:rPr>
          <w:t xml:space="preserve">Manufacturer incident report</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Forms available from the applicable National Competent Authority.</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62">
      <w:pPr>
        <w:pStyle w:val="Heading3"/>
        <w:numPr>
          <w:ilvl w:val="1"/>
          <w:numId w:val="3"/>
        </w:numPr>
        <w:ind w:left="792" w:hanging="432"/>
        <w:rPr/>
      </w:pPr>
      <w:bookmarkStart w:colFirst="0" w:colLast="0" w:name="_heading=h.4i7ojhp" w:id="4"/>
      <w:bookmarkEnd w:id="4"/>
      <w:r w:rsidDel="00000000" w:rsidR="00000000" w:rsidRPr="00000000">
        <w:rPr>
          <w:rtl w:val="0"/>
        </w:rPr>
        <w:t xml:space="preserve">Reporting Deadlines</w:t>
      </w:r>
    </w:p>
    <w:p w:rsidR="00000000" w:rsidDel="00000000" w:rsidP="00000000" w:rsidRDefault="00000000" w:rsidRPr="00000000" w14:paraId="00000063">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timescale for reporting a serious incident is: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 the event of </w:t>
      </w:r>
      <w:r w:rsidDel="00000000" w:rsidR="00000000" w:rsidRPr="00000000">
        <w:rPr>
          <w:rFonts w:ascii="Calibri" w:cs="Calibri" w:eastAsia="Calibri" w:hAnsi="Calibri"/>
          <w:b w:val="1"/>
          <w:color w:val="000000"/>
          <w:sz w:val="21"/>
          <w:szCs w:val="21"/>
          <w:rtl w:val="0"/>
        </w:rPr>
        <w:t xml:space="preserve">imminent danger</w:t>
      </w:r>
      <w:r w:rsidDel="00000000" w:rsidR="00000000" w:rsidRPr="00000000">
        <w:rPr>
          <w:rFonts w:ascii="Calibri" w:cs="Calibri" w:eastAsia="Calibri" w:hAnsi="Calibri"/>
          <w:color w:val="000000"/>
          <w:sz w:val="21"/>
          <w:szCs w:val="21"/>
          <w:rtl w:val="0"/>
        </w:rPr>
        <w:t xml:space="preserve">:</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Immediately</w:t>
      </w:r>
      <w:r w:rsidDel="00000000" w:rsidR="00000000" w:rsidRPr="00000000">
        <w:rPr>
          <w:rFonts w:ascii="Calibri" w:cs="Calibri" w:eastAsia="Calibri" w:hAnsi="Calibri"/>
          <w:color w:val="000000"/>
          <w:sz w:val="21"/>
          <w:szCs w:val="21"/>
          <w:rtl w:val="0"/>
        </w:rPr>
        <w:t xml:space="preserve"> (without any delay that could not be justified)</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 the event of a </w:t>
      </w:r>
      <w:r w:rsidDel="00000000" w:rsidR="00000000" w:rsidRPr="00000000">
        <w:rPr>
          <w:rFonts w:ascii="Calibri" w:cs="Calibri" w:eastAsia="Calibri" w:hAnsi="Calibri"/>
          <w:b w:val="1"/>
          <w:color w:val="000000"/>
          <w:sz w:val="21"/>
          <w:szCs w:val="21"/>
          <w:rtl w:val="0"/>
        </w:rPr>
        <w:t xml:space="preserve">serious public health threat:</w:t>
      </w:r>
      <w:r w:rsidDel="00000000" w:rsidR="00000000" w:rsidRPr="00000000">
        <w:rPr>
          <w:rtl w:val="0"/>
        </w:rPr>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Immediately</w:t>
      </w:r>
      <w:r w:rsidDel="00000000" w:rsidR="00000000" w:rsidRPr="00000000">
        <w:rPr>
          <w:rFonts w:ascii="Calibri" w:cs="Calibri" w:eastAsia="Calibri" w:hAnsi="Calibri"/>
          <w:color w:val="000000"/>
          <w:sz w:val="21"/>
          <w:szCs w:val="21"/>
          <w:rtl w:val="0"/>
        </w:rPr>
        <w:t xml:space="preserve"> after a link was established between the device and the event, </w:t>
      </w:r>
      <w:r w:rsidDel="00000000" w:rsidR="00000000" w:rsidRPr="00000000">
        <w:rPr>
          <w:rFonts w:ascii="Calibri" w:cs="Calibri" w:eastAsia="Calibri" w:hAnsi="Calibri"/>
          <w:b w:val="1"/>
          <w:color w:val="000000"/>
          <w:sz w:val="21"/>
          <w:szCs w:val="21"/>
          <w:rtl w:val="0"/>
        </w:rPr>
        <w:t xml:space="preserve">but no later than 2 elapsed calendar days</w:t>
      </w:r>
      <w:r w:rsidDel="00000000" w:rsidR="00000000" w:rsidRPr="00000000">
        <w:rPr>
          <w:rFonts w:ascii="Calibri" w:cs="Calibri" w:eastAsia="Calibri" w:hAnsi="Calibri"/>
          <w:color w:val="000000"/>
          <w:sz w:val="21"/>
          <w:szCs w:val="21"/>
          <w:rtl w:val="0"/>
        </w:rPr>
        <w:t xml:space="preserve"> following the date of awareness of the event.</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Death or serious deterioration in state of health</w:t>
      </w:r>
      <w:r w:rsidDel="00000000" w:rsidR="00000000" w:rsidRPr="00000000">
        <w:rPr>
          <w:rFonts w:ascii="Calibri" w:cs="Calibri" w:eastAsia="Calibri" w:hAnsi="Calibri"/>
          <w:color w:val="000000"/>
          <w:sz w:val="21"/>
          <w:szCs w:val="21"/>
          <w:rtl w:val="0"/>
        </w:rPr>
        <w:t xml:space="preserve">:</w:t>
      </w:r>
    </w:p>
    <w:p w:rsidR="00000000" w:rsidDel="00000000" w:rsidP="00000000" w:rsidRDefault="00000000" w:rsidRPr="00000000" w14:paraId="00000069">
      <w:pPr>
        <w:numPr>
          <w:ilvl w:val="1"/>
          <w:numId w:val="4"/>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immediately</w:t>
      </w:r>
      <w:r w:rsidDel="00000000" w:rsidR="00000000" w:rsidRPr="00000000">
        <w:rPr>
          <w:rFonts w:ascii="Calibri" w:cs="Calibri" w:eastAsia="Calibri" w:hAnsi="Calibri"/>
          <w:color w:val="000000"/>
          <w:sz w:val="21"/>
          <w:szCs w:val="21"/>
          <w:rtl w:val="0"/>
        </w:rPr>
        <w:t xml:space="preserve"> after a link was established between the device and the event, </w:t>
      </w:r>
      <w:r w:rsidDel="00000000" w:rsidR="00000000" w:rsidRPr="00000000">
        <w:rPr>
          <w:rFonts w:ascii="Calibri" w:cs="Calibri" w:eastAsia="Calibri" w:hAnsi="Calibri"/>
          <w:b w:val="1"/>
          <w:color w:val="000000"/>
          <w:sz w:val="21"/>
          <w:szCs w:val="21"/>
          <w:rtl w:val="0"/>
        </w:rPr>
        <w:t xml:space="preserve">but no later than 10 elapsed calendar days</w:t>
      </w:r>
      <w:r w:rsidDel="00000000" w:rsidR="00000000" w:rsidRPr="00000000">
        <w:rPr>
          <w:rFonts w:ascii="Calibri" w:cs="Calibri" w:eastAsia="Calibri" w:hAnsi="Calibri"/>
          <w:color w:val="000000"/>
          <w:sz w:val="21"/>
          <w:szCs w:val="21"/>
          <w:rtl w:val="0"/>
        </w:rPr>
        <w:t xml:space="preserve"> following the date of awareness of the event.</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Other reportable incidents</w:t>
      </w:r>
      <w:r w:rsidDel="00000000" w:rsidR="00000000" w:rsidRPr="00000000">
        <w:rPr>
          <w:rFonts w:ascii="Calibri" w:cs="Calibri" w:eastAsia="Calibri" w:hAnsi="Calibri"/>
          <w:color w:val="000000"/>
          <w:sz w:val="21"/>
          <w:szCs w:val="21"/>
          <w:rtl w:val="0"/>
        </w:rPr>
        <w:t xml:space="preserve">:</w:t>
      </w:r>
    </w:p>
    <w:p w:rsidR="00000000" w:rsidDel="00000000" w:rsidP="00000000" w:rsidRDefault="00000000" w:rsidRPr="00000000" w14:paraId="0000006B">
      <w:pPr>
        <w:numPr>
          <w:ilvl w:val="1"/>
          <w:numId w:val="4"/>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Immediately</w:t>
      </w:r>
      <w:r w:rsidDel="00000000" w:rsidR="00000000" w:rsidRPr="00000000">
        <w:rPr>
          <w:rFonts w:ascii="Calibri" w:cs="Calibri" w:eastAsia="Calibri" w:hAnsi="Calibri"/>
          <w:color w:val="000000"/>
          <w:sz w:val="21"/>
          <w:szCs w:val="21"/>
          <w:rtl w:val="0"/>
        </w:rPr>
        <w:t xml:space="preserve"> after a link was established between the device and the event, </w:t>
      </w:r>
      <w:r w:rsidDel="00000000" w:rsidR="00000000" w:rsidRPr="00000000">
        <w:rPr>
          <w:rFonts w:ascii="Calibri" w:cs="Calibri" w:eastAsia="Calibri" w:hAnsi="Calibri"/>
          <w:b w:val="1"/>
          <w:color w:val="000000"/>
          <w:sz w:val="21"/>
          <w:szCs w:val="21"/>
          <w:rtl w:val="0"/>
        </w:rPr>
        <w:t xml:space="preserve">but not later than 15 elapsed calendar days</w:t>
      </w:r>
      <w:r w:rsidDel="00000000" w:rsidR="00000000" w:rsidRPr="00000000">
        <w:rPr>
          <w:rFonts w:ascii="Calibri" w:cs="Calibri" w:eastAsia="Calibri" w:hAnsi="Calibri"/>
          <w:color w:val="000000"/>
          <w:sz w:val="21"/>
          <w:szCs w:val="21"/>
          <w:rtl w:val="0"/>
        </w:rPr>
        <w:t xml:space="preserve"> following the date of awareness of the event.</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Field Safety Corrective Action</w:t>
      </w:r>
      <w:r w:rsidDel="00000000" w:rsidR="00000000" w:rsidRPr="00000000">
        <w:rPr>
          <w:rFonts w:ascii="Calibri" w:cs="Calibri" w:eastAsia="Calibri" w:hAnsi="Calibri"/>
          <w:color w:val="000000"/>
          <w:sz w:val="21"/>
          <w:szCs w:val="21"/>
          <w:rtl w:val="0"/>
        </w:rPr>
        <w:t xml:space="preserve"> (FSCA):</w:t>
      </w:r>
    </w:p>
    <w:p w:rsidR="00000000" w:rsidDel="00000000" w:rsidP="00000000" w:rsidRDefault="00000000" w:rsidRPr="00000000" w14:paraId="0000006D">
      <w:pPr>
        <w:numPr>
          <w:ilvl w:val="1"/>
          <w:numId w:val="4"/>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Immediately</w:t>
      </w:r>
      <w:r w:rsidDel="00000000" w:rsidR="00000000" w:rsidRPr="00000000">
        <w:rPr>
          <w:rFonts w:ascii="Calibri" w:cs="Calibri" w:eastAsia="Calibri" w:hAnsi="Calibri"/>
          <w:color w:val="000000"/>
          <w:sz w:val="21"/>
          <w:szCs w:val="21"/>
          <w:rtl w:val="0"/>
        </w:rPr>
        <w:t xml:space="preserve">, at latest with the beginning of the implementation of actions.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All report times refer to when the National Competent Authority must first be notified. In case of uncertainty whether the incident has to be reported or not, it is reported within the above deadlines.</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0">
      <w:pPr>
        <w:jc w:val="center"/>
        <w:rPr>
          <w:b w:val="1"/>
        </w:rPr>
      </w:pPr>
      <w:r w:rsidDel="00000000" w:rsidR="00000000" w:rsidRPr="00000000">
        <w:rPr>
          <w:b w:val="1"/>
        </w:rPr>
        <w:drawing>
          <wp:inline distB="114300" distT="114300" distL="114300" distR="114300">
            <wp:extent cx="5893147" cy="3509963"/>
            <wp:effectExtent b="0" l="0" r="0" t="0"/>
            <wp:docPr descr="Diagram&#10;&#10;Description automatically generated" id="5" name="image1.png"/>
            <a:graphic>
              <a:graphicData uri="http://schemas.openxmlformats.org/drawingml/2006/picture">
                <pic:pic>
                  <pic:nvPicPr>
                    <pic:cNvPr descr="Diagram&#10;&#10;Description automatically generated" id="0" name="image1.png"/>
                    <pic:cNvPicPr preferRelativeResize="0"/>
                  </pic:nvPicPr>
                  <pic:blipFill>
                    <a:blip r:embed="rId10"/>
                    <a:srcRect b="6762" l="11819" r="0" t="0"/>
                    <a:stretch>
                      <a:fillRect/>
                    </a:stretch>
                  </pic:blipFill>
                  <pic:spPr>
                    <a:xfrm>
                      <a:off x="0" y="0"/>
                      <a:ext cx="5893147"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before="24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2">
      <w:pPr>
        <w:pStyle w:val="Heading3"/>
        <w:numPr>
          <w:ilvl w:val="1"/>
          <w:numId w:val="3"/>
        </w:numPr>
        <w:ind w:left="792" w:hanging="432"/>
        <w:rPr/>
      </w:pPr>
      <w:r w:rsidDel="00000000" w:rsidR="00000000" w:rsidRPr="00000000">
        <w:rPr>
          <w:rtl w:val="0"/>
        </w:rPr>
        <w:t xml:space="preserve">Storage of Reports and Records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shall record the analysis of potential reportable incidents in the </w:t>
      </w:r>
      <w:r w:rsidDel="00000000" w:rsidR="00000000" w:rsidRPr="00000000">
        <w:rPr>
          <w:rFonts w:ascii="Calibri" w:cs="Calibri" w:eastAsia="Calibri" w:hAnsi="Calibri"/>
          <w:b w:val="1"/>
          <w:color w:val="000000"/>
          <w:sz w:val="21"/>
          <w:szCs w:val="21"/>
          <w:rtl w:val="0"/>
        </w:rPr>
        <w:t xml:space="preserve">FRM-VI-01 Incident Evaluation</w:t>
      </w:r>
      <w:r w:rsidDel="00000000" w:rsidR="00000000" w:rsidRPr="00000000">
        <w:rPr>
          <w:rFonts w:ascii="Calibri" w:cs="Calibri" w:eastAsia="Calibri" w:hAnsi="Calibri"/>
          <w:color w:val="00000a"/>
          <w:sz w:val="21"/>
          <w:szCs w:val="21"/>
          <w:rtl w:val="0"/>
        </w:rPr>
        <w:t xml:space="preserve">, listing the location of all reports, forms and other records.</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5">
      <w:pPr>
        <w:pStyle w:val="Heading3"/>
        <w:numPr>
          <w:ilvl w:val="1"/>
          <w:numId w:val="3"/>
        </w:numPr>
        <w:ind w:left="792" w:hanging="432"/>
        <w:rPr/>
      </w:pPr>
      <w:r w:rsidDel="00000000" w:rsidR="00000000" w:rsidRPr="00000000">
        <w:rPr>
          <w:rtl w:val="0"/>
        </w:rPr>
        <w:t xml:space="preserve">Reporting of Serious Incidents</w:t>
      </w:r>
    </w:p>
    <w:p w:rsidR="00000000" w:rsidDel="00000000" w:rsidP="00000000" w:rsidRDefault="00000000" w:rsidRPr="00000000" w14:paraId="00000076">
      <w:pPr>
        <w:pStyle w:val="Heading4"/>
        <w:numPr>
          <w:ilvl w:val="2"/>
          <w:numId w:val="3"/>
        </w:numPr>
        <w:ind w:left="1224" w:hanging="504.00000000000006"/>
        <w:rPr/>
      </w:pPr>
      <w:r w:rsidDel="00000000" w:rsidR="00000000" w:rsidRPr="00000000">
        <w:rPr>
          <w:rtl w:val="0"/>
        </w:rPr>
        <w:t xml:space="preserve">Becoming aware </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Any employee of the company once becoming aware of an event, such as coming either from feedback, complaint, notification/information from authorities or internal results (</w:t>
      </w:r>
      <w:r w:rsidDel="00000000" w:rsidR="00000000" w:rsidRPr="00000000">
        <w:rPr>
          <w:rFonts w:ascii="Calibri" w:cs="Calibri" w:eastAsia="Calibri" w:hAnsi="Calibri"/>
          <w:b w:val="1"/>
          <w:color w:val="00000a"/>
          <w:sz w:val="21"/>
          <w:szCs w:val="21"/>
          <w:rtl w:val="0"/>
        </w:rPr>
        <w:t xml:space="preserve">SOP-CM-01 Procedure Feedback and Complaint Management</w:t>
      </w:r>
      <w:r w:rsidDel="00000000" w:rsidR="00000000" w:rsidRPr="00000000">
        <w:rPr>
          <w:rFonts w:ascii="Calibri" w:cs="Calibri" w:eastAsia="Calibri" w:hAnsi="Calibri"/>
          <w:color w:val="00000a"/>
          <w:sz w:val="21"/>
          <w:szCs w:val="21"/>
          <w:rtl w:val="0"/>
        </w:rPr>
        <w:t xml:space="preserve">), informs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evaluates whether a serious incident has occurred. It should be assessed whether the incident is reportable, as described in the section </w:t>
      </w:r>
      <w:hyperlink w:anchor="_heading=h.4i7ojhp">
        <w:r w:rsidDel="00000000" w:rsidR="00000000" w:rsidRPr="00000000">
          <w:rPr>
            <w:rFonts w:ascii="Calibri" w:cs="Calibri" w:eastAsia="Calibri" w:hAnsi="Calibri"/>
            <w:color w:val="0000ff"/>
            <w:sz w:val="21"/>
            <w:szCs w:val="21"/>
            <w:u w:val="single"/>
            <w:rtl w:val="0"/>
          </w:rPr>
          <w:t xml:space="preserve">Reporting Deadlines</w:t>
        </w:r>
      </w:hyperlink>
      <w:r w:rsidDel="00000000" w:rsidR="00000000" w:rsidRPr="00000000">
        <w:rPr>
          <w:rFonts w:ascii="Calibri" w:cs="Calibri" w:eastAsia="Calibri" w:hAnsi="Calibri"/>
          <w:color w:val="00000a"/>
          <w:sz w:val="21"/>
          <w:szCs w:val="21"/>
          <w:rtl w:val="0"/>
        </w:rPr>
        <w:t xml:space="preserve">. The evaluation is documented in </w:t>
      </w:r>
      <w:r w:rsidDel="00000000" w:rsidR="00000000" w:rsidRPr="00000000">
        <w:rPr>
          <w:rFonts w:ascii="Calibri" w:cs="Calibri" w:eastAsia="Calibri" w:hAnsi="Calibri"/>
          <w:b w:val="1"/>
          <w:color w:val="000000"/>
          <w:sz w:val="21"/>
          <w:szCs w:val="21"/>
          <w:rtl w:val="0"/>
        </w:rPr>
        <w:t xml:space="preserve">FRM-VI-01 Incident Evaluation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authorities become aware of a potential incident and inform us, the event is assessed in the same way. If we do not classify it as a reportable incident, a justification must be provided within 15 days. However, if the National Competent Authority does not agree with the conclusion, we still report within the deadlines and take action, if necessary.</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B">
      <w:pPr>
        <w:pStyle w:val="Heading4"/>
        <w:numPr>
          <w:ilvl w:val="2"/>
          <w:numId w:val="3"/>
        </w:numPr>
        <w:ind w:left="1224" w:hanging="504.00000000000006"/>
        <w:rPr/>
      </w:pPr>
      <w:r w:rsidDel="00000000" w:rsidR="00000000" w:rsidRPr="00000000">
        <w:rPr>
          <w:rtl w:val="0"/>
        </w:rPr>
        <w:t xml:space="preserve">Investigation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investigates the root cause analysis of the event to determine if there is a causal relationship between the use of the medical device and the event. The investigation follows the </w:t>
      </w:r>
      <w:r w:rsidDel="00000000" w:rsidR="00000000" w:rsidRPr="00000000">
        <w:rPr>
          <w:rFonts w:ascii="Calibri" w:cs="Calibri" w:eastAsia="Calibri" w:hAnsi="Calibri"/>
          <w:b w:val="1"/>
          <w:color w:val="00000a"/>
          <w:sz w:val="21"/>
          <w:szCs w:val="21"/>
          <w:rtl w:val="0"/>
        </w:rPr>
        <w:t xml:space="preserve">SOP-CP-01 Procedure Corrective and Preventive Actions</w:t>
      </w:r>
      <w:r w:rsidDel="00000000" w:rsidR="00000000" w:rsidRPr="00000000">
        <w:rPr>
          <w:rFonts w:ascii="Calibri" w:cs="Calibri" w:eastAsia="Calibri" w:hAnsi="Calibri"/>
          <w:color w:val="00000a"/>
          <w:sz w:val="21"/>
          <w:szCs w:val="21"/>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there is no causal relationship, the event is not considered a reportable incident. </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 the case of uncertainty, the event is reported as a reportable incident.</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there is a relationship,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secondly evaluates if the event qualifies as a reportable incident by filling out the </w:t>
      </w:r>
      <w:r w:rsidDel="00000000" w:rsidR="00000000" w:rsidRPr="00000000">
        <w:rPr>
          <w:rFonts w:ascii="Calibri" w:cs="Calibri" w:eastAsia="Calibri" w:hAnsi="Calibri"/>
          <w:b w:val="1"/>
          <w:color w:val="000000"/>
          <w:sz w:val="21"/>
          <w:szCs w:val="21"/>
          <w:rtl w:val="0"/>
        </w:rPr>
        <w:t xml:space="preserve">FRM-VI-01 Incident Evaluation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It is also simultaneously checked whether and which safety corrective actions are necessary. This is assessed on the risk analysis if immediate action is required, such as:</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device recall;</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FSN to customers / distributors regarding FSCA and the action to be taken (e.g. workaround);</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pacing w:after="120" w:before="120" w:line="288" w:lineRule="auto"/>
        <w:ind w:left="3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no action, e.g. if the investigation shows that our device was not involved in the incident.</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No action will be taken during the investigation that results in a change to the product or a sample of the affected batch that could have an impact on a subsequent evaluation of the causes of the incident, prior to notifying the National Competent Authorities of such action.</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 case of doubts regarding the reporting requirement or if it was not possible to terminate the investigation / risk analysis within the reporting deadlines due to the lack of information,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reports the incident, if necessary, in an incomplete state (initial report).</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the incident is considered not reportable, the </w:t>
      </w:r>
      <w:r w:rsidDel="00000000" w:rsidR="00000000" w:rsidRPr="00000000">
        <w:rPr>
          <w:rFonts w:ascii="Calibri" w:cs="Calibri" w:eastAsia="Calibri" w:hAnsi="Calibri"/>
          <w:b w:val="1"/>
          <w:color w:val="00000a"/>
          <w:sz w:val="21"/>
          <w:szCs w:val="21"/>
          <w:rtl w:val="0"/>
        </w:rPr>
        <w:t xml:space="preserve">PPRC</w:t>
      </w:r>
      <w:r w:rsidDel="00000000" w:rsidR="00000000" w:rsidRPr="00000000">
        <w:rPr>
          <w:rFonts w:ascii="Calibri" w:cs="Calibri" w:eastAsia="Calibri" w:hAnsi="Calibri"/>
          <w:color w:val="00000a"/>
          <w:sz w:val="21"/>
          <w:szCs w:val="21"/>
          <w:rtl w:val="0"/>
        </w:rPr>
        <w:t xml:space="preserve"> it will be further evaluated </w:t>
      </w:r>
      <w:r w:rsidDel="00000000" w:rsidR="00000000" w:rsidRPr="00000000">
        <w:rPr>
          <w:rFonts w:ascii="Calibri" w:cs="Calibri" w:eastAsia="Calibri" w:hAnsi="Calibri"/>
          <w:color w:val="000000"/>
          <w:sz w:val="21"/>
          <w:szCs w:val="21"/>
          <w:rtl w:val="0"/>
        </w:rPr>
        <w:t xml:space="preserve">within the section </w:t>
      </w:r>
      <w:hyperlink w:anchor="_heading=h.3q5sasy">
        <w:r w:rsidDel="00000000" w:rsidR="00000000" w:rsidRPr="00000000">
          <w:rPr>
            <w:rFonts w:ascii="Calibri" w:cs="Calibri" w:eastAsia="Calibri" w:hAnsi="Calibri"/>
            <w:color w:val="0000ff"/>
            <w:sz w:val="21"/>
            <w:szCs w:val="21"/>
            <w:u w:val="single"/>
            <w:rtl w:val="0"/>
          </w:rPr>
          <w:t xml:space="preserve">Trend Reporting</w:t>
        </w:r>
      </w:hyperlink>
      <w:r w:rsidDel="00000000" w:rsidR="00000000" w:rsidRPr="00000000">
        <w:rPr>
          <w:rFonts w:ascii="Calibri" w:cs="Calibri" w:eastAsia="Calibri" w:hAnsi="Calibri"/>
          <w:color w:val="000000"/>
          <w:sz w:val="21"/>
          <w:szCs w:val="21"/>
          <w:rtl w:val="0"/>
        </w:rPr>
        <w:t xml:space="preserve">. </w:t>
      </w:r>
      <w:r w:rsidDel="00000000" w:rsidR="00000000" w:rsidRPr="00000000">
        <w:rPr>
          <w:rFonts w:ascii="Calibri" w:cs="Calibri" w:eastAsia="Calibri" w:hAnsi="Calibri"/>
          <w:color w:val="00000a"/>
          <w:sz w:val="21"/>
          <w:szCs w:val="21"/>
          <w:rtl w:val="0"/>
        </w:rPr>
        <w:t xml:space="preserve">No further action from this procedure is required.</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8">
      <w:pPr>
        <w:pStyle w:val="Heading3"/>
        <w:numPr>
          <w:ilvl w:val="1"/>
          <w:numId w:val="3"/>
        </w:numPr>
        <w:ind w:left="792" w:hanging="432"/>
        <w:rPr/>
      </w:pPr>
      <w:r w:rsidDel="00000000" w:rsidR="00000000" w:rsidRPr="00000000">
        <w:rPr>
          <w:rtl w:val="0"/>
        </w:rPr>
        <w:t xml:space="preserve">Reporting Incidents</w:t>
      </w:r>
    </w:p>
    <w:p w:rsidR="00000000" w:rsidDel="00000000" w:rsidP="00000000" w:rsidRDefault="00000000" w:rsidRPr="00000000" w14:paraId="00000089">
      <w:pPr>
        <w:pStyle w:val="Heading4"/>
        <w:numPr>
          <w:ilvl w:val="2"/>
          <w:numId w:val="3"/>
        </w:numPr>
        <w:ind w:left="1224" w:hanging="504.00000000000006"/>
        <w:rPr/>
      </w:pPr>
      <w:r w:rsidDel="00000000" w:rsidR="00000000" w:rsidRPr="00000000">
        <w:rPr>
          <w:rtl w:val="0"/>
        </w:rPr>
        <w:t xml:space="preserve">Initial Reporting</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Within the applicable reporting timescale as described in section </w:t>
      </w:r>
      <w:hyperlink w:anchor="bookmark=id.1y810tw">
        <w:r w:rsidDel="00000000" w:rsidR="00000000" w:rsidRPr="00000000">
          <w:rPr>
            <w:rFonts w:ascii="Calibri" w:cs="Calibri" w:eastAsia="Calibri" w:hAnsi="Calibri"/>
            <w:color w:val="0000ff"/>
            <w:sz w:val="21"/>
            <w:szCs w:val="21"/>
            <w:u w:val="single"/>
            <w:rtl w:val="0"/>
          </w:rPr>
          <w:t xml:space="preserve">Reporting Deadlines</w:t>
        </w:r>
      </w:hyperlink>
      <w:r w:rsidDel="00000000" w:rsidR="00000000" w:rsidRPr="00000000">
        <w:rPr>
          <w:rFonts w:ascii="Calibri" w:cs="Calibri" w:eastAsia="Calibri" w:hAnsi="Calibri"/>
          <w:color w:val="000000"/>
          <w:sz w:val="21"/>
          <w:szCs w:val="21"/>
          <w:rtl w:val="0"/>
        </w:rPr>
        <w:t xml:space="preserve">, the </w:t>
      </w:r>
      <w:r w:rsidDel="00000000" w:rsidR="00000000" w:rsidRPr="00000000">
        <w:rPr>
          <w:rFonts w:ascii="Calibri" w:cs="Calibri" w:eastAsia="Calibri" w:hAnsi="Calibri"/>
          <w:b w:val="1"/>
          <w:color w:val="000000"/>
          <w:sz w:val="21"/>
          <w:szCs w:val="21"/>
          <w:rtl w:val="0"/>
        </w:rPr>
        <w:t xml:space="preserve">PRRC</w:t>
      </w:r>
      <w:r w:rsidDel="00000000" w:rsidR="00000000" w:rsidRPr="00000000">
        <w:rPr>
          <w:rFonts w:ascii="Calibri" w:cs="Calibri" w:eastAsia="Calibri" w:hAnsi="Calibri"/>
          <w:color w:val="000000"/>
          <w:sz w:val="21"/>
          <w:szCs w:val="21"/>
          <w:rtl w:val="0"/>
        </w:rPr>
        <w:t xml:space="preserve"> informs the responsible National Competent Authority about the event using respective reporting forms.</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If applicable, a copy of the report is sent to the Notified Body involved in the conformity assessment procedure of the device.</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fills out the Manufacturer Incident Report (indicated in the section </w:t>
      </w:r>
      <w:hyperlink w:anchor="_heading=h.3j2qqm3">
        <w:r w:rsidDel="00000000" w:rsidR="00000000" w:rsidRPr="00000000">
          <w:rPr>
            <w:rFonts w:ascii="Calibri" w:cs="Calibri" w:eastAsia="Calibri" w:hAnsi="Calibri"/>
            <w:color w:val="0000ff"/>
            <w:sz w:val="21"/>
            <w:szCs w:val="21"/>
            <w:u w:val="single"/>
            <w:rtl w:val="0"/>
          </w:rPr>
          <w:t xml:space="preserve">Involved Authorities</w:t>
        </w:r>
      </w:hyperlink>
      <w:r w:rsidDel="00000000" w:rsidR="00000000" w:rsidRPr="00000000">
        <w:rPr>
          <w:rFonts w:ascii="Calibri" w:cs="Calibri" w:eastAsia="Calibri" w:hAnsi="Calibri"/>
          <w:color w:val="00000a"/>
          <w:sz w:val="21"/>
          <w:szCs w:val="21"/>
          <w:rtl w:val="0"/>
        </w:rPr>
        <w:t xml:space="preserve">) as far as reasonable and possible.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at this time it is already known that a FSCA is required, a draft of the FSN is also forwarded to the National Competent Authority for comments along with the incident report. In urgent cases, the preliminary commenting by the National Competent Authority can be waived. If not ready yet, once available it should be forwarded to the National Competent Authorities. The section </w:t>
      </w:r>
      <w:hyperlink w:anchor="_heading=h.3tbugp1">
        <w:r w:rsidDel="00000000" w:rsidR="00000000" w:rsidRPr="00000000">
          <w:rPr>
            <w:rFonts w:ascii="Calibri" w:cs="Calibri" w:eastAsia="Calibri" w:hAnsi="Calibri"/>
            <w:color w:val="0000ff"/>
            <w:sz w:val="21"/>
            <w:szCs w:val="21"/>
            <w:u w:val="single"/>
            <w:rtl w:val="0"/>
          </w:rPr>
          <w:t xml:space="preserve">Implementing and Reporting of FSCA</w:t>
        </w:r>
      </w:hyperlink>
      <w:r w:rsidDel="00000000" w:rsidR="00000000" w:rsidRPr="00000000">
        <w:rPr>
          <w:rFonts w:ascii="Calibri" w:cs="Calibri" w:eastAsia="Calibri" w:hAnsi="Calibri"/>
          <w:color w:val="00000a"/>
          <w:sz w:val="21"/>
          <w:szCs w:val="21"/>
          <w:rtl w:val="0"/>
        </w:rPr>
        <w:t xml:space="preserve"> is triggered in this case, and upon notification, the safety corrective action is implemented.</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F">
      <w:pPr>
        <w:pStyle w:val="Heading4"/>
        <w:numPr>
          <w:ilvl w:val="2"/>
          <w:numId w:val="3"/>
        </w:numPr>
        <w:ind w:left="1224" w:hanging="504.00000000000006"/>
        <w:rPr/>
      </w:pPr>
      <w:r w:rsidDel="00000000" w:rsidR="00000000" w:rsidRPr="00000000">
        <w:rPr>
          <w:rtl w:val="0"/>
        </w:rPr>
        <w:t xml:space="preserve">Proceeding the investigation and determining actions</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the investigation has not yet been closed,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proceeds with the investigation according to </w:t>
      </w:r>
      <w:r w:rsidDel="00000000" w:rsidR="00000000" w:rsidRPr="00000000">
        <w:rPr>
          <w:rFonts w:ascii="Calibri" w:cs="Calibri" w:eastAsia="Calibri" w:hAnsi="Calibri"/>
          <w:b w:val="1"/>
          <w:color w:val="00000a"/>
          <w:sz w:val="21"/>
          <w:szCs w:val="21"/>
          <w:rtl w:val="0"/>
        </w:rPr>
        <w:t xml:space="preserve">SOP-CP-01 Procedure Corrective and Preventive Actions</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There should be cooperation with the authorities (possibly also other involved member states) and, if necessary, the Notified Body in the investigation and definition of the actions, considering the findings of the National Competent Authorities and Notified Body and if requested/needed provide them with information, documents or other materials.</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93">
      <w:pPr>
        <w:pStyle w:val="Heading4"/>
        <w:numPr>
          <w:ilvl w:val="2"/>
          <w:numId w:val="3"/>
        </w:numPr>
        <w:ind w:left="1224" w:hanging="504.00000000000006"/>
        <w:rPr/>
      </w:pPr>
      <w:r w:rsidDel="00000000" w:rsidR="00000000" w:rsidRPr="00000000">
        <w:rPr>
          <w:rtl w:val="0"/>
        </w:rPr>
        <w:t xml:space="preserve">Completing the report</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an incomplete report had to be made initially to meet the required deadlines, a corresponding completed follow-up report will be created using the same form and sent to the National Competent Authority.</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the investigation cannot be completed within the reporting deadline,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sends a follow-up report with the same form to the authorities involved, thus notifying the National Competent Authority of any delays that may have occurred.</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97">
      <w:pPr>
        <w:pStyle w:val="Heading3"/>
        <w:numPr>
          <w:ilvl w:val="1"/>
          <w:numId w:val="3"/>
        </w:numPr>
        <w:ind w:left="792" w:hanging="432"/>
        <w:rPr/>
      </w:pPr>
      <w:bookmarkStart w:colFirst="0" w:colLast="0" w:name="_heading=h.3tbugp1" w:id="5"/>
      <w:bookmarkEnd w:id="5"/>
      <w:r w:rsidDel="00000000" w:rsidR="00000000" w:rsidRPr="00000000">
        <w:rPr>
          <w:rtl w:val="0"/>
        </w:rPr>
        <w:t xml:space="preserve">Field Safety Corrective Actions</w:t>
      </w:r>
    </w:p>
    <w:p w:rsidR="00000000" w:rsidDel="00000000" w:rsidP="00000000" w:rsidRDefault="00000000" w:rsidRPr="00000000" w14:paraId="00000098">
      <w:pPr>
        <w:pStyle w:val="Heading4"/>
        <w:numPr>
          <w:ilvl w:val="2"/>
          <w:numId w:val="3"/>
        </w:numPr>
        <w:ind w:left="1224" w:hanging="504.00000000000006"/>
        <w:rPr/>
      </w:pPr>
      <w:r w:rsidDel="00000000" w:rsidR="00000000" w:rsidRPr="00000000">
        <w:rPr>
          <w:rtl w:val="0"/>
        </w:rPr>
        <w:t xml:space="preserve">Implementing FSCA</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Based on a risk and root cause analysis of the event, the </w:t>
      </w:r>
      <w:r w:rsidDel="00000000" w:rsidR="00000000" w:rsidRPr="00000000">
        <w:rPr>
          <w:rFonts w:ascii="Calibri" w:cs="Calibri" w:eastAsia="Calibri" w:hAnsi="Calibri"/>
          <w:b w:val="1"/>
          <w:color w:val="000000"/>
          <w:sz w:val="21"/>
          <w:szCs w:val="21"/>
          <w:rtl w:val="0"/>
        </w:rPr>
        <w:t xml:space="preserve">PRRC</w:t>
      </w:r>
      <w:r w:rsidDel="00000000" w:rsidR="00000000" w:rsidRPr="00000000">
        <w:rPr>
          <w:rFonts w:ascii="Calibri" w:cs="Calibri" w:eastAsia="Calibri" w:hAnsi="Calibri"/>
          <w:color w:val="000000"/>
          <w:sz w:val="21"/>
          <w:szCs w:val="21"/>
          <w:rtl w:val="0"/>
        </w:rPr>
        <w:t xml:space="preserve"> decides if FSCAs are required to reduce existing risks. </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Before actions are taken, users / customers are informed about such as part of a field safety notice (FSN).</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FSN is written in the language of the respective country and must at minimum include:</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Subject: </w:t>
      </w:r>
      <w:r w:rsidDel="00000000" w:rsidR="00000000" w:rsidRPr="00000000">
        <w:rPr>
          <w:rFonts w:ascii="Calibri" w:cs="Calibri" w:eastAsia="Calibri" w:hAnsi="Calibri"/>
          <w:b w:val="1"/>
          <w:color w:val="000000"/>
          <w:sz w:val="21"/>
          <w:szCs w:val="21"/>
          <w:rtl w:val="0"/>
        </w:rPr>
        <w:t xml:space="preserve">Safety Alert </w:t>
      </w:r>
      <w:r w:rsidDel="00000000" w:rsidR="00000000" w:rsidRPr="00000000">
        <w:rPr>
          <w:rFonts w:ascii="Calibri" w:cs="Calibri" w:eastAsia="Calibri" w:hAnsi="Calibri"/>
          <w:color w:val="000000"/>
          <w:sz w:val="21"/>
          <w:szCs w:val="21"/>
          <w:rtl w:val="0"/>
        </w:rPr>
        <w:t xml:space="preserve">or </w:t>
      </w:r>
      <w:r w:rsidDel="00000000" w:rsidR="00000000" w:rsidRPr="00000000">
        <w:rPr>
          <w:rFonts w:ascii="Calibri" w:cs="Calibri" w:eastAsia="Calibri" w:hAnsi="Calibri"/>
          <w:b w:val="1"/>
          <w:color w:val="000000"/>
          <w:sz w:val="21"/>
          <w:szCs w:val="21"/>
          <w:rtl w:val="0"/>
        </w:rPr>
        <w:t xml:space="preserve">Urgent Safety Notice</w:t>
      </w:r>
      <w:r w:rsidDel="00000000" w:rsidR="00000000" w:rsidRPr="00000000">
        <w:rPr>
          <w:rFonts w:ascii="Calibri" w:cs="Calibri" w:eastAsia="Calibri" w:hAnsi="Calibri"/>
          <w:color w:val="000000"/>
          <w:sz w:val="21"/>
          <w:szCs w:val="21"/>
          <w:rtl w:val="0"/>
        </w:rPr>
        <w:t xml:space="preserve"> (a clear title on the notice itself)</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Manufacturer information (e.g., contact details)</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 clear statement on the intended audience</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Information to identify the affected devices (e.g., device name and software version)</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Description of the incident problem including resulting risks and the reasons for FSCA and, where appropriate, the likelihood of occurrence, being mindful of the intended audience</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If applicable, actions recommended to the user / customer. For example, this could include actions to restore the safety or recommended clinical investigations.</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Where appropriate, include time frames by which the action(s) should be taken by the manufacturer and user.</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Designated contact point for the recipient of the Field Safety Notice to use to obtain further information. </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When applicable, the notice will contain a request to inform customers/ or patients who received the product.</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rtl w:val="0"/>
        </w:rPr>
        <w:t xml:space="preserve">The </w:t>
      </w:r>
      <w:r w:rsidDel="00000000" w:rsidR="00000000" w:rsidRPr="00000000">
        <w:rPr>
          <w:rFonts w:ascii="Calibri" w:cs="Calibri" w:eastAsia="Calibri" w:hAnsi="Calibri"/>
          <w:b w:val="1"/>
          <w:color w:val="000000"/>
          <w:sz w:val="21"/>
          <w:szCs w:val="21"/>
          <w:rtl w:val="0"/>
        </w:rPr>
        <w:t xml:space="preserve">PRRC</w:t>
      </w:r>
      <w:r w:rsidDel="00000000" w:rsidR="00000000" w:rsidRPr="00000000">
        <w:rPr>
          <w:rFonts w:ascii="Calibri" w:cs="Calibri" w:eastAsia="Calibri" w:hAnsi="Calibri"/>
          <w:color w:val="000000"/>
          <w:sz w:val="21"/>
          <w:szCs w:val="21"/>
          <w:rtl w:val="0"/>
        </w:rPr>
        <w:t xml:space="preserve"> with the help of </w:t>
      </w:r>
      <w:r w:rsidDel="00000000" w:rsidR="00000000" w:rsidRPr="00000000">
        <w:rPr>
          <w:rFonts w:ascii="Calibri" w:cs="Calibri" w:eastAsia="Calibri" w:hAnsi="Calibri"/>
          <w:b w:val="1"/>
          <w:color w:val="000000"/>
          <w:sz w:val="21"/>
          <w:szCs w:val="21"/>
          <w:highlight w:val="yellow"/>
          <w:rtl w:val="0"/>
        </w:rPr>
        <w:t xml:space="preserve">Sales department</w:t>
      </w:r>
      <w:r w:rsidDel="00000000" w:rsidR="00000000" w:rsidRPr="00000000">
        <w:rPr>
          <w:rFonts w:ascii="Calibri" w:cs="Calibri" w:eastAsia="Calibri" w:hAnsi="Calibri"/>
          <w:color w:val="000000"/>
          <w:sz w:val="21"/>
          <w:szCs w:val="21"/>
          <w:rtl w:val="0"/>
        </w:rPr>
        <w:t xml:space="preserve"> identifies the affected customers based on our traceability data. We inform all of the affected customers by means of a safety alert/recommendation for action in the respective language of the country. </w:t>
      </w:r>
      <w:r w:rsidDel="00000000" w:rsidR="00000000" w:rsidRPr="00000000">
        <w:rPr>
          <w:rFonts w:ascii="Calibri" w:cs="Calibri" w:eastAsia="Calibri" w:hAnsi="Calibri"/>
          <w:color w:val="00000a"/>
          <w:sz w:val="21"/>
          <w:szCs w:val="21"/>
          <w:rtl w:val="0"/>
        </w:rPr>
        <w:t xml:space="preserve">Customers confirm the receipt of FSNs as well as the implementation of recommended actions. If a customer does not respond, at least three attempts for delivery (ideally via different means) should be made and documented.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documents if there are still customers who have not responded or if they refuse the implementation of the action.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documents a summary of the phone calls or meetings, if a customer does not respond in writing.</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is responsible for coordinating and monitoring the implementation of the actions planned in the process in collaboration with </w:t>
      </w:r>
      <w:r w:rsidDel="00000000" w:rsidR="00000000" w:rsidRPr="00000000">
        <w:rPr>
          <w:rFonts w:ascii="Calibri" w:cs="Calibri" w:eastAsia="Calibri" w:hAnsi="Calibri"/>
          <w:b w:val="1"/>
          <w:color w:val="00000a"/>
          <w:sz w:val="21"/>
          <w:szCs w:val="21"/>
          <w:highlight w:val="yellow"/>
          <w:rtl w:val="0"/>
        </w:rPr>
        <w:t xml:space="preserve">Sales and Support team</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the direct contact with the user is not possible, indirect communication channels (e.g. via medical specialists) or publication of the FSN via other suitable channels.</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All FSCA are documented and a copy of the FSN shall be archived.</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B">
      <w:pPr>
        <w:pStyle w:val="Heading4"/>
        <w:numPr>
          <w:ilvl w:val="2"/>
          <w:numId w:val="3"/>
        </w:numPr>
        <w:ind w:left="1224" w:hanging="504.00000000000006"/>
        <w:rPr/>
      </w:pPr>
      <w:r w:rsidDel="00000000" w:rsidR="00000000" w:rsidRPr="00000000">
        <w:rPr>
          <w:rtl w:val="0"/>
        </w:rPr>
        <w:t xml:space="preserve">Monitoring the implementation and checking the effectiveness</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Following the implementation of the actions,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verifies if they have effectively been implemented at the customer.</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AE">
      <w:pPr>
        <w:pStyle w:val="Heading4"/>
        <w:numPr>
          <w:ilvl w:val="2"/>
          <w:numId w:val="3"/>
        </w:numPr>
        <w:ind w:left="1224" w:hanging="504.00000000000006"/>
        <w:rPr/>
      </w:pPr>
      <w:r w:rsidDel="00000000" w:rsidR="00000000" w:rsidRPr="00000000">
        <w:rPr>
          <w:rtl w:val="0"/>
        </w:rPr>
        <w:t xml:space="preserve">Preparing final / follow-up report, submitting and closing FSCA</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Following the implementation of all FSCAs,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sends a final report to the involved authorities (if not already done) and to the Notified Body. </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responds to all questions of the authorities and the Notified Body in a timely manner. We document the reports and the correspondence in the incident/FSCA file.</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B2">
      <w:pPr>
        <w:pStyle w:val="Heading3"/>
        <w:numPr>
          <w:ilvl w:val="1"/>
          <w:numId w:val="3"/>
        </w:numPr>
        <w:ind w:left="792" w:hanging="432"/>
        <w:rPr/>
      </w:pPr>
      <w:r w:rsidDel="00000000" w:rsidR="00000000" w:rsidRPr="00000000">
        <w:rPr>
          <w:rtl w:val="0"/>
        </w:rPr>
        <w:t xml:space="preserve">Checking the effectiveness and closing the case</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Following the implementation of the actions,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verifies within the </w:t>
      </w:r>
      <w:r w:rsidDel="00000000" w:rsidR="00000000" w:rsidRPr="00000000">
        <w:rPr>
          <w:rFonts w:ascii="Calibri" w:cs="Calibri" w:eastAsia="Calibri" w:hAnsi="Calibri"/>
          <w:b w:val="1"/>
          <w:color w:val="00000a"/>
          <w:sz w:val="21"/>
          <w:szCs w:val="21"/>
          <w:rtl w:val="0"/>
        </w:rPr>
        <w:t xml:space="preserve">SOP-CP-01 Procedure Corrective and Preventive Actions</w:t>
      </w:r>
      <w:r w:rsidDel="00000000" w:rsidR="00000000" w:rsidRPr="00000000">
        <w:rPr>
          <w:rFonts w:ascii="Calibri" w:cs="Calibri" w:eastAsia="Calibri" w:hAnsi="Calibri"/>
          <w:color w:val="00000a"/>
          <w:sz w:val="21"/>
          <w:szCs w:val="21"/>
          <w:rtl w:val="0"/>
        </w:rPr>
        <w:t xml:space="preserve"> if they have been effective. This can be for example by means of feedback of the affected customers or verification of bug fixes.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further defines actions, if the actions taken to date have not been effective. Otherwise,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documents the effectiveness check and closes the case.</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the implemented actions have been verified and documented as effective, no further actions are necessary and the form has been completed (as far as reasonable and possible), the case can be closed and the final report can be submitted.</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B7">
      <w:pPr>
        <w:pStyle w:val="Heading3"/>
        <w:numPr>
          <w:ilvl w:val="1"/>
          <w:numId w:val="3"/>
        </w:numPr>
        <w:ind w:left="792" w:hanging="432"/>
        <w:rPr/>
      </w:pPr>
      <w:r w:rsidDel="00000000" w:rsidR="00000000" w:rsidRPr="00000000">
        <w:rPr>
          <w:rtl w:val="0"/>
        </w:rPr>
        <w:t xml:space="preserve">Preparing and submitting final / follow-up report</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Following the implementation of all FSCAs,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sends a final report to the involved authorities (if not already done) and to the Notified Body. </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responds to all questions of the authorities and the Notified Body in a timely manner. 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documents the reports and the correspondence in the incident/FSCA file.</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it has been agreed with the authorities, the PRRC reports several reportable incidents with the same device (product type) periodically. If all required information is already available, the PRRC sends a final report to the authority / authorities.</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18"/>
          <w:szCs w:val="18"/>
        </w:rPr>
      </w:pPr>
      <w:r w:rsidDel="00000000" w:rsidR="00000000" w:rsidRPr="00000000">
        <w:rPr>
          <w:rtl w:val="0"/>
        </w:rPr>
      </w:r>
    </w:p>
    <w:p w:rsidR="00000000" w:rsidDel="00000000" w:rsidP="00000000" w:rsidRDefault="00000000" w:rsidRPr="00000000" w14:paraId="000000BC">
      <w:pPr>
        <w:pStyle w:val="Heading3"/>
        <w:numPr>
          <w:ilvl w:val="1"/>
          <w:numId w:val="3"/>
        </w:numPr>
        <w:ind w:left="792" w:hanging="432"/>
        <w:rPr/>
      </w:pPr>
      <w:bookmarkStart w:colFirst="0" w:colLast="0" w:name="_heading=h.3q5sasy" w:id="6"/>
      <w:bookmarkEnd w:id="6"/>
      <w:r w:rsidDel="00000000" w:rsidR="00000000" w:rsidRPr="00000000">
        <w:rPr>
          <w:rtl w:val="0"/>
        </w:rPr>
        <w:t xml:space="preserve">Trend Reporting</w:t>
      </w:r>
    </w:p>
    <w:p w:rsidR="00000000" w:rsidDel="00000000" w:rsidP="00000000" w:rsidRDefault="00000000" w:rsidRPr="00000000" w14:paraId="000000BD">
      <w:pPr>
        <w:pStyle w:val="Heading4"/>
        <w:numPr>
          <w:ilvl w:val="2"/>
          <w:numId w:val="3"/>
        </w:numPr>
        <w:ind w:left="1224" w:hanging="504.00000000000006"/>
        <w:rPr/>
      </w:pPr>
      <w:r w:rsidDel="00000000" w:rsidR="00000000" w:rsidRPr="00000000">
        <w:rPr>
          <w:rtl w:val="0"/>
        </w:rPr>
        <w:t xml:space="preserve">Preparing and submitting the trend report</w:t>
      </w:r>
    </w:p>
    <w:p w:rsidR="00000000" w:rsidDel="00000000" w:rsidP="00000000" w:rsidRDefault="00000000" w:rsidRPr="00000000" w14:paraId="000000BE">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reporting of trends will be done via the EUDAMED, once it is functional.</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a reportable trend is identified in the </w:t>
      </w:r>
      <w:r w:rsidDel="00000000" w:rsidR="00000000" w:rsidRPr="00000000">
        <w:rPr>
          <w:rFonts w:ascii="Calibri" w:cs="Calibri" w:eastAsia="Calibri" w:hAnsi="Calibri"/>
          <w:b w:val="1"/>
          <w:color w:val="00000a"/>
          <w:sz w:val="21"/>
          <w:szCs w:val="21"/>
          <w:rtl w:val="0"/>
        </w:rPr>
        <w:t xml:space="preserve">SOP-PM-01 Procedure Post Market Surveillance, </w:t>
      </w:r>
      <w:r w:rsidDel="00000000" w:rsidR="00000000" w:rsidRPr="00000000">
        <w:rPr>
          <w:rFonts w:ascii="Calibri" w:cs="Calibri" w:eastAsia="Calibri" w:hAnsi="Calibri"/>
          <w:color w:val="00000a"/>
          <w:sz w:val="21"/>
          <w:szCs w:val="21"/>
          <w:rtl w:val="0"/>
        </w:rPr>
        <w:t xml:space="preserve">the PRRC informs the relevant authorities. For this purpose, we send a (possibly incomplete) trend report using the form specified in section </w:t>
      </w:r>
      <w:hyperlink w:anchor="bookmark=id.z337ya">
        <w:r w:rsidDel="00000000" w:rsidR="00000000" w:rsidRPr="00000000">
          <w:rPr>
            <w:rFonts w:ascii="Calibri" w:cs="Calibri" w:eastAsia="Calibri" w:hAnsi="Calibri"/>
            <w:color w:val="0000ff"/>
            <w:sz w:val="21"/>
            <w:szCs w:val="21"/>
            <w:u w:val="single"/>
            <w:rtl w:val="0"/>
          </w:rPr>
          <w:t xml:space="preserve">Involved Authorities</w:t>
        </w:r>
      </w:hyperlink>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color w:val="00000a"/>
          <w:sz w:val="21"/>
          <w:szCs w:val="21"/>
          <w:rtl w:val="0"/>
        </w:rPr>
        <w:t xml:space="preserve">Upon identification, a root cause analysis and action planning should be performed by following </w:t>
      </w:r>
      <w:r w:rsidDel="00000000" w:rsidR="00000000" w:rsidRPr="00000000">
        <w:rPr>
          <w:rFonts w:ascii="Calibri" w:cs="Calibri" w:eastAsia="Calibri" w:hAnsi="Calibri"/>
          <w:b w:val="1"/>
          <w:color w:val="00000a"/>
          <w:sz w:val="21"/>
          <w:szCs w:val="21"/>
          <w:rtl w:val="0"/>
        </w:rPr>
        <w:t xml:space="preserve">SOP-CP-01 Procedure Corrective and Preventive Actions.</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bookmarkStart w:colFirst="0" w:colLast="0" w:name="bookmark=id.2iq8gzs" w:id="7"/>
    <w:bookmarkEnd w:id="7"/>
    <w:bookmarkStart w:colFirst="0" w:colLast="0" w:name="bookmark=id.43ky6rz" w:id="8"/>
    <w:bookmarkEnd w:id="8"/>
    <w:p w:rsidR="00000000" w:rsidDel="00000000" w:rsidP="00000000" w:rsidRDefault="00000000" w:rsidRPr="00000000" w14:paraId="000000C2">
      <w:pPr>
        <w:pStyle w:val="Heading4"/>
        <w:numPr>
          <w:ilvl w:val="2"/>
          <w:numId w:val="3"/>
        </w:numPr>
        <w:ind w:left="1224" w:hanging="504.00000000000006"/>
        <w:rPr/>
      </w:pPr>
      <w:r w:rsidDel="00000000" w:rsidR="00000000" w:rsidRPr="00000000">
        <w:rPr>
          <w:rtl w:val="0"/>
        </w:rPr>
        <w:t xml:space="preserve">Coordinating actions, finalizing report</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Actions are coordinated with the responsible authority and supplement the trend report with our final action plan and additional information, if necessary.</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w:t>
      </w:r>
      <w:r w:rsidDel="00000000" w:rsidR="00000000" w:rsidRPr="00000000">
        <w:rPr>
          <w:rFonts w:ascii="Calibri" w:cs="Calibri" w:eastAsia="Calibri" w:hAnsi="Calibri"/>
          <w:b w:val="1"/>
          <w:color w:val="00000a"/>
          <w:sz w:val="21"/>
          <w:szCs w:val="21"/>
          <w:rtl w:val="0"/>
        </w:rPr>
        <w:t xml:space="preserve">PRRC</w:t>
      </w:r>
      <w:r w:rsidDel="00000000" w:rsidR="00000000" w:rsidRPr="00000000">
        <w:rPr>
          <w:rFonts w:ascii="Calibri" w:cs="Calibri" w:eastAsia="Calibri" w:hAnsi="Calibri"/>
          <w:color w:val="00000a"/>
          <w:sz w:val="21"/>
          <w:szCs w:val="21"/>
          <w:rtl w:val="0"/>
        </w:rPr>
        <w:t xml:space="preserve"> submits the final report and monitors the implementation of the measures. This includes checking that the information in our reports from </w:t>
      </w:r>
      <w:r w:rsidDel="00000000" w:rsidR="00000000" w:rsidRPr="00000000">
        <w:rPr>
          <w:rFonts w:ascii="Calibri" w:cs="Calibri" w:eastAsia="Calibri" w:hAnsi="Calibri"/>
          <w:b w:val="1"/>
          <w:color w:val="00000a"/>
          <w:sz w:val="21"/>
          <w:szCs w:val="21"/>
          <w:rtl w:val="0"/>
        </w:rPr>
        <w:t xml:space="preserve">SOP-PM-01 Procedure Post Market Surveillance</w:t>
      </w:r>
      <w:r w:rsidDel="00000000" w:rsidR="00000000" w:rsidRPr="00000000">
        <w:rPr>
          <w:rFonts w:ascii="Calibri" w:cs="Calibri" w:eastAsia="Calibri" w:hAnsi="Calibri"/>
          <w:color w:val="00000a"/>
          <w:sz w:val="21"/>
          <w:szCs w:val="21"/>
          <w:rtl w:val="0"/>
        </w:rPr>
        <w:t xml:space="preserve"> is updated.</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C6">
      <w:pPr>
        <w:pStyle w:val="Heading2"/>
        <w:numPr>
          <w:ilvl w:val="0"/>
          <w:numId w:val="3"/>
        </w:numPr>
        <w:ind w:left="360" w:hanging="360"/>
        <w:rPr/>
      </w:pPr>
      <w:r w:rsidDel="00000000" w:rsidR="00000000" w:rsidRPr="00000000">
        <w:rPr>
          <w:rtl w:val="0"/>
        </w:rPr>
        <w:t xml:space="preserve">Annex</w:t>
      </w:r>
    </w:p>
    <w:p w:rsidR="00000000" w:rsidDel="00000000" w:rsidP="00000000" w:rsidRDefault="00000000" w:rsidRPr="00000000" w14:paraId="000000C7">
      <w:pPr>
        <w:pStyle w:val="Heading3"/>
        <w:numPr>
          <w:ilvl w:val="1"/>
          <w:numId w:val="3"/>
        </w:numPr>
        <w:ind w:left="792" w:hanging="432"/>
        <w:rPr/>
      </w:pPr>
      <w:r w:rsidDel="00000000" w:rsidR="00000000" w:rsidRPr="00000000">
        <w:rPr>
          <w:rtl w:val="0"/>
        </w:rPr>
        <w:t xml:space="preserve">Applicable and relevant documents</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shd w:fill="dddddd" w:val="clear"/>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shd w:fill="dddddd" w:val="clear"/>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SOP-CM-01</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Procedure Feedback and Complaint Management</w:t>
            </w:r>
            <w:r w:rsidDel="00000000" w:rsidR="00000000" w:rsidRPr="00000000">
              <w:rPr>
                <w:rtl w:val="0"/>
              </w:rPr>
            </w:r>
          </w:p>
        </w:tc>
      </w:tr>
      <w:tr>
        <w:trPr>
          <w:cantSplit w:val="0"/>
          <w:tblHeader w:val="0"/>
        </w:trPr>
        <w:tc>
          <w:tcPr/>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SOP-PM-01</w:t>
            </w:r>
            <w:r w:rsidDel="00000000" w:rsidR="00000000" w:rsidRPr="00000000">
              <w:rPr>
                <w:rtl w:val="0"/>
              </w:rPr>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Procedure Post-Market Surveillance</w:t>
            </w:r>
            <w:r w:rsidDel="00000000" w:rsidR="00000000" w:rsidRPr="00000000">
              <w:rPr>
                <w:rtl w:val="0"/>
              </w:rPr>
            </w:r>
          </w:p>
        </w:tc>
      </w:tr>
      <w:tr>
        <w:trPr>
          <w:cantSplit w:val="0"/>
          <w:tblHeader w:val="0"/>
        </w:trPr>
        <w:tc>
          <w:tcPr/>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SOP-CP-01</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Procedure Corrective and Preventive Actions</w:t>
            </w:r>
          </w:p>
        </w:tc>
      </w:tr>
      <w:tr>
        <w:trPr>
          <w:cantSplit w:val="0"/>
          <w:tblHeader w:val="0"/>
        </w:trPr>
        <w:tc>
          <w:tcPr/>
          <w:p w:rsidR="00000000" w:rsidDel="00000000" w:rsidP="00000000" w:rsidRDefault="00000000" w:rsidRPr="00000000" w14:paraId="000000D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LST-VI-01</w:t>
            </w:r>
            <w:r w:rsidDel="00000000" w:rsidR="00000000" w:rsidRPr="00000000">
              <w:rPr>
                <w:rtl w:val="0"/>
              </w:rPr>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Regulatory Entities Contacts</w:t>
            </w:r>
          </w:p>
        </w:tc>
      </w:tr>
      <w:tr>
        <w:trPr>
          <w:cantSplit w:val="0"/>
          <w:trHeight w:val="19" w:hRule="atLeast"/>
          <w:tblHeader w:val="0"/>
        </w:trPr>
        <w:tc>
          <w:tcPr/>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FRM-VI-01</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Incident Evaluation</w:t>
            </w:r>
          </w:p>
        </w:tc>
      </w:tr>
      <w:tr>
        <w:trPr>
          <w:cantSplit w:val="0"/>
          <w:trHeight w:val="19" w:hRule="atLeast"/>
          <w:tblHeader w:val="0"/>
        </w:trPr>
        <w:tc>
          <w:tcP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2"/>
                <w:szCs w:val="22"/>
                <w:rtl w:val="0"/>
              </w:rPr>
              <w:t xml:space="preserve">FRM-VI-02</w:t>
            </w:r>
            <w:r w:rsidDel="00000000" w:rsidR="00000000" w:rsidRPr="00000000">
              <w:rPr>
                <w:rtl w:val="0"/>
              </w:rPr>
            </w:r>
          </w:p>
        </w:tc>
        <w:tc>
          <w:tcP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2"/>
                <w:szCs w:val="22"/>
                <w:rtl w:val="0"/>
              </w:rPr>
              <w:t xml:space="preserve">Field Safety Notice</w:t>
            </w:r>
            <w:r w:rsidDel="00000000" w:rsidR="00000000" w:rsidRPr="00000000">
              <w:rPr>
                <w:rtl w:val="0"/>
              </w:rPr>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sectPr>
      <w:headerReference r:id="rId11" w:type="default"/>
      <w:headerReference r:id="rId12" w:type="first"/>
      <w:footerReference r:id="rId13" w:type="default"/>
      <w:footerReference r:id="rId14"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30T10:57:10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Procedimento de Vigilância que descreve todo o método de reporte de incidentes e timmings associados de acordo com o tipo/gravidade de incidente a reportar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F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7">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E8">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9">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7"/>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C">
          <w:pPr>
            <w:spacing w:after="60" w:lineRule="auto"/>
            <w:rPr>
              <w:rFonts w:ascii="Calibri" w:cs="Calibri" w:eastAsia="Calibri" w:hAnsi="Calibri"/>
              <w:sz w:val="18"/>
              <w:szCs w:val="18"/>
            </w:rPr>
          </w:pPr>
          <w:bookmarkStart w:colFirst="0" w:colLast="0" w:name="_heading=h.19c6y18" w:id="10"/>
          <w:bookmarkEnd w:id="1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E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21"/>
        <w:szCs w:val="21"/>
      </w:rPr>
    </w:pPr>
    <w:r w:rsidDel="00000000" w:rsidR="00000000" w:rsidRPr="00000000">
      <w:rPr>
        <w:rtl w:val="0"/>
      </w:rPr>
    </w:r>
  </w:p>
  <w:tbl>
    <w:tblPr>
      <w:tblStyle w:val="Table4"/>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D8">
          <w:pPr>
            <w:spacing w:after="240" w:before="240" w:lineRule="auto"/>
            <w:jc w:val="center"/>
            <w:rPr>
              <w:rFonts w:ascii="Calibri" w:cs="Calibri" w:eastAsia="Calibri" w:hAnsi="Calibri"/>
              <w:color w:val="000000"/>
              <w:sz w:val="22"/>
              <w:szCs w:val="22"/>
              <w:highlight w:val="yellow"/>
            </w:rPr>
          </w:pPr>
          <w:bookmarkStart w:colFirst="0" w:colLast="0" w:name="_heading=h.vx1227" w:id="9"/>
          <w:bookmarkEnd w:id="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D9">
          <w:pPr>
            <w:pStyle w:val="Heading1"/>
            <w:spacing w:after="240" w:lineRule="auto"/>
            <w:jc w:val="center"/>
            <w:rPr/>
          </w:pPr>
          <w:r w:rsidDel="00000000" w:rsidR="00000000" w:rsidRPr="00000000">
            <w:rPr>
              <w:rtl w:val="0"/>
            </w:rPr>
            <w:t xml:space="preserve">Procedure Vigilance</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DB">
          <w:pPr>
            <w:spacing w:after="240" w:before="240" w:lineRule="auto"/>
            <w:jc w:val="center"/>
            <w:rPr/>
          </w:pPr>
          <w:r w:rsidDel="00000000" w:rsidR="00000000" w:rsidRPr="00000000">
            <w:rPr>
              <w:rFonts w:ascii="Calibri" w:cs="Calibri" w:eastAsia="Calibri" w:hAnsi="Calibri"/>
              <w:sz w:val="22"/>
              <w:szCs w:val="22"/>
              <w:rtl w:val="0"/>
            </w:rPr>
            <w:t xml:space="preserve">SOP-VI-01</w:t>
          </w:r>
          <w:r w:rsidDel="00000000" w:rsidR="00000000" w:rsidRPr="00000000">
            <w:rPr>
              <w:rtl w:val="0"/>
            </w:rPr>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C">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D">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F">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5"/>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2">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3">
          <w:pPr>
            <w:pStyle w:val="Heading1"/>
            <w:spacing w:before="120" w:lineRule="auto"/>
            <w:jc w:val="center"/>
            <w:rPr/>
          </w:pPr>
          <w:r w:rsidDel="00000000" w:rsidR="00000000" w:rsidRPr="00000000">
            <w:rPr>
              <w:rtl w:val="0"/>
            </w:rPr>
            <w:t xml:space="preserve">Procedure Vigilance</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SOP-VI-01</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360" w:hanging="360"/>
      </w:pPr>
      <w:rPr>
        <w:rFonts w:ascii="Noto Sans" w:cs="Noto Sans" w:eastAsia="Noto Sans" w:hAnsi="Noto Sans"/>
        <w:color w:val="000000"/>
      </w:rPr>
    </w:lvl>
    <w:lvl w:ilvl="1">
      <w:start w:val="1"/>
      <w:numFmt w:val="bullet"/>
      <w:lvlText w:val="⚪"/>
      <w:lvlJc w:val="left"/>
      <w:pPr>
        <w:ind w:left="720" w:hanging="360"/>
      </w:pPr>
      <w:rPr>
        <w:rFonts w:ascii="Noto Sans" w:cs="Noto Sans" w:eastAsia="Noto Sans" w:hAnsi="Noto Sans"/>
        <w:color w:val="c00000"/>
      </w:rPr>
    </w:lvl>
    <w:lvl w:ilvl="2">
      <w:start w:val="1"/>
      <w:numFmt w:val="bullet"/>
      <w:lvlText w:val="□"/>
      <w:lvlJc w:val="left"/>
      <w:pPr>
        <w:ind w:left="1080" w:hanging="360"/>
      </w:pPr>
      <w:rPr>
        <w:rFonts w:ascii="Noto Sans" w:cs="Noto Sans" w:eastAsia="Noto Sans" w:hAnsi="Noto Sans"/>
        <w:color w:val="c00000"/>
      </w:rPr>
    </w:lvl>
    <w:lvl w:ilvl="3">
      <w:start w:val="1"/>
      <w:numFmt w:val="bullet"/>
      <w:lvlText w:val="●"/>
      <w:lvlJc w:val="left"/>
      <w:pPr>
        <w:ind w:left="1440" w:hanging="360"/>
      </w:pPr>
      <w:rPr>
        <w:rFonts w:ascii="Noto Sans" w:cs="Noto Sans" w:eastAsia="Noto Sans" w:hAnsi="Noto Sans"/>
        <w:color w:val="c00000"/>
      </w:rPr>
    </w:lvl>
    <w:lvl w:ilvl="4">
      <w:start w:val="1"/>
      <w:numFmt w:val="bullet"/>
      <w:lvlText w:val="o"/>
      <w:lvlJc w:val="left"/>
      <w:pPr>
        <w:ind w:left="1800" w:hanging="360"/>
      </w:pPr>
      <w:rPr>
        <w:rFonts w:ascii="Courier New" w:cs="Courier New" w:eastAsia="Courier New" w:hAnsi="Courier New"/>
        <w:color w:val="c00000"/>
      </w:rPr>
    </w:lvl>
    <w:lvl w:ilvl="5">
      <w:start w:val="1"/>
      <w:numFmt w:val="bullet"/>
      <w:lvlText w:val="●"/>
      <w:lvlJc w:val="left"/>
      <w:pPr>
        <w:ind w:left="2160" w:hanging="360"/>
      </w:pPr>
      <w:rPr>
        <w:rFonts w:ascii="Noto Sans" w:cs="Noto Sans" w:eastAsia="Noto Sans" w:hAnsi="Noto Sans"/>
        <w:color w:val="c00000"/>
      </w:rPr>
    </w:lvl>
    <w:lvl w:ilvl="6">
      <w:start w:val="1"/>
      <w:numFmt w:val="bullet"/>
      <w:lvlText w:val="□"/>
      <w:lvlJc w:val="left"/>
      <w:pPr>
        <w:ind w:left="2520" w:hanging="360"/>
      </w:pPr>
      <w:rPr>
        <w:rFonts w:ascii="Noto Sans" w:cs="Noto Sans" w:eastAsia="Noto Sans" w:hAnsi="Noto Sans"/>
        <w:color w:val="c00000"/>
      </w:rPr>
    </w:lvl>
    <w:lvl w:ilvl="7">
      <w:start w:val="1"/>
      <w:numFmt w:val="bullet"/>
      <w:lvlText w:val="□"/>
      <w:lvlJc w:val="left"/>
      <w:pPr>
        <w:ind w:left="2880" w:hanging="360"/>
      </w:pPr>
      <w:rPr>
        <w:rFonts w:ascii="Noto Sans" w:cs="Noto Sans" w:eastAsia="Noto Sans" w:hAnsi="Noto Sans"/>
        <w:color w:val="c00000"/>
      </w:rPr>
    </w:lvl>
    <w:lvl w:ilvl="8">
      <w:start w:val="1"/>
      <w:numFmt w:val="bullet"/>
      <w:lvlText w:val="□"/>
      <w:lvlJc w:val="left"/>
      <w:pPr>
        <w:ind w:left="3240" w:hanging="360"/>
      </w:pPr>
      <w:rPr>
        <w:rFonts w:ascii="Noto Sans" w:cs="Noto Sans" w:eastAsia="Noto Sans" w:hAnsi="Noto Sans"/>
        <w:color w:val="c00000"/>
      </w:rPr>
    </w:lvl>
  </w:abstractNum>
  <w:abstractNum w:abstractNumId="6">
    <w:lvl w:ilvl="0">
      <w:start w:val="1"/>
      <w:numFmt w:val="bullet"/>
      <w:lvlText w:val="●"/>
      <w:lvlJc w:val="left"/>
      <w:pPr>
        <w:ind w:left="360" w:hanging="360"/>
      </w:pPr>
      <w:rPr>
        <w:rFonts w:ascii="Noto Sans" w:cs="Noto Sans" w:eastAsia="Noto Sans" w:hAnsi="Noto San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w:cs="Noto Sans" w:eastAsia="Noto Sans" w:hAnsi="Noto Sans"/>
      </w:rPr>
    </w:lvl>
    <w:lvl w:ilvl="3">
      <w:start w:val="1"/>
      <w:numFmt w:val="bullet"/>
      <w:lvlText w:val="●"/>
      <w:lvlJc w:val="left"/>
      <w:pPr>
        <w:ind w:left="2520" w:hanging="360"/>
      </w:pPr>
      <w:rPr>
        <w:rFonts w:ascii="Noto Sans" w:cs="Noto Sans" w:eastAsia="Noto Sans" w:hAnsi="Noto San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w:cs="Noto Sans" w:eastAsia="Noto Sans" w:hAnsi="Noto Sans"/>
      </w:rPr>
    </w:lvl>
    <w:lvl w:ilvl="6">
      <w:start w:val="1"/>
      <w:numFmt w:val="bullet"/>
      <w:lvlText w:val="●"/>
      <w:lvlJc w:val="left"/>
      <w:pPr>
        <w:ind w:left="4680" w:hanging="360"/>
      </w:pPr>
      <w:rPr>
        <w:rFonts w:ascii="Noto Sans" w:cs="Noto Sans" w:eastAsia="Noto Sans" w:hAnsi="Noto San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44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44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283D40"/>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55572A"/>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55572A"/>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FirstParagraph" w:customStyle="1">
    <w:name w:val="First Paragraph"/>
    <w:basedOn w:val="BodyText"/>
    <w:next w:val="BodyText"/>
    <w:qFormat w:val="1"/>
    <w:rsid w:val="00116DA5"/>
    <w:pPr>
      <w:spacing w:after="180" w:before="180" w:line="240" w:lineRule="auto"/>
    </w:pPr>
    <w:rPr>
      <w:rFonts w:asciiTheme="minorHAnsi" w:cstheme="minorBidi" w:eastAsiaTheme="minorHAnsi" w:hAnsiTheme="minorHAnsi"/>
      <w:color w:val="auto"/>
      <w:sz w:val="24"/>
      <w:szCs w:val="24"/>
      <w:lang w:eastAsia="en-US"/>
    </w:rPr>
  </w:style>
  <w:style w:type="paragraph" w:styleId="CommentText">
    <w:name w:val="annotation text"/>
    <w:basedOn w:val="Normal"/>
    <w:link w:val="CommentTextChar"/>
    <w:uiPriority w:val="99"/>
    <w:semiHidden w:val="1"/>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semiHidden w:val="1"/>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paragraph" w:styleId="Compact" w:customStyle="1">
    <w:name w:val="Compact"/>
    <w:basedOn w:val="BodyText"/>
    <w:qFormat w:val="1"/>
    <w:rsid w:val="00116DA5"/>
    <w:pPr>
      <w:spacing w:after="36" w:before="36" w:line="240" w:lineRule="auto"/>
    </w:pPr>
    <w:rPr>
      <w:rFonts w:asciiTheme="minorHAnsi" w:cstheme="minorBidi" w:eastAsiaTheme="minorHAnsi" w:hAnsiTheme="minorHAnsi"/>
      <w:color w:val="auto"/>
      <w:sz w:val="24"/>
      <w:szCs w:val="24"/>
      <w:lang w:eastAsia="en-US"/>
    </w:rPr>
  </w:style>
  <w:style w:type="character" w:styleId="FollowedHyperlink">
    <w:name w:val="FollowedHyperlink"/>
    <w:basedOn w:val="DefaultParagraphFont"/>
    <w:uiPriority w:val="99"/>
    <w:semiHidden w:val="1"/>
    <w:unhideWhenUsed w:val="1"/>
    <w:rsid w:val="00F05EC5"/>
    <w:rPr>
      <w:color w:val="800080" w:themeColor="followedHyperlink"/>
      <w:u w:val="singl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80.0" w:type="dxa"/>
        <w:left w:w="71.0" w:type="dxa"/>
        <w:bottom w:w="80.0" w:type="dxa"/>
        <w:right w:w="71.0" w:type="dxa"/>
      </w:tblCellMar>
    </w:tblPr>
  </w:style>
  <w:style w:type="table" w:styleId="aa" w:customStyle="1">
    <w:basedOn w:val="TableNormal"/>
    <w:tblPr>
      <w:tblStyleRowBandSize w:val="1"/>
      <w:tblStyleColBandSize w:val="1"/>
      <w:tblCellMar>
        <w:top w:w="80.0" w:type="dxa"/>
        <w:left w:w="71.0" w:type="dxa"/>
        <w:bottom w:w="80.0" w:type="dxa"/>
        <w:right w:w="71.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2.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eader" Target="header1.xml"/><Relationship Id="rId7" Type="http://schemas.openxmlformats.org/officeDocument/2006/relationships/customXml" Target="../customXML/item1.xml"/><Relationship Id="rId17" Type="http://schemas.openxmlformats.org/officeDocument/2006/relationships/customXml" Target="../customXML/item4.xml"/><Relationship Id="rId2" Type="http://schemas.openxmlformats.org/officeDocument/2006/relationships/comments" Target="comments.xml"/><Relationship Id="rId16" Type="http://schemas.openxmlformats.org/officeDocument/2006/relationships/customXml" Target="../customXML/item3.xml"/><Relationship Id="rId11" Type="http://schemas.openxmlformats.org/officeDocument/2006/relationships/header" Target="header2.xml"/><Relationship Id="rId1" Type="http://schemas.openxmlformats.org/officeDocument/2006/relationships/theme" Target="theme/theme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2.xml"/><Relationship Id="rId10" Type="http://schemas.openxmlformats.org/officeDocument/2006/relationships/image" Target="media/image1.png"/><Relationship Id="rId4" Type="http://schemas.openxmlformats.org/officeDocument/2006/relationships/fontTable" Target="fontTable.xml"/><Relationship Id="rId9" Type="http://schemas.openxmlformats.org/officeDocument/2006/relationships/hyperlink" Target="https://ec.europa.eu/docsroom/documents/41681"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ip+IenPaUwbGCZ68RfVe0c5spw==">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960D56A-32F9-4C27-B18A-7A0E204BCF13}"/>
</file>

<file path=customXML/itemProps3.xml><?xml version="1.0" encoding="utf-8"?>
<ds:datastoreItem xmlns:ds="http://schemas.openxmlformats.org/officeDocument/2006/customXml" ds:itemID="{2A30EC8B-72DB-46FF-94CD-B9F0D235CC12}"/>
</file>

<file path=customXML/itemProps4.xml><?xml version="1.0" encoding="utf-8"?>
<ds:datastoreItem xmlns:ds="http://schemas.openxmlformats.org/officeDocument/2006/customXml" ds:itemID="{A0C6442D-47F9-4A92-A94C-86AFB3070C09}"/>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2022-06-30T12:14:00Z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12300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