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b/>
          <w:color w:val="A22D2D"/>
          <w:sz w:val="20"/>
        </w:rPr>
        <w:t>⚠️ Preencher manualmente — informação não fornecida pelo utilizador</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b/>
          <w:color w:val="A22D2D"/>
          <w:sz w:val="20"/>
        </w:rPr>
        <w:t>⚠️ Preencher manualmente — informação não fornecida pelo utilizador</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b/>
          <w:color w:val="A22D2D"/>
          <w:sz w:val="20"/>
        </w:rPr>
        <w:t>⚠️ Preencher manualmente — informação não fornecida pelo utilizador</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sim/não + justificação</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sim/não + justificação</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Nenhuma identificada</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objetivos PMCF mensuráveis propostos com base nos riscos/benefícios</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métodos PMCF propostos (revisão literatura, inquéritos, registo, testes internos, estudo PMCF)</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b/>
          <w:color w:val="A22D2D"/>
          <w:sz w:val="20"/>
        </w:rPr>
        <w:t>⚠️ Preencher manualmente — informação não fornecida pelo utilizador</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