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12345</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2026-04-21</w:t>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
            <w:r>
              <w:rPr>
                <w:sz w:val="20"/>
              </w:rPr>
              <w:t>1</w:t>
            </w:r>
          </w:p>
        </w:tc>
        <w:tc>
          <w:tcPr/>
          <w:p>
            <w:r/>
            <w:r>
              <w:rPr>
                <w:sz w:val="20"/>
              </w:rPr>
              <w:t>2027-04-21</w:t>
            </w:r>
          </w:p>
        </w:tc>
        <w:tc>
          <w:tcPr/>
          <w:p>
            <w:r/>
            <w:r>
              <w:rPr>
                <w:b/>
                <w:color w:val="A22D2D"/>
                <w:sz w:val="20"/>
              </w:rPr>
              <w:t>⚠️ Preencher manualmente — campo requer assinatura/decisão humana</w:t>
            </w:r>
          </w:p>
        </w:tc>
        <w:tc>
          <w:tcPr/>
          <w:p>
            <w:r/>
            <w:r>
              <w:rPr>
                <w:b/>
                <w:color w:val="A22D2D"/>
                <w:sz w:val="20"/>
              </w:rPr>
              <w:t>⚠️ Preencher manualmente — campo requer assinatura/decisão humana</w:t>
            </w:r>
          </w:p>
        </w:tc>
        <w:tc>
          <w:tcPr/>
          <w:p>
            <w:r/>
            <w:r>
              <w:rPr>
                <w:sz w:val="20"/>
              </w:rPr>
              <w:t>Alteração do plano de avaliação de risco.</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TechMed Inc.</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Rua da Tecnologia, 123, Lisboa, Portugal</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SRN-123456789</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Carlos Silva</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carlos.silva@techmed.com</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
            <w:r>
              <w:rPr>
                <w:sz w:val="20"/>
              </w:rPr>
              <w:t>+351 912 345 678</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
            <w:r>
              <w:rPr>
                <w:sz w:val="20"/>
              </w:rPr>
              <w:t>Pacemaker IA</w:t>
            </w:r>
          </w:p>
        </w:tc>
        <w:tc>
          <w:tcPr/>
          <w:p>
            <w:r/>
            <w:r>
              <w:rPr>
                <w:sz w:val="20"/>
              </w:rPr>
              <w:t>V2.3</w:t>
            </w:r>
          </w:p>
        </w:tc>
        <w:tc>
          <w:tcPr/>
          <w:p>
            <w:r/>
            <w:r>
              <w:rPr>
                <w:sz w:val="20"/>
              </w:rPr>
              <w:t>V1.1</w:t>
            </w:r>
          </w:p>
        </w:tc>
        <w:tc>
          <w:tcPr/>
          <w:p>
            <w:r/>
            <w:r>
              <w:rPr>
                <w:sz w:val="20"/>
              </w:rPr>
              <w:t>12345678901234</w:t>
            </w:r>
          </w:p>
        </w:tc>
        <w:tc>
          <w:tcPr/>
          <w:p>
            <w:r/>
            <w:r>
              <w:rPr>
                <w:sz w:val="20"/>
              </w:rPr>
              <w:t>CE-12345</w:t>
            </w:r>
          </w:p>
        </w:tc>
        <w:tc>
          <w:tcPr/>
          <w:p>
            <w:r/>
            <w:r>
              <w:rPr>
                <w:sz w:val="20"/>
              </w:rPr>
              <w:t>CNDN123</w:t>
            </w:r>
          </w:p>
        </w:tc>
        <w:tc>
          <w:tcPr/>
          <w:p>
            <w:r/>
            <w:r>
              <w:rPr>
                <w:sz w:val="20"/>
              </w:rPr>
              <w:t>Classe III (Regra 13 do Anexo VIII do MDR)</w:t>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
        <w:rPr>
          <w:color w:val="1F3B2E"/>
          <w:sz w:val="20"/>
        </w:rPr>
        <w:t>Conteúdo preenchido: monitorizar o ritmo cardíaco</w:t>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
        <w:rPr>
          <w:color w:val="1F3B2E"/>
          <w:sz w:val="20"/>
        </w:rPr>
        <w:t>Conteúdo preenchido: médicos e enfermeiros</w:t>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
        <w:rPr>
          <w:color w:val="1F3B2E"/>
          <w:sz w:val="20"/>
        </w:rPr>
        <w:t>Conteúdo preenchido: pacientes com insuficiência cardíaca ou arritmias</w:t>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
        <w:rPr>
          <w:color w:val="1F3B2E"/>
          <w:sz w:val="20"/>
        </w:rPr>
        <w:t>Conteúdo preenchido: monitorização contínua do ritmo cardíaco</w:t>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
        <w:rPr>
          <w:b/>
          <w:color w:val="A22D2D"/>
          <w:sz w:val="20"/>
        </w:rPr>
        <w:t>⚠️ Preencher manualmente — informação não fornecida pelo utilizador</w:t>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
        <w:rPr>
          <w:color w:val="1F3B2E"/>
          <w:sz w:val="20"/>
        </w:rPr>
        <w:t>Conteúdo preenchido: Não aplicável.</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
        <w:rPr>
          <w:color w:val="1F3B2E"/>
          <w:sz w:val="20"/>
        </w:rPr>
        <w:t>Conteúdo preenchido: Acessórios de monitoramento remoto.</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
        <w:rPr>
          <w:color w:val="1F3B2E"/>
          <w:sz w:val="20"/>
        </w:rPr>
        <w:t>Conteúdo preenchido: 10 anos</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
        <w:rPr>
          <w:color w:val="1F3B2E"/>
          <w:sz w:val="20"/>
        </w:rPr>
        <w:t>Conteúdo preenchido: sim, pois envolve IA para monitorização cardíaca</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
        <w:rPr>
          <w:color w:val="1F3B2E"/>
          <w:sz w:val="20"/>
        </w:rPr>
        <w:t>Conteúdo preenchido: não, mas envolve um novo sistema de detecção de ritmo cardíaco</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
        <w:rPr>
          <w:color w:val="1F3B2E"/>
          <w:sz w:val="20"/>
        </w:rPr>
        <w:t>Conteúdo preenchido: algoritmos de IA para análise do ritmo cardíaco</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
        <w:rPr>
          <w:color w:val="1F3B2E"/>
          <w:sz w:val="20"/>
        </w:rPr>
        <w:t>Conteúdo preenchido: objetivos PMCF mensuráveis propostos com base nos riscos/benefícios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
        <w:rPr>
          <w:color w:val="1F3B2E"/>
          <w:sz w:val="20"/>
        </w:rPr>
        <w:t>Conteúdo preenchido: métodos PMCF propostos (revisão literatura, inquéritos, registo, testes internos, estudo PMCF)</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
        <w:rPr>
          <w:color w:val="1F3B2E"/>
          <w:sz w:val="20"/>
        </w:rPr>
        <w:t>Conteúdo preenchido: 2027-04-21</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