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PMCF-001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2026-04-22</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1</w:t>
            </w:r>
          </w:p>
        </w:tc>
        <w:tc>
          <w:tcPr/>
          <w:p>
            <w:r/>
            <w:r>
              <w:rPr>
                <w:sz w:val="20"/>
              </w:rPr>
              <w:t>2027-04-22</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sz w:val="20"/>
              </w:rPr>
              <w:t>Primeira versão do plano PMCF para a máquina de ressonância magnética (MR).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XPTO Devices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Avenida da Tecnologia, 500, Lisboa, Portugal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SRN-987654321</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Zé Manel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ze_manel@arroz.com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+351 212 345 678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Máquina de Ressonância Magnética (MR)</w:t>
            </w:r>
          </w:p>
        </w:tc>
        <w:tc>
          <w:tcPr/>
          <w:p>
            <w:r/>
            <w:r>
              <w:rPr>
                <w:sz w:val="20"/>
              </w:rPr>
              <w:t>MR-X2</w:t>
            </w:r>
          </w:p>
        </w:tc>
        <w:tc>
          <w:tcPr/>
          <w:p>
            <w:r/>
            <w:r>
              <w:rPr>
                <w:sz w:val="20"/>
              </w:rPr>
              <w:t>V3.5</w:t>
            </w:r>
          </w:p>
        </w:tc>
        <w:tc>
          <w:tcPr/>
          <w:p>
            <w:r/>
            <w:r>
              <w:rPr>
                <w:sz w:val="20"/>
              </w:rPr>
              <w:t>UDI-123456789</w:t>
            </w:r>
          </w:p>
        </w:tc>
        <w:tc>
          <w:tcPr/>
          <w:p>
            <w:r/>
            <w:r>
              <w:rPr>
                <w:sz w:val="20"/>
              </w:rPr>
              <w:t>CE-00123</w:t>
            </w:r>
          </w:p>
        </w:tc>
        <w:tc>
          <w:tcPr/>
          <w:p>
            <w:r/>
            <w:r>
              <w:rPr>
                <w:sz w:val="20"/>
              </w:rPr>
              <w:t>CNDN456</w:t>
            </w:r>
          </w:p>
        </w:tc>
        <w:tc>
          <w:tcPr/>
          <w:p>
            <w:r/>
            <w:r>
              <w:rPr>
                <w:sz w:val="20"/>
              </w:rPr>
              <w:t>Classe III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Obtenção de imagens médicas detalhadas internas do corpo humano para diagnósticos clínicos.</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Equipa médica qualificada, incluindo radiologistas e técnicos de imagem.</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População geral com indicações clínicas específicas para exames de ressonância magnética.</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Diagnóstico de doenças do tecido muscular-esquelético, cérebro, vasos sanguíneos, tumores, etc.</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color w:val="1F3B2E"/>
          <w:sz w:val="20"/>
        </w:rPr>
        <w:t>Conteúdo preenchido: Contraindicado para pacientes com implantes metálicos no corpo.</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color w:val="1F3B2E"/>
          <w:sz w:val="20"/>
        </w:rPr>
        <w:t>Conteúdo preenchido: Não aplicável.</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color w:val="1F3B2E"/>
          <w:sz w:val="20"/>
        </w:rPr>
        <w:t>Conteúdo preenchido: Não aplicável.</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color w:val="1F3B2E"/>
          <w:sz w:val="20"/>
        </w:rPr>
        <w:t>Conteúdo preenchido: 10 anos</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 justificação (equipamento de última geração com novas tecnologias)</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 justificação (procedimento clínico já estabelecido)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Monitorizar a eficácia do dispositivo, avaliar a segurança e o desempenho, identificar riscos potenciais e implementar medidas de mitigação.</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Revisão da literatura, inquéritos aos utilizadores finais, estudo PMCF clínico, registo de incidentes e eventos adversos.</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color w:val="1F3B2E"/>
          <w:sz w:val="20"/>
        </w:rPr>
        <w:t>Conteúdo preenchido: 2027-04-22</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