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bl>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b/>
                <w:color w:val="A22D2D"/>
                <w:sz w:val="20"/>
              </w:rPr>
              <w:t>⚠️ Preencher manualmente — informação não fornecida pelo utilizador</w:t>
            </w:r>
          </w:p>
        </w:tc>
      </w:tr>
    </w:tbl>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Pressomonitor contínuo</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sz w:val="20"/>
              </w:rPr>
              <w:t>Classe IIb (Regra 10 do Anexo VIII do MDR)</w:t>
            </w:r>
          </w:p>
        </w:tc>
      </w:tr>
    </w:tbl>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
            <w:r>
              <w:rPr>
                <w:color w:val="A22D2D"/>
                <w:sz w:val="20"/>
                <w:highlight w:val="yellow"/>
              </w:rPr>
              <w:t>⚠️ Preencher manualmente — rever e adaptar ao dispositivo</w:t>
            </w:r>
          </w:p>
        </w:tc>
      </w:tr>
    </w:tbl>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
            <w:r>
              <w:rPr>
                <w:color w:val="A22D2D"/>
                <w:sz w:val="20"/>
                <w:highlight w:val="yellow"/>
              </w:rPr>
              <w:t>⚠️ Preencher manualmente — rever e adaptar ao dispositivo</w:t>
            </w:r>
          </w:p>
        </w:tc>
      </w:tr>
      <w:tr>
        <w:trPr>
          <w:cantSplit w:val="0"/>
          <w:tblHeader w:val="0"/>
        </w:trPr>
        <w:tc>
          <w:tcPr/>
          <w:p>
            <w:r/>
            <w:r>
              <w:rPr>
                <w:color w:val="A22D2D"/>
                <w:sz w:val="20"/>
                <w:highlight w:val="yellow"/>
              </w:rPr>
              <w:t>⚠️ Preencher manualmente — rever e adaptar ao dispositivo</w:t>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
            <w:r>
              <w:rPr>
                <w:color w:val="A22D2D"/>
                <w:sz w:val="20"/>
                <w:highlight w:val="yellow"/>
              </w:rPr>
              <w:t>⚠️ Preencher manualmente — rever e adaptar ao dispositivo</w:t>
            </w:r>
          </w:p>
        </w:tc>
      </w:tr>
    </w:tbl>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