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Termómetro digital</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sz w:val="20"/>
              </w:rPr>
              <w:t>Classe I (Regra 1 do Anexo VIII do MDR)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medir temperatura corporal em consultas médicas ou em casa</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público em geral, médicos e cuidadores de saúde</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color w:val="1F3B2E"/>
          <w:sz w:val="20"/>
        </w:rPr>
        <w:t>Conteúdo preenchido: população geral</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medir temperatura corporal</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b/>
          <w:color w:val="A22D2D"/>
          <w:sz w:val="20"/>
        </w:rPr>
        <w:t>⚠️ Preencher manualmente — informação não fornecida pelo utilizador</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b/>
          <w:color w:val="A22D2D"/>
          <w:sz w:val="20"/>
        </w:rPr>
        <w:t>⚠️ Preencher manualmente — informação não fornecida pelo utilizador</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b/>
          <w:color w:val="A22D2D"/>
          <w:sz w:val="20"/>
        </w:rPr>
        <w:t>⚠️ Preencher manualmente — informação não fornecida pelo utilizador</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não, é um produto já existente</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não, não envolve procedimento clínico novo</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Nenhuma identificada</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monitorizar a eficácia do termómetro digital e identificar quaisquer problemas de segurança ou desempenho</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revisão da literatura, inquéritos aos utilizadores, registo de incidentes</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b/>
          <w:color w:val="A22D2D"/>
          <w:sz w:val="20"/>
        </w:rPr>
        <w:t>⚠️ Preencher manualmente — informação não fornecida pelo utilizador</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