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Termómetro digital</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IIa (Regra 11 do Anexo VIII do MDR)</w:t>
            </w:r>
          </w:p>
        </w:tc>
      </w:tr>
    </w:tbl>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
            <w:r>
              <w:rPr>
                <w:color w:val="A22D2D"/>
                <w:sz w:val="20"/>
                <w:highlight w:val="yellow"/>
              </w:rPr>
              <w:t>⚠️ Preencher manualmente — rever e adaptar ao dispositivo</w:t>
            </w:r>
          </w:p>
        </w:tc>
      </w:tr>
    </w:tbl>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
            <w:r>
              <w:rPr>
                <w:color w:val="A22D2D"/>
                <w:sz w:val="20"/>
                <w:highlight w:val="yellow"/>
              </w:rPr>
              <w:t>⚠️ Preencher manualmente — rever e adaptar ao dispositivo</w:t>
            </w:r>
          </w:p>
        </w:tc>
      </w:tr>
      <w:tr>
        <w:trPr>
          <w:cantSplit w:val="0"/>
          <w:tblHeader w:val="0"/>
        </w:trPr>
        <w:tc>
          <w:tcPr/>
          <w:p>
            <w:r/>
            <w:r>
              <w:rPr>
                <w:color w:val="A22D2D"/>
                <w:sz w:val="20"/>
                <w:highlight w:val="yellow"/>
              </w:rPr>
              <w:t>⚠️ Preencher manualmente — rever e adaptar ao dispositivo</w:t>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
            <w:r>
              <w:rPr>
                <w:color w:val="A22D2D"/>
                <w:sz w:val="20"/>
                <w:highlight w:val="yellow"/>
              </w:rPr>
              <w:t>⚠️ Preencher manualmente — rever e adaptar ao dispositivo</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
            <w:r>
              <w:rPr>
                <w:color w:val="A22D2D"/>
                <w:sz w:val="20"/>
                <w:highlight w:val="yellow"/>
              </w:rPr>
              <w:t>⚠️ Preencher manualmente — rever e adaptar ao dispositivo</w:t>
            </w:r>
          </w:p>
        </w:tc>
      </w:tr>
    </w:tbl>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