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mallCaps w:val="0"/>
          <w:spacing w:val="0"/>
          <w:sz w:val="20"/>
          <w:szCs w:val="20"/>
        </w:rPr>
        <w:id w:val="1312059104"/>
        <w:docPartObj>
          <w:docPartGallery w:val="Table of Contents"/>
          <w:docPartUnique/>
        </w:docPartObj>
      </w:sdtPr>
      <w:sdtEndPr>
        <w:rPr>
          <w:b/>
          <w:bCs/>
          <w:noProof/>
        </w:rPr>
      </w:sdtEndPr>
      <w:sdtContent>
        <w:p w14:paraId="371C12CE" w14:textId="199292E6" w:rsidR="008E45E4" w:rsidRPr="007A7F2B" w:rsidRDefault="008E45E4">
          <w:pPr>
            <w:pStyle w:val="TOCHeading"/>
          </w:pPr>
          <w:r w:rsidRPr="007A7F2B">
            <w:t>Table of Contents</w:t>
          </w:r>
        </w:p>
        <w:p w14:paraId="1E1DE0BD" w14:textId="4EA002DA" w:rsidR="00C16253" w:rsidRDefault="008E45E4">
          <w:pPr>
            <w:pStyle w:val="TOC1"/>
            <w:tabs>
              <w:tab w:val="right" w:leader="dot" w:pos="9062"/>
            </w:tabs>
            <w:rPr>
              <w:noProof/>
              <w:sz w:val="22"/>
              <w:szCs w:val="22"/>
              <w:lang w:eastAsia="en-GB"/>
            </w:rPr>
          </w:pPr>
          <w:r w:rsidRPr="007A7F2B">
            <w:fldChar w:fldCharType="begin"/>
          </w:r>
          <w:r w:rsidRPr="007A7F2B">
            <w:instrText xml:space="preserve"> TOC \h \z \t "Heading 1;2;Heading 2;3;Title;1" </w:instrText>
          </w:r>
          <w:r w:rsidRPr="007A7F2B">
            <w:fldChar w:fldCharType="separate"/>
          </w:r>
          <w:hyperlink w:anchor="_Toc10029726" w:history="1">
            <w:r w:rsidR="00C16253" w:rsidRPr="00D817AE">
              <w:rPr>
                <w:rStyle w:val="Hyperlink"/>
                <w:noProof/>
              </w:rPr>
              <w:t>Introduction to CRISPR:</w:t>
            </w:r>
            <w:r w:rsidR="00C16253">
              <w:rPr>
                <w:noProof/>
                <w:webHidden/>
              </w:rPr>
              <w:tab/>
            </w:r>
            <w:r w:rsidR="00C16253">
              <w:rPr>
                <w:noProof/>
                <w:webHidden/>
              </w:rPr>
              <w:fldChar w:fldCharType="begin"/>
            </w:r>
            <w:r w:rsidR="00C16253">
              <w:rPr>
                <w:noProof/>
                <w:webHidden/>
              </w:rPr>
              <w:instrText xml:space="preserve"> PAGEREF _Toc10029726 \h </w:instrText>
            </w:r>
            <w:r w:rsidR="00C16253">
              <w:rPr>
                <w:noProof/>
                <w:webHidden/>
              </w:rPr>
            </w:r>
            <w:r w:rsidR="00C16253">
              <w:rPr>
                <w:noProof/>
                <w:webHidden/>
              </w:rPr>
              <w:fldChar w:fldCharType="separate"/>
            </w:r>
            <w:r w:rsidR="00C16253">
              <w:rPr>
                <w:noProof/>
                <w:webHidden/>
              </w:rPr>
              <w:t>2</w:t>
            </w:r>
            <w:r w:rsidR="00C16253">
              <w:rPr>
                <w:noProof/>
                <w:webHidden/>
              </w:rPr>
              <w:fldChar w:fldCharType="end"/>
            </w:r>
          </w:hyperlink>
        </w:p>
        <w:p w14:paraId="7B437EEF" w14:textId="275C0B35" w:rsidR="00C16253" w:rsidRDefault="00C16253">
          <w:pPr>
            <w:pStyle w:val="TOC2"/>
            <w:tabs>
              <w:tab w:val="right" w:leader="dot" w:pos="9062"/>
            </w:tabs>
            <w:rPr>
              <w:noProof/>
              <w:sz w:val="22"/>
              <w:szCs w:val="22"/>
              <w:lang w:eastAsia="en-GB"/>
            </w:rPr>
          </w:pPr>
          <w:hyperlink w:anchor="_Toc10029727" w:history="1">
            <w:r w:rsidRPr="00D817AE">
              <w:rPr>
                <w:rStyle w:val="Hyperlink"/>
                <w:noProof/>
              </w:rPr>
              <w:t>The biology of CRISPR-Cas</w:t>
            </w:r>
            <w:r>
              <w:rPr>
                <w:noProof/>
                <w:webHidden/>
              </w:rPr>
              <w:tab/>
            </w:r>
            <w:r>
              <w:rPr>
                <w:noProof/>
                <w:webHidden/>
              </w:rPr>
              <w:fldChar w:fldCharType="begin"/>
            </w:r>
            <w:r>
              <w:rPr>
                <w:noProof/>
                <w:webHidden/>
              </w:rPr>
              <w:instrText xml:space="preserve"> PAGEREF _Toc10029727 \h </w:instrText>
            </w:r>
            <w:r>
              <w:rPr>
                <w:noProof/>
                <w:webHidden/>
              </w:rPr>
            </w:r>
            <w:r>
              <w:rPr>
                <w:noProof/>
                <w:webHidden/>
              </w:rPr>
              <w:fldChar w:fldCharType="separate"/>
            </w:r>
            <w:r>
              <w:rPr>
                <w:noProof/>
                <w:webHidden/>
              </w:rPr>
              <w:t>2</w:t>
            </w:r>
            <w:r>
              <w:rPr>
                <w:noProof/>
                <w:webHidden/>
              </w:rPr>
              <w:fldChar w:fldCharType="end"/>
            </w:r>
          </w:hyperlink>
        </w:p>
        <w:p w14:paraId="67699394" w14:textId="2E4AC76D" w:rsidR="00C16253" w:rsidRDefault="00C16253">
          <w:pPr>
            <w:pStyle w:val="TOC2"/>
            <w:tabs>
              <w:tab w:val="right" w:leader="dot" w:pos="9062"/>
            </w:tabs>
            <w:rPr>
              <w:noProof/>
              <w:sz w:val="22"/>
              <w:szCs w:val="22"/>
              <w:lang w:eastAsia="en-GB"/>
            </w:rPr>
          </w:pPr>
          <w:hyperlink w:anchor="_Toc10029728" w:history="1">
            <w:r w:rsidRPr="00D817AE">
              <w:rPr>
                <w:rStyle w:val="Hyperlink"/>
                <w:noProof/>
              </w:rPr>
              <w:t>CRISPR-Cas as a gene-editing tool</w:t>
            </w:r>
            <w:r>
              <w:rPr>
                <w:noProof/>
                <w:webHidden/>
              </w:rPr>
              <w:tab/>
            </w:r>
            <w:r>
              <w:rPr>
                <w:noProof/>
                <w:webHidden/>
              </w:rPr>
              <w:fldChar w:fldCharType="begin"/>
            </w:r>
            <w:r>
              <w:rPr>
                <w:noProof/>
                <w:webHidden/>
              </w:rPr>
              <w:instrText xml:space="preserve"> PAGEREF _Toc10029728 \h </w:instrText>
            </w:r>
            <w:r>
              <w:rPr>
                <w:noProof/>
                <w:webHidden/>
              </w:rPr>
            </w:r>
            <w:r>
              <w:rPr>
                <w:noProof/>
                <w:webHidden/>
              </w:rPr>
              <w:fldChar w:fldCharType="separate"/>
            </w:r>
            <w:r>
              <w:rPr>
                <w:noProof/>
                <w:webHidden/>
              </w:rPr>
              <w:t>3</w:t>
            </w:r>
            <w:r>
              <w:rPr>
                <w:noProof/>
                <w:webHidden/>
              </w:rPr>
              <w:fldChar w:fldCharType="end"/>
            </w:r>
          </w:hyperlink>
        </w:p>
        <w:p w14:paraId="584F7F3D" w14:textId="2929E9F5" w:rsidR="00C16253" w:rsidRDefault="00C16253">
          <w:pPr>
            <w:pStyle w:val="TOC2"/>
            <w:tabs>
              <w:tab w:val="right" w:leader="dot" w:pos="9062"/>
            </w:tabs>
            <w:rPr>
              <w:noProof/>
              <w:sz w:val="22"/>
              <w:szCs w:val="22"/>
              <w:lang w:eastAsia="en-GB"/>
            </w:rPr>
          </w:pPr>
          <w:hyperlink w:anchor="_Toc10029729" w:history="1">
            <w:r w:rsidRPr="00D817AE">
              <w:rPr>
                <w:rStyle w:val="Hyperlink"/>
                <w:noProof/>
              </w:rPr>
              <w:t>The focus of this thesis</w:t>
            </w:r>
            <w:r>
              <w:rPr>
                <w:noProof/>
                <w:webHidden/>
              </w:rPr>
              <w:tab/>
            </w:r>
            <w:r>
              <w:rPr>
                <w:noProof/>
                <w:webHidden/>
              </w:rPr>
              <w:fldChar w:fldCharType="begin"/>
            </w:r>
            <w:r>
              <w:rPr>
                <w:noProof/>
                <w:webHidden/>
              </w:rPr>
              <w:instrText xml:space="preserve"> PAGEREF _Toc10029729 \h </w:instrText>
            </w:r>
            <w:r>
              <w:rPr>
                <w:noProof/>
                <w:webHidden/>
              </w:rPr>
            </w:r>
            <w:r>
              <w:rPr>
                <w:noProof/>
                <w:webHidden/>
              </w:rPr>
              <w:fldChar w:fldCharType="separate"/>
            </w:r>
            <w:r>
              <w:rPr>
                <w:noProof/>
                <w:webHidden/>
              </w:rPr>
              <w:t>5</w:t>
            </w:r>
            <w:r>
              <w:rPr>
                <w:noProof/>
                <w:webHidden/>
              </w:rPr>
              <w:fldChar w:fldCharType="end"/>
            </w:r>
          </w:hyperlink>
        </w:p>
        <w:p w14:paraId="7CD12544" w14:textId="79C5A6DA" w:rsidR="00C16253" w:rsidRDefault="00C16253">
          <w:pPr>
            <w:pStyle w:val="TOC1"/>
            <w:tabs>
              <w:tab w:val="right" w:leader="dot" w:pos="9062"/>
            </w:tabs>
            <w:rPr>
              <w:noProof/>
              <w:sz w:val="22"/>
              <w:szCs w:val="22"/>
              <w:lang w:eastAsia="en-GB"/>
            </w:rPr>
          </w:pPr>
          <w:hyperlink w:anchor="_Toc10029730" w:history="1">
            <w:r w:rsidRPr="00D817AE">
              <w:rPr>
                <w:rStyle w:val="Hyperlink"/>
                <w:noProof/>
              </w:rPr>
              <w:t>Explanation of the model</w:t>
            </w:r>
            <w:r>
              <w:rPr>
                <w:noProof/>
                <w:webHidden/>
              </w:rPr>
              <w:tab/>
            </w:r>
            <w:r>
              <w:rPr>
                <w:noProof/>
                <w:webHidden/>
              </w:rPr>
              <w:fldChar w:fldCharType="begin"/>
            </w:r>
            <w:r>
              <w:rPr>
                <w:noProof/>
                <w:webHidden/>
              </w:rPr>
              <w:instrText xml:space="preserve"> PAGEREF _Toc10029730 \h </w:instrText>
            </w:r>
            <w:r>
              <w:rPr>
                <w:noProof/>
                <w:webHidden/>
              </w:rPr>
            </w:r>
            <w:r>
              <w:rPr>
                <w:noProof/>
                <w:webHidden/>
              </w:rPr>
              <w:fldChar w:fldCharType="separate"/>
            </w:r>
            <w:r>
              <w:rPr>
                <w:noProof/>
                <w:webHidden/>
              </w:rPr>
              <w:t>6</w:t>
            </w:r>
            <w:r>
              <w:rPr>
                <w:noProof/>
                <w:webHidden/>
              </w:rPr>
              <w:fldChar w:fldCharType="end"/>
            </w:r>
          </w:hyperlink>
        </w:p>
        <w:p w14:paraId="7E8FA74C" w14:textId="6DF7E664" w:rsidR="00C16253" w:rsidRDefault="00C16253">
          <w:pPr>
            <w:pStyle w:val="TOC2"/>
            <w:tabs>
              <w:tab w:val="right" w:leader="dot" w:pos="9062"/>
            </w:tabs>
            <w:rPr>
              <w:noProof/>
              <w:sz w:val="22"/>
              <w:szCs w:val="22"/>
              <w:lang w:eastAsia="en-GB"/>
            </w:rPr>
          </w:pPr>
          <w:hyperlink w:anchor="_Toc10029731" w:history="1">
            <w:r w:rsidRPr="00D817AE">
              <w:rPr>
                <w:rStyle w:val="Hyperlink"/>
                <w:noProof/>
              </w:rPr>
              <w:t>The general concept</w:t>
            </w:r>
            <w:r>
              <w:rPr>
                <w:noProof/>
                <w:webHidden/>
              </w:rPr>
              <w:tab/>
            </w:r>
            <w:r>
              <w:rPr>
                <w:noProof/>
                <w:webHidden/>
              </w:rPr>
              <w:fldChar w:fldCharType="begin"/>
            </w:r>
            <w:r>
              <w:rPr>
                <w:noProof/>
                <w:webHidden/>
              </w:rPr>
              <w:instrText xml:space="preserve"> PAGEREF _Toc10029731 \h </w:instrText>
            </w:r>
            <w:r>
              <w:rPr>
                <w:noProof/>
                <w:webHidden/>
              </w:rPr>
            </w:r>
            <w:r>
              <w:rPr>
                <w:noProof/>
                <w:webHidden/>
              </w:rPr>
              <w:fldChar w:fldCharType="separate"/>
            </w:r>
            <w:r>
              <w:rPr>
                <w:noProof/>
                <w:webHidden/>
              </w:rPr>
              <w:t>6</w:t>
            </w:r>
            <w:r>
              <w:rPr>
                <w:noProof/>
                <w:webHidden/>
              </w:rPr>
              <w:fldChar w:fldCharType="end"/>
            </w:r>
          </w:hyperlink>
        </w:p>
        <w:p w14:paraId="681209B7" w14:textId="68EBDC60" w:rsidR="00C16253" w:rsidRDefault="00C16253">
          <w:pPr>
            <w:pStyle w:val="TOC2"/>
            <w:tabs>
              <w:tab w:val="right" w:leader="dot" w:pos="9062"/>
            </w:tabs>
            <w:rPr>
              <w:noProof/>
              <w:sz w:val="22"/>
              <w:szCs w:val="22"/>
              <w:lang w:eastAsia="en-GB"/>
            </w:rPr>
          </w:pPr>
          <w:hyperlink w:anchor="_Toc10029732" w:history="1">
            <w:r w:rsidRPr="00D817AE">
              <w:rPr>
                <w:rStyle w:val="Hyperlink"/>
                <w:noProof/>
              </w:rPr>
              <w:t>The kinetics</w:t>
            </w:r>
            <w:r>
              <w:rPr>
                <w:noProof/>
                <w:webHidden/>
              </w:rPr>
              <w:tab/>
            </w:r>
            <w:r>
              <w:rPr>
                <w:noProof/>
                <w:webHidden/>
              </w:rPr>
              <w:fldChar w:fldCharType="begin"/>
            </w:r>
            <w:r>
              <w:rPr>
                <w:noProof/>
                <w:webHidden/>
              </w:rPr>
              <w:instrText xml:space="preserve"> PAGEREF _Toc10029732 \h </w:instrText>
            </w:r>
            <w:r>
              <w:rPr>
                <w:noProof/>
                <w:webHidden/>
              </w:rPr>
            </w:r>
            <w:r>
              <w:rPr>
                <w:noProof/>
                <w:webHidden/>
              </w:rPr>
              <w:fldChar w:fldCharType="separate"/>
            </w:r>
            <w:r>
              <w:rPr>
                <w:noProof/>
                <w:webHidden/>
              </w:rPr>
              <w:t>6</w:t>
            </w:r>
            <w:r>
              <w:rPr>
                <w:noProof/>
                <w:webHidden/>
              </w:rPr>
              <w:fldChar w:fldCharType="end"/>
            </w:r>
          </w:hyperlink>
        </w:p>
        <w:p w14:paraId="170B9C1B" w14:textId="40BED4D9" w:rsidR="00C16253" w:rsidRDefault="00C16253">
          <w:pPr>
            <w:pStyle w:val="TOC2"/>
            <w:tabs>
              <w:tab w:val="right" w:leader="dot" w:pos="9062"/>
            </w:tabs>
            <w:rPr>
              <w:noProof/>
              <w:sz w:val="22"/>
              <w:szCs w:val="22"/>
              <w:lang w:eastAsia="en-GB"/>
            </w:rPr>
          </w:pPr>
          <w:hyperlink w:anchor="_Toc10029733" w:history="1">
            <w:r w:rsidRPr="00D817AE">
              <w:rPr>
                <w:rStyle w:val="Hyperlink"/>
                <w:noProof/>
              </w:rPr>
              <w:t>Enforcing a binding equilibrium</w:t>
            </w:r>
            <w:r>
              <w:rPr>
                <w:noProof/>
                <w:webHidden/>
              </w:rPr>
              <w:tab/>
            </w:r>
            <w:r>
              <w:rPr>
                <w:noProof/>
                <w:webHidden/>
              </w:rPr>
              <w:fldChar w:fldCharType="begin"/>
            </w:r>
            <w:r>
              <w:rPr>
                <w:noProof/>
                <w:webHidden/>
              </w:rPr>
              <w:instrText xml:space="preserve"> PAGEREF _Toc10029733 \h </w:instrText>
            </w:r>
            <w:r>
              <w:rPr>
                <w:noProof/>
                <w:webHidden/>
              </w:rPr>
            </w:r>
            <w:r>
              <w:rPr>
                <w:noProof/>
                <w:webHidden/>
              </w:rPr>
              <w:fldChar w:fldCharType="separate"/>
            </w:r>
            <w:r>
              <w:rPr>
                <w:noProof/>
                <w:webHidden/>
              </w:rPr>
              <w:t>8</w:t>
            </w:r>
            <w:r>
              <w:rPr>
                <w:noProof/>
                <w:webHidden/>
              </w:rPr>
              <w:fldChar w:fldCharType="end"/>
            </w:r>
          </w:hyperlink>
        </w:p>
        <w:p w14:paraId="33707D7E" w14:textId="5A2182BE" w:rsidR="00C16253" w:rsidRDefault="00C16253">
          <w:pPr>
            <w:pStyle w:val="TOC2"/>
            <w:tabs>
              <w:tab w:val="right" w:leader="dot" w:pos="9062"/>
            </w:tabs>
            <w:rPr>
              <w:noProof/>
              <w:sz w:val="22"/>
              <w:szCs w:val="22"/>
              <w:lang w:eastAsia="en-GB"/>
            </w:rPr>
          </w:pPr>
          <w:hyperlink w:anchor="_Toc10029734" w:history="1">
            <w:r w:rsidRPr="00D817AE">
              <w:rPr>
                <w:rStyle w:val="Hyperlink"/>
                <w:noProof/>
              </w:rPr>
              <w:t>Other assumptions</w:t>
            </w:r>
            <w:r>
              <w:rPr>
                <w:noProof/>
                <w:webHidden/>
              </w:rPr>
              <w:tab/>
            </w:r>
            <w:r>
              <w:rPr>
                <w:noProof/>
                <w:webHidden/>
              </w:rPr>
              <w:fldChar w:fldCharType="begin"/>
            </w:r>
            <w:r>
              <w:rPr>
                <w:noProof/>
                <w:webHidden/>
              </w:rPr>
              <w:instrText xml:space="preserve"> PAGEREF _Toc10029734 \h </w:instrText>
            </w:r>
            <w:r>
              <w:rPr>
                <w:noProof/>
                <w:webHidden/>
              </w:rPr>
            </w:r>
            <w:r>
              <w:rPr>
                <w:noProof/>
                <w:webHidden/>
              </w:rPr>
              <w:fldChar w:fldCharType="separate"/>
            </w:r>
            <w:r>
              <w:rPr>
                <w:noProof/>
                <w:webHidden/>
              </w:rPr>
              <w:t>8</w:t>
            </w:r>
            <w:r>
              <w:rPr>
                <w:noProof/>
                <w:webHidden/>
              </w:rPr>
              <w:fldChar w:fldCharType="end"/>
            </w:r>
          </w:hyperlink>
        </w:p>
        <w:p w14:paraId="7D8B21C3" w14:textId="78B8A390" w:rsidR="00C16253" w:rsidRDefault="00C16253">
          <w:pPr>
            <w:pStyle w:val="TOC1"/>
            <w:tabs>
              <w:tab w:val="right" w:leader="dot" w:pos="9062"/>
            </w:tabs>
            <w:rPr>
              <w:noProof/>
              <w:sz w:val="22"/>
              <w:szCs w:val="22"/>
              <w:lang w:eastAsia="en-GB"/>
            </w:rPr>
          </w:pPr>
          <w:hyperlink w:anchor="_Toc10029735" w:history="1">
            <w:r w:rsidRPr="00D817AE">
              <w:rPr>
                <w:rStyle w:val="Hyperlink"/>
                <w:noProof/>
              </w:rPr>
              <w:t>Description of the different experimental set-ups</w:t>
            </w:r>
            <w:r>
              <w:rPr>
                <w:noProof/>
                <w:webHidden/>
              </w:rPr>
              <w:tab/>
            </w:r>
            <w:r>
              <w:rPr>
                <w:noProof/>
                <w:webHidden/>
              </w:rPr>
              <w:fldChar w:fldCharType="begin"/>
            </w:r>
            <w:r>
              <w:rPr>
                <w:noProof/>
                <w:webHidden/>
              </w:rPr>
              <w:instrText xml:space="preserve"> PAGEREF _Toc10029735 \h </w:instrText>
            </w:r>
            <w:r>
              <w:rPr>
                <w:noProof/>
                <w:webHidden/>
              </w:rPr>
            </w:r>
            <w:r>
              <w:rPr>
                <w:noProof/>
                <w:webHidden/>
              </w:rPr>
              <w:fldChar w:fldCharType="separate"/>
            </w:r>
            <w:r>
              <w:rPr>
                <w:noProof/>
                <w:webHidden/>
              </w:rPr>
              <w:t>9</w:t>
            </w:r>
            <w:r>
              <w:rPr>
                <w:noProof/>
                <w:webHidden/>
              </w:rPr>
              <w:fldChar w:fldCharType="end"/>
            </w:r>
          </w:hyperlink>
        </w:p>
        <w:p w14:paraId="5D9B319F" w14:textId="7EEEFE54" w:rsidR="00C16253" w:rsidRDefault="00C16253">
          <w:pPr>
            <w:pStyle w:val="TOC2"/>
            <w:tabs>
              <w:tab w:val="right" w:leader="dot" w:pos="9062"/>
            </w:tabs>
            <w:rPr>
              <w:noProof/>
              <w:sz w:val="22"/>
              <w:szCs w:val="22"/>
              <w:lang w:eastAsia="en-GB"/>
            </w:rPr>
          </w:pPr>
          <w:hyperlink w:anchor="_Toc10029736" w:history="1">
            <w:r w:rsidRPr="00D817AE">
              <w:rPr>
                <w:rStyle w:val="Hyperlink"/>
                <w:noProof/>
              </w:rPr>
              <w:t>Finkelstein et al.:</w:t>
            </w:r>
            <w:r>
              <w:rPr>
                <w:noProof/>
                <w:webHidden/>
              </w:rPr>
              <w:tab/>
            </w:r>
            <w:r>
              <w:rPr>
                <w:noProof/>
                <w:webHidden/>
              </w:rPr>
              <w:fldChar w:fldCharType="begin"/>
            </w:r>
            <w:r>
              <w:rPr>
                <w:noProof/>
                <w:webHidden/>
              </w:rPr>
              <w:instrText xml:space="preserve"> PAGEREF _Toc10029736 \h </w:instrText>
            </w:r>
            <w:r>
              <w:rPr>
                <w:noProof/>
                <w:webHidden/>
              </w:rPr>
            </w:r>
            <w:r>
              <w:rPr>
                <w:noProof/>
                <w:webHidden/>
              </w:rPr>
              <w:fldChar w:fldCharType="separate"/>
            </w:r>
            <w:r>
              <w:rPr>
                <w:noProof/>
                <w:webHidden/>
              </w:rPr>
              <w:t>9</w:t>
            </w:r>
            <w:r>
              <w:rPr>
                <w:noProof/>
                <w:webHidden/>
              </w:rPr>
              <w:fldChar w:fldCharType="end"/>
            </w:r>
          </w:hyperlink>
        </w:p>
        <w:p w14:paraId="25CB7D4D" w14:textId="210D04D4" w:rsidR="00C16253" w:rsidRDefault="00C16253">
          <w:pPr>
            <w:pStyle w:val="TOC3"/>
            <w:tabs>
              <w:tab w:val="right" w:leader="dot" w:pos="9062"/>
            </w:tabs>
            <w:rPr>
              <w:rFonts w:cstheme="minorBidi"/>
              <w:noProof/>
              <w:lang w:val="en-GB" w:eastAsia="en-GB"/>
            </w:rPr>
          </w:pPr>
          <w:hyperlink w:anchor="_Toc10029737" w:history="1">
            <w:r w:rsidRPr="00D817AE">
              <w:rPr>
                <w:rStyle w:val="Hyperlink"/>
                <w:noProof/>
              </w:rPr>
              <w:t>Processing of the data from Finkelstein et al.</w:t>
            </w:r>
            <w:r>
              <w:rPr>
                <w:noProof/>
                <w:webHidden/>
              </w:rPr>
              <w:tab/>
            </w:r>
            <w:r>
              <w:rPr>
                <w:noProof/>
                <w:webHidden/>
              </w:rPr>
              <w:fldChar w:fldCharType="begin"/>
            </w:r>
            <w:r>
              <w:rPr>
                <w:noProof/>
                <w:webHidden/>
              </w:rPr>
              <w:instrText xml:space="preserve"> PAGEREF _Toc10029737 \h </w:instrText>
            </w:r>
            <w:r>
              <w:rPr>
                <w:noProof/>
                <w:webHidden/>
              </w:rPr>
            </w:r>
            <w:r>
              <w:rPr>
                <w:noProof/>
                <w:webHidden/>
              </w:rPr>
              <w:fldChar w:fldCharType="separate"/>
            </w:r>
            <w:r>
              <w:rPr>
                <w:noProof/>
                <w:webHidden/>
              </w:rPr>
              <w:t>10</w:t>
            </w:r>
            <w:r>
              <w:rPr>
                <w:noProof/>
                <w:webHidden/>
              </w:rPr>
              <w:fldChar w:fldCharType="end"/>
            </w:r>
          </w:hyperlink>
        </w:p>
        <w:p w14:paraId="0A92B2F7" w14:textId="195C41EA" w:rsidR="00C16253" w:rsidRDefault="00C16253">
          <w:pPr>
            <w:pStyle w:val="TOC2"/>
            <w:tabs>
              <w:tab w:val="right" w:leader="dot" w:pos="9062"/>
            </w:tabs>
            <w:rPr>
              <w:noProof/>
              <w:sz w:val="22"/>
              <w:szCs w:val="22"/>
              <w:lang w:eastAsia="en-GB"/>
            </w:rPr>
          </w:pPr>
          <w:hyperlink w:anchor="_Toc10029738" w:history="1">
            <w:r w:rsidRPr="00D817AE">
              <w:rPr>
                <w:rStyle w:val="Hyperlink"/>
                <w:noProof/>
              </w:rPr>
              <w:t>Boyle et al.:</w:t>
            </w:r>
            <w:r>
              <w:rPr>
                <w:noProof/>
                <w:webHidden/>
              </w:rPr>
              <w:tab/>
            </w:r>
            <w:r>
              <w:rPr>
                <w:noProof/>
                <w:webHidden/>
              </w:rPr>
              <w:fldChar w:fldCharType="begin"/>
            </w:r>
            <w:r>
              <w:rPr>
                <w:noProof/>
                <w:webHidden/>
              </w:rPr>
              <w:instrText xml:space="preserve"> PAGEREF _Toc10029738 \h </w:instrText>
            </w:r>
            <w:r>
              <w:rPr>
                <w:noProof/>
                <w:webHidden/>
              </w:rPr>
            </w:r>
            <w:r>
              <w:rPr>
                <w:noProof/>
                <w:webHidden/>
              </w:rPr>
              <w:fldChar w:fldCharType="separate"/>
            </w:r>
            <w:r>
              <w:rPr>
                <w:noProof/>
                <w:webHidden/>
              </w:rPr>
              <w:t>11</w:t>
            </w:r>
            <w:r>
              <w:rPr>
                <w:noProof/>
                <w:webHidden/>
              </w:rPr>
              <w:fldChar w:fldCharType="end"/>
            </w:r>
          </w:hyperlink>
        </w:p>
        <w:p w14:paraId="38E865DA" w14:textId="35E3E259" w:rsidR="00C16253" w:rsidRDefault="00C16253">
          <w:pPr>
            <w:pStyle w:val="TOC3"/>
            <w:tabs>
              <w:tab w:val="right" w:leader="dot" w:pos="9062"/>
            </w:tabs>
            <w:rPr>
              <w:rFonts w:cstheme="minorBidi"/>
              <w:noProof/>
              <w:lang w:val="en-GB" w:eastAsia="en-GB"/>
            </w:rPr>
          </w:pPr>
          <w:hyperlink w:anchor="_Toc10029739" w:history="1">
            <w:r w:rsidRPr="00D817AE">
              <w:rPr>
                <w:rStyle w:val="Hyperlink"/>
                <w:noProof/>
              </w:rPr>
              <w:t>Derivation of the Hill equation: …..</w:t>
            </w:r>
            <w:r>
              <w:rPr>
                <w:noProof/>
                <w:webHidden/>
              </w:rPr>
              <w:tab/>
            </w:r>
            <w:r>
              <w:rPr>
                <w:noProof/>
                <w:webHidden/>
              </w:rPr>
              <w:fldChar w:fldCharType="begin"/>
            </w:r>
            <w:r>
              <w:rPr>
                <w:noProof/>
                <w:webHidden/>
              </w:rPr>
              <w:instrText xml:space="preserve"> PAGEREF _Toc10029739 \h </w:instrText>
            </w:r>
            <w:r>
              <w:rPr>
                <w:noProof/>
                <w:webHidden/>
              </w:rPr>
            </w:r>
            <w:r>
              <w:rPr>
                <w:noProof/>
                <w:webHidden/>
              </w:rPr>
              <w:fldChar w:fldCharType="separate"/>
            </w:r>
            <w:r>
              <w:rPr>
                <w:noProof/>
                <w:webHidden/>
              </w:rPr>
              <w:t>12</w:t>
            </w:r>
            <w:r>
              <w:rPr>
                <w:noProof/>
                <w:webHidden/>
              </w:rPr>
              <w:fldChar w:fldCharType="end"/>
            </w:r>
          </w:hyperlink>
        </w:p>
        <w:p w14:paraId="469837E8" w14:textId="4A15AA8F" w:rsidR="00C16253" w:rsidRDefault="00C16253">
          <w:pPr>
            <w:pStyle w:val="TOC1"/>
            <w:tabs>
              <w:tab w:val="right" w:leader="dot" w:pos="9062"/>
            </w:tabs>
            <w:rPr>
              <w:noProof/>
              <w:sz w:val="22"/>
              <w:szCs w:val="22"/>
              <w:lang w:eastAsia="en-GB"/>
            </w:rPr>
          </w:pPr>
          <w:hyperlink w:anchor="_Toc10029740" w:history="1">
            <w:r w:rsidRPr="00D817AE">
              <w:rPr>
                <w:rStyle w:val="Hyperlink"/>
                <w:noProof/>
              </w:rPr>
              <w:t>What we actually fit</w:t>
            </w:r>
            <w:r>
              <w:rPr>
                <w:noProof/>
                <w:webHidden/>
              </w:rPr>
              <w:tab/>
            </w:r>
            <w:r>
              <w:rPr>
                <w:noProof/>
                <w:webHidden/>
              </w:rPr>
              <w:fldChar w:fldCharType="begin"/>
            </w:r>
            <w:r>
              <w:rPr>
                <w:noProof/>
                <w:webHidden/>
              </w:rPr>
              <w:instrText xml:space="preserve"> PAGEREF _Toc10029740 \h </w:instrText>
            </w:r>
            <w:r>
              <w:rPr>
                <w:noProof/>
                <w:webHidden/>
              </w:rPr>
            </w:r>
            <w:r>
              <w:rPr>
                <w:noProof/>
                <w:webHidden/>
              </w:rPr>
              <w:fldChar w:fldCharType="separate"/>
            </w:r>
            <w:r>
              <w:rPr>
                <w:noProof/>
                <w:webHidden/>
              </w:rPr>
              <w:t>13</w:t>
            </w:r>
            <w:r>
              <w:rPr>
                <w:noProof/>
                <w:webHidden/>
              </w:rPr>
              <w:fldChar w:fldCharType="end"/>
            </w:r>
          </w:hyperlink>
        </w:p>
        <w:p w14:paraId="58A5A5B5" w14:textId="7399A291" w:rsidR="00C16253" w:rsidRDefault="00C16253">
          <w:pPr>
            <w:pStyle w:val="TOC2"/>
            <w:tabs>
              <w:tab w:val="right" w:leader="dot" w:pos="9062"/>
            </w:tabs>
            <w:rPr>
              <w:noProof/>
              <w:sz w:val="22"/>
              <w:szCs w:val="22"/>
              <w:lang w:eastAsia="en-GB"/>
            </w:rPr>
          </w:pPr>
          <w:hyperlink w:anchor="_Toc10029741" w:history="1">
            <w:r w:rsidRPr="00D817AE">
              <w:rPr>
                <w:rStyle w:val="Hyperlink"/>
                <w:noProof/>
              </w:rPr>
              <w:t>Simulated Annealing</w:t>
            </w:r>
            <w:r>
              <w:rPr>
                <w:noProof/>
                <w:webHidden/>
              </w:rPr>
              <w:tab/>
            </w:r>
            <w:r>
              <w:rPr>
                <w:noProof/>
                <w:webHidden/>
              </w:rPr>
              <w:fldChar w:fldCharType="begin"/>
            </w:r>
            <w:r>
              <w:rPr>
                <w:noProof/>
                <w:webHidden/>
              </w:rPr>
              <w:instrText xml:space="preserve"> PAGEREF _Toc10029741 \h </w:instrText>
            </w:r>
            <w:r>
              <w:rPr>
                <w:noProof/>
                <w:webHidden/>
              </w:rPr>
            </w:r>
            <w:r>
              <w:rPr>
                <w:noProof/>
                <w:webHidden/>
              </w:rPr>
              <w:fldChar w:fldCharType="separate"/>
            </w:r>
            <w:r>
              <w:rPr>
                <w:noProof/>
                <w:webHidden/>
              </w:rPr>
              <w:t>13</w:t>
            </w:r>
            <w:r>
              <w:rPr>
                <w:noProof/>
                <w:webHidden/>
              </w:rPr>
              <w:fldChar w:fldCharType="end"/>
            </w:r>
          </w:hyperlink>
        </w:p>
        <w:p w14:paraId="65D2F634" w14:textId="7441F895" w:rsidR="00C16253" w:rsidRDefault="00C16253">
          <w:pPr>
            <w:pStyle w:val="TOC2"/>
            <w:tabs>
              <w:tab w:val="right" w:leader="dot" w:pos="9062"/>
            </w:tabs>
            <w:rPr>
              <w:noProof/>
              <w:sz w:val="22"/>
              <w:szCs w:val="22"/>
              <w:lang w:eastAsia="en-GB"/>
            </w:rPr>
          </w:pPr>
          <w:hyperlink w:anchor="_Toc10029742" w:history="1">
            <w:r w:rsidRPr="00D817AE">
              <w:rPr>
                <w:rStyle w:val="Hyperlink"/>
                <w:noProof/>
              </w:rPr>
              <w:t>Selection of the fits</w:t>
            </w:r>
            <w:r>
              <w:rPr>
                <w:noProof/>
                <w:webHidden/>
              </w:rPr>
              <w:tab/>
            </w:r>
            <w:r>
              <w:rPr>
                <w:noProof/>
                <w:webHidden/>
              </w:rPr>
              <w:fldChar w:fldCharType="begin"/>
            </w:r>
            <w:r>
              <w:rPr>
                <w:noProof/>
                <w:webHidden/>
              </w:rPr>
              <w:instrText xml:space="preserve"> PAGEREF _Toc10029742 \h </w:instrText>
            </w:r>
            <w:r>
              <w:rPr>
                <w:noProof/>
                <w:webHidden/>
              </w:rPr>
            </w:r>
            <w:r>
              <w:rPr>
                <w:noProof/>
                <w:webHidden/>
              </w:rPr>
              <w:fldChar w:fldCharType="separate"/>
            </w:r>
            <w:r>
              <w:rPr>
                <w:noProof/>
                <w:webHidden/>
              </w:rPr>
              <w:t>15</w:t>
            </w:r>
            <w:r>
              <w:rPr>
                <w:noProof/>
                <w:webHidden/>
              </w:rPr>
              <w:fldChar w:fldCharType="end"/>
            </w:r>
          </w:hyperlink>
        </w:p>
        <w:p w14:paraId="693C26D8" w14:textId="2C6F7AA6" w:rsidR="00C16253" w:rsidRDefault="00C16253">
          <w:pPr>
            <w:pStyle w:val="TOC1"/>
            <w:tabs>
              <w:tab w:val="right" w:leader="dot" w:pos="9062"/>
            </w:tabs>
            <w:rPr>
              <w:noProof/>
              <w:sz w:val="22"/>
              <w:szCs w:val="22"/>
              <w:lang w:eastAsia="en-GB"/>
            </w:rPr>
          </w:pPr>
          <w:hyperlink w:anchor="_Toc10029743" w:history="1">
            <w:r w:rsidRPr="00D817AE">
              <w:rPr>
                <w:rStyle w:val="Hyperlink"/>
                <w:noProof/>
              </w:rPr>
              <w:t>Discovered properties of the data by fitting</w:t>
            </w:r>
            <w:r>
              <w:rPr>
                <w:noProof/>
                <w:webHidden/>
              </w:rPr>
              <w:tab/>
            </w:r>
            <w:r>
              <w:rPr>
                <w:noProof/>
                <w:webHidden/>
              </w:rPr>
              <w:fldChar w:fldCharType="begin"/>
            </w:r>
            <w:r>
              <w:rPr>
                <w:noProof/>
                <w:webHidden/>
              </w:rPr>
              <w:instrText xml:space="preserve"> PAGEREF _Toc10029743 \h </w:instrText>
            </w:r>
            <w:r>
              <w:rPr>
                <w:noProof/>
                <w:webHidden/>
              </w:rPr>
            </w:r>
            <w:r>
              <w:rPr>
                <w:noProof/>
                <w:webHidden/>
              </w:rPr>
              <w:fldChar w:fldCharType="separate"/>
            </w:r>
            <w:r>
              <w:rPr>
                <w:noProof/>
                <w:webHidden/>
              </w:rPr>
              <w:t>16</w:t>
            </w:r>
            <w:r>
              <w:rPr>
                <w:noProof/>
                <w:webHidden/>
              </w:rPr>
              <w:fldChar w:fldCharType="end"/>
            </w:r>
          </w:hyperlink>
        </w:p>
        <w:p w14:paraId="43AB1345" w14:textId="721A7D9D" w:rsidR="00C16253" w:rsidRDefault="00C16253">
          <w:pPr>
            <w:pStyle w:val="TOC2"/>
            <w:tabs>
              <w:tab w:val="right" w:leader="dot" w:pos="9062"/>
            </w:tabs>
            <w:rPr>
              <w:noProof/>
              <w:sz w:val="22"/>
              <w:szCs w:val="22"/>
              <w:lang w:eastAsia="en-GB"/>
            </w:rPr>
          </w:pPr>
          <w:hyperlink w:anchor="_Toc10029744" w:history="1">
            <w:r w:rsidRPr="00D817AE">
              <w:rPr>
                <w:rStyle w:val="Hyperlink"/>
                <w:noProof/>
              </w:rPr>
              <w:t>The usage of less concentration points</w:t>
            </w:r>
            <w:r>
              <w:rPr>
                <w:noProof/>
                <w:webHidden/>
              </w:rPr>
              <w:tab/>
            </w:r>
            <w:r>
              <w:rPr>
                <w:noProof/>
                <w:webHidden/>
              </w:rPr>
              <w:fldChar w:fldCharType="begin"/>
            </w:r>
            <w:r>
              <w:rPr>
                <w:noProof/>
                <w:webHidden/>
              </w:rPr>
              <w:instrText xml:space="preserve"> PAGEREF _Toc10029744 \h </w:instrText>
            </w:r>
            <w:r>
              <w:rPr>
                <w:noProof/>
                <w:webHidden/>
              </w:rPr>
            </w:r>
            <w:r>
              <w:rPr>
                <w:noProof/>
                <w:webHidden/>
              </w:rPr>
              <w:fldChar w:fldCharType="separate"/>
            </w:r>
            <w:r>
              <w:rPr>
                <w:noProof/>
                <w:webHidden/>
              </w:rPr>
              <w:t>17</w:t>
            </w:r>
            <w:r>
              <w:rPr>
                <w:noProof/>
                <w:webHidden/>
              </w:rPr>
              <w:fldChar w:fldCharType="end"/>
            </w:r>
          </w:hyperlink>
        </w:p>
        <w:p w14:paraId="150F2000" w14:textId="5A582306" w:rsidR="00C16253" w:rsidRDefault="00C16253">
          <w:pPr>
            <w:pStyle w:val="TOC2"/>
            <w:tabs>
              <w:tab w:val="right" w:leader="dot" w:pos="9062"/>
            </w:tabs>
            <w:rPr>
              <w:noProof/>
              <w:sz w:val="22"/>
              <w:szCs w:val="22"/>
              <w:lang w:eastAsia="en-GB"/>
            </w:rPr>
          </w:pPr>
          <w:hyperlink w:anchor="_Toc10029745" w:history="1">
            <w:r w:rsidRPr="00D817AE">
              <w:rPr>
                <w:rStyle w:val="Hyperlink"/>
                <w:noProof/>
              </w:rPr>
              <w:t>Assuming equilibrium</w:t>
            </w:r>
            <w:r>
              <w:rPr>
                <w:noProof/>
                <w:webHidden/>
              </w:rPr>
              <w:tab/>
            </w:r>
            <w:r>
              <w:rPr>
                <w:noProof/>
                <w:webHidden/>
              </w:rPr>
              <w:fldChar w:fldCharType="begin"/>
            </w:r>
            <w:r>
              <w:rPr>
                <w:noProof/>
                <w:webHidden/>
              </w:rPr>
              <w:instrText xml:space="preserve"> PAGEREF _Toc10029745 \h </w:instrText>
            </w:r>
            <w:r>
              <w:rPr>
                <w:noProof/>
                <w:webHidden/>
              </w:rPr>
            </w:r>
            <w:r>
              <w:rPr>
                <w:noProof/>
                <w:webHidden/>
              </w:rPr>
              <w:fldChar w:fldCharType="separate"/>
            </w:r>
            <w:r>
              <w:rPr>
                <w:noProof/>
                <w:webHidden/>
              </w:rPr>
              <w:t>18</w:t>
            </w:r>
            <w:r>
              <w:rPr>
                <w:noProof/>
                <w:webHidden/>
              </w:rPr>
              <w:fldChar w:fldCharType="end"/>
            </w:r>
          </w:hyperlink>
        </w:p>
        <w:p w14:paraId="004B62FD" w14:textId="6C31633F" w:rsidR="00C16253" w:rsidRDefault="00C16253">
          <w:pPr>
            <w:pStyle w:val="TOC2"/>
            <w:tabs>
              <w:tab w:val="right" w:leader="dot" w:pos="9062"/>
            </w:tabs>
            <w:rPr>
              <w:noProof/>
              <w:sz w:val="22"/>
              <w:szCs w:val="22"/>
              <w:lang w:eastAsia="en-GB"/>
            </w:rPr>
          </w:pPr>
          <w:hyperlink w:anchor="_Toc10029746" w:history="1">
            <w:r w:rsidRPr="00D817AE">
              <w:rPr>
                <w:rStyle w:val="Hyperlink"/>
                <w:noProof/>
              </w:rPr>
              <w:t>Comparison to Boyle</w:t>
            </w:r>
            <w:r>
              <w:rPr>
                <w:noProof/>
                <w:webHidden/>
              </w:rPr>
              <w:tab/>
            </w:r>
            <w:r>
              <w:rPr>
                <w:noProof/>
                <w:webHidden/>
              </w:rPr>
              <w:fldChar w:fldCharType="begin"/>
            </w:r>
            <w:r>
              <w:rPr>
                <w:noProof/>
                <w:webHidden/>
              </w:rPr>
              <w:instrText xml:space="preserve"> PAGEREF _Toc10029746 \h </w:instrText>
            </w:r>
            <w:r>
              <w:rPr>
                <w:noProof/>
                <w:webHidden/>
              </w:rPr>
            </w:r>
            <w:r>
              <w:rPr>
                <w:noProof/>
                <w:webHidden/>
              </w:rPr>
              <w:fldChar w:fldCharType="separate"/>
            </w:r>
            <w:r>
              <w:rPr>
                <w:noProof/>
                <w:webHidden/>
              </w:rPr>
              <w:t>18</w:t>
            </w:r>
            <w:r>
              <w:rPr>
                <w:noProof/>
                <w:webHidden/>
              </w:rPr>
              <w:fldChar w:fldCharType="end"/>
            </w:r>
          </w:hyperlink>
        </w:p>
        <w:p w14:paraId="67214638" w14:textId="721DED90" w:rsidR="00C16253" w:rsidRDefault="00C16253">
          <w:pPr>
            <w:pStyle w:val="TOC1"/>
            <w:tabs>
              <w:tab w:val="right" w:leader="dot" w:pos="9062"/>
            </w:tabs>
            <w:rPr>
              <w:noProof/>
              <w:sz w:val="22"/>
              <w:szCs w:val="22"/>
              <w:lang w:eastAsia="en-GB"/>
            </w:rPr>
          </w:pPr>
          <w:hyperlink w:anchor="_Toc10029747" w:history="1">
            <w:r w:rsidRPr="00D817AE">
              <w:rPr>
                <w:rStyle w:val="Hyperlink"/>
                <w:noProof/>
              </w:rPr>
              <w:t>Derived properties of Cas12</w:t>
            </w:r>
            <w:r>
              <w:rPr>
                <w:noProof/>
                <w:webHidden/>
              </w:rPr>
              <w:tab/>
            </w:r>
            <w:r>
              <w:rPr>
                <w:noProof/>
                <w:webHidden/>
              </w:rPr>
              <w:fldChar w:fldCharType="begin"/>
            </w:r>
            <w:r>
              <w:rPr>
                <w:noProof/>
                <w:webHidden/>
              </w:rPr>
              <w:instrText xml:space="preserve"> PAGEREF _Toc10029747 \h </w:instrText>
            </w:r>
            <w:r>
              <w:rPr>
                <w:noProof/>
                <w:webHidden/>
              </w:rPr>
            </w:r>
            <w:r>
              <w:rPr>
                <w:noProof/>
                <w:webHidden/>
              </w:rPr>
              <w:fldChar w:fldCharType="separate"/>
            </w:r>
            <w:r>
              <w:rPr>
                <w:noProof/>
                <w:webHidden/>
              </w:rPr>
              <w:t>19</w:t>
            </w:r>
            <w:r>
              <w:rPr>
                <w:noProof/>
                <w:webHidden/>
              </w:rPr>
              <w:fldChar w:fldCharType="end"/>
            </w:r>
          </w:hyperlink>
        </w:p>
        <w:p w14:paraId="028FC909" w14:textId="3F96DFA4" w:rsidR="00C16253" w:rsidRDefault="00C16253">
          <w:pPr>
            <w:pStyle w:val="TOC1"/>
            <w:tabs>
              <w:tab w:val="right" w:leader="dot" w:pos="9062"/>
            </w:tabs>
            <w:rPr>
              <w:noProof/>
              <w:sz w:val="22"/>
              <w:szCs w:val="22"/>
              <w:lang w:eastAsia="en-GB"/>
            </w:rPr>
          </w:pPr>
          <w:hyperlink w:anchor="_Toc10029748" w:history="1">
            <w:r w:rsidRPr="00D817AE">
              <w:rPr>
                <w:rStyle w:val="Hyperlink"/>
                <w:noProof/>
              </w:rPr>
              <w:t>Bibliography</w:t>
            </w:r>
            <w:r>
              <w:rPr>
                <w:noProof/>
                <w:webHidden/>
              </w:rPr>
              <w:tab/>
            </w:r>
            <w:r>
              <w:rPr>
                <w:noProof/>
                <w:webHidden/>
              </w:rPr>
              <w:fldChar w:fldCharType="begin"/>
            </w:r>
            <w:r>
              <w:rPr>
                <w:noProof/>
                <w:webHidden/>
              </w:rPr>
              <w:instrText xml:space="preserve"> PAGEREF _Toc10029748 \h </w:instrText>
            </w:r>
            <w:r>
              <w:rPr>
                <w:noProof/>
                <w:webHidden/>
              </w:rPr>
            </w:r>
            <w:r>
              <w:rPr>
                <w:noProof/>
                <w:webHidden/>
              </w:rPr>
              <w:fldChar w:fldCharType="separate"/>
            </w:r>
            <w:r>
              <w:rPr>
                <w:noProof/>
                <w:webHidden/>
              </w:rPr>
              <w:t>21</w:t>
            </w:r>
            <w:r>
              <w:rPr>
                <w:noProof/>
                <w:webHidden/>
              </w:rPr>
              <w:fldChar w:fldCharType="end"/>
            </w:r>
          </w:hyperlink>
        </w:p>
        <w:p w14:paraId="4B0A2D3F" w14:textId="609A64E7" w:rsidR="008E45E4" w:rsidRPr="007A7F2B" w:rsidRDefault="008E45E4">
          <w:r w:rsidRPr="007A7F2B">
            <w:fldChar w:fldCharType="end"/>
          </w:r>
        </w:p>
      </w:sdtContent>
    </w:sdt>
    <w:p w14:paraId="50AE420A" w14:textId="77777777" w:rsidR="008E45E4" w:rsidRPr="007A7F2B" w:rsidRDefault="008E45E4">
      <w:pPr>
        <w:rPr>
          <w:smallCaps/>
          <w:color w:val="262626" w:themeColor="text1" w:themeTint="D9"/>
          <w:sz w:val="52"/>
          <w:szCs w:val="52"/>
        </w:rPr>
      </w:pPr>
      <w:r w:rsidRPr="007A7F2B">
        <w:br w:type="page"/>
      </w:r>
    </w:p>
    <w:p w14:paraId="22062C37" w14:textId="113245D9" w:rsidR="00784677" w:rsidRPr="007A7F2B" w:rsidRDefault="00784677" w:rsidP="00584F82">
      <w:pPr>
        <w:pStyle w:val="Title"/>
      </w:pPr>
      <w:bookmarkStart w:id="0" w:name="_Toc10029726"/>
      <w:r w:rsidRPr="007A7F2B">
        <w:lastRenderedPageBreak/>
        <w:t>Introduction</w:t>
      </w:r>
      <w:r w:rsidR="00E75309" w:rsidRPr="007A7F2B">
        <w:t xml:space="preserve"> to CRISPR</w:t>
      </w:r>
      <w:r w:rsidRPr="007A7F2B">
        <w:t>:</w:t>
      </w:r>
      <w:bookmarkEnd w:id="0"/>
      <w:r w:rsidRPr="007A7F2B">
        <w:t xml:space="preserve"> </w:t>
      </w:r>
    </w:p>
    <w:p w14:paraId="22B9EEBC" w14:textId="0A50F755" w:rsidR="00DC5E68" w:rsidRPr="007A7F2B" w:rsidRDefault="00943D26" w:rsidP="0084482A">
      <w:r>
        <w:rPr>
          <w:noProof/>
        </w:rPr>
        <w:drawing>
          <wp:anchor distT="0" distB="0" distL="114300" distR="114300" simplePos="0" relativeHeight="251659264" behindDoc="0" locked="0" layoutInCell="1" allowOverlap="1" wp14:anchorId="5F2D3C49" wp14:editId="2B647235">
            <wp:simplePos x="0" y="0"/>
            <wp:positionH relativeFrom="column">
              <wp:posOffset>3397885</wp:posOffset>
            </wp:positionH>
            <wp:positionV relativeFrom="paragraph">
              <wp:posOffset>2696112</wp:posOffset>
            </wp:positionV>
            <wp:extent cx="3093085" cy="2428733"/>
            <wp:effectExtent l="0" t="0" r="0" b="0"/>
            <wp:wrapSquare wrapText="bothSides"/>
            <wp:docPr id="2" name="Picture 2"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 up of text on a white background&#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3085" cy="2428733"/>
                    </a:xfrm>
                    <a:prstGeom prst="rect">
                      <a:avLst/>
                    </a:prstGeom>
                  </pic:spPr>
                </pic:pic>
              </a:graphicData>
            </a:graphic>
          </wp:anchor>
        </w:drawing>
      </w:r>
      <w:r w:rsidR="007E043F" w:rsidRPr="007A7F2B">
        <w:t>Clustered Regularly Interspaced Palindromic Repeats</w:t>
      </w:r>
      <w:r w:rsidR="00584F82" w:rsidRPr="007A7F2B">
        <w:t xml:space="preserve"> combined with a CRISPR-associated operon, </w:t>
      </w:r>
      <w:r w:rsidR="007E043F" w:rsidRPr="007A7F2B">
        <w:t xml:space="preserve">or better known as </w:t>
      </w:r>
      <w:r w:rsidR="0084482A" w:rsidRPr="007A7F2B">
        <w:t>CRISPR-Cas</w:t>
      </w:r>
      <w:r w:rsidR="007E043F" w:rsidRPr="007A7F2B">
        <w:t>,</w:t>
      </w:r>
      <w:r w:rsidR="0084482A" w:rsidRPr="007A7F2B">
        <w:t xml:space="preserve"> is a </w:t>
      </w:r>
      <w:r w:rsidR="00277CE4" w:rsidRPr="007A7F2B">
        <w:t>well-known</w:t>
      </w:r>
      <w:r w:rsidR="0084482A" w:rsidRPr="007A7F2B">
        <w:t xml:space="preserve"> </w:t>
      </w:r>
      <w:r w:rsidR="00193795" w:rsidRPr="007A7F2B">
        <w:t>biological system</w:t>
      </w:r>
      <w:r w:rsidR="007E043F" w:rsidRPr="007A7F2B">
        <w:t>. E</w:t>
      </w:r>
      <w:r w:rsidR="0084482A" w:rsidRPr="007A7F2B">
        <w:t>specially for the ones working or studying in the field of bio-nanoscience, but also for the general publi</w:t>
      </w:r>
      <w:r w:rsidR="00094856" w:rsidRPr="007A7F2B">
        <w:t>c. The latest example</w:t>
      </w:r>
      <w:r w:rsidR="00565052" w:rsidRPr="007A7F2B">
        <w:t xml:space="preserve"> that reached the general public</w:t>
      </w:r>
      <w:r w:rsidR="00094856" w:rsidRPr="007A7F2B">
        <w:t xml:space="preserve">: The Chinese researcher He </w:t>
      </w:r>
      <w:proofErr w:type="spellStart"/>
      <w:r w:rsidR="00094856" w:rsidRPr="007A7F2B">
        <w:t>Jiankui</w:t>
      </w:r>
      <w:proofErr w:type="spellEnd"/>
      <w:r w:rsidR="00094856" w:rsidRPr="007A7F2B">
        <w:t xml:space="preserve"> of Southern University of Science and Technology in Shenzhen, claimed to have created the world’s first genetically edited </w:t>
      </w:r>
      <w:r w:rsidR="000671EF">
        <w:t xml:space="preserve">germline </w:t>
      </w:r>
      <w:r w:rsidR="00094856" w:rsidRPr="007A7F2B">
        <w:t>using CRISPR-Cas</w:t>
      </w:r>
      <w:r w:rsidR="000671EF">
        <w:t>, that resulted in real born babies</w:t>
      </w:r>
      <w:r w:rsidR="0005104E" w:rsidRPr="007A7F2B">
        <w:t xml:space="preserve"> </w:t>
      </w:r>
      <w:r w:rsidR="00F158D4">
        <w:fldChar w:fldCharType="begin" w:fldLock="1"/>
      </w:r>
      <w:r w:rsidR="00F158D4">
        <w:instrText>ADDIN CSL_CITATION {"citationItems":[{"id":"ITEM-1","itemData":{"DOI":"10.1242/dev.175778","ISSN":"0950-1991","abstract":"Towards the end of November 2018, news broke that the Chinese researcher He Jiankui had created the world's first genome-edited babies. This came shortly before the start of the Second International Summit on Human Genome Editing, where researchers, ethicists and others concerned with regulation, social issues and public engagement from around the world gathered to discuss the latest advances in the field. In this Spotlight, I provide my perspective on the events that occurred shortly prior to and at the summit, where He Jiankui gave an account of his activities. I also discuss what was wrong with his approach and how, after more research and with appropriate regulation, clinical applications of germline genome editing in humans may be justifiable.","author":[{"dropping-particle":"","family":"Lovell-Badge","given":"Robin","non-dropping-particle":"","parse-names":false,"suffix":""}],"container-title":"Development","id":"ITEM-1","issued":{"date-parts":[["2019"]]},"title":"CRISPR babies: a view from the centre of the storm","type":"article-journal"},"uris":["http://www.mendeley.com/documents/?uuid=e27e90e0-aa08-424d-b73f-d62e6e33d292"]}],"mendeley":{"formattedCitation":"(1)","plainTextFormattedCitation":"(1)","previouslyFormattedCitation":"(1)"},"properties":{"noteIndex":0},"schema":"https://github.com/citation-style-language/schema/raw/master/csl-citation.json"}</w:instrText>
      </w:r>
      <w:r w:rsidR="00F158D4">
        <w:fldChar w:fldCharType="separate"/>
      </w:r>
      <w:r w:rsidR="00F158D4" w:rsidRPr="00F158D4">
        <w:rPr>
          <w:noProof/>
        </w:rPr>
        <w:t>(1)</w:t>
      </w:r>
      <w:r w:rsidR="00F158D4">
        <w:fldChar w:fldCharType="end"/>
      </w:r>
      <w:r w:rsidR="0005104E" w:rsidRPr="007A7F2B">
        <w:t xml:space="preserve">. Although most scientists share the opinion that CRISPR-Cas should not be applied to human </w:t>
      </w:r>
      <w:r w:rsidR="00193795" w:rsidRPr="007A7F2B">
        <w:t>germlines</w:t>
      </w:r>
      <w:r w:rsidR="0005104E" w:rsidRPr="007A7F2B">
        <w:t xml:space="preserve"> until it has been extensively tested</w:t>
      </w:r>
      <w:r w:rsidR="00F158D4">
        <w:t xml:space="preserve"> </w:t>
      </w:r>
      <w:r w:rsidR="00F158D4">
        <w:fldChar w:fldCharType="begin" w:fldLock="1"/>
      </w:r>
      <w:r w:rsidR="00F158D4">
        <w:instrText>ADDIN CSL_CITATION {"citationItems":[{"id":"ITEM-1","itemData":{"DOI":"10.1242/dev.175778","ISSN":"0950-1991","abstract":"Towards the end of November 2018, news broke that the Chinese researcher He Jiankui had created the world's first genome-edited babies. This came shortly before the start of the Second International Summit on Human Genome Editing, where researchers, ethicists and others concerned with regulation, social issues and public engagement from around the world gathered to discuss the latest advances in the field. In this Spotlight, I provide my perspective on the events that occurred shortly prior to and at the summit, where He Jiankui gave an account of his activities. I also discuss what was wrong with his approach and how, after more research and with appropriate regulation, clinical applications of germline genome editing in humans may be justifiable.","author":[{"dropping-particle":"","family":"Lovell-Badge","given":"Robin","non-dropping-particle":"","parse-names":false,"suffix":""}],"container-title":"Development","id":"ITEM-1","issued":{"date-parts":[["2019"]]},"title":"CRISPR babies: a view from the centre of the storm","type":"article-journal"},"uris":["http://www.mendeley.com/documents/?uuid=e27e90e0-aa08-424d-b73f-d62e6e33d292"]}],"mendeley":{"formattedCitation":"(1)","plainTextFormattedCitation":"(1)","previouslyFormattedCitation":"(1)"},"properties":{"noteIndex":0},"schema":"https://github.com/citation-style-language/schema/raw/master/csl-citation.json"}</w:instrText>
      </w:r>
      <w:r w:rsidR="00F158D4">
        <w:fldChar w:fldCharType="separate"/>
      </w:r>
      <w:r w:rsidR="00F158D4" w:rsidRPr="00F158D4">
        <w:rPr>
          <w:noProof/>
        </w:rPr>
        <w:t>(1)</w:t>
      </w:r>
      <w:r w:rsidR="00F158D4">
        <w:fldChar w:fldCharType="end"/>
      </w:r>
      <w:r w:rsidR="0005104E" w:rsidRPr="007A7F2B">
        <w:t>, it is an useful toolkit for</w:t>
      </w:r>
      <w:r w:rsidR="00277CE4" w:rsidRPr="007A7F2B">
        <w:t xml:space="preserve"> biotechnology, </w:t>
      </w:r>
      <w:r w:rsidR="0005104E" w:rsidRPr="007A7F2B">
        <w:t xml:space="preserve">experimental </w:t>
      </w:r>
      <w:r w:rsidR="00277CE4" w:rsidRPr="007A7F2B">
        <w:t xml:space="preserve">setups </w:t>
      </w:r>
      <w:r w:rsidR="0005104E" w:rsidRPr="007A7F2B">
        <w:t xml:space="preserve">and clinical medicine. </w:t>
      </w:r>
      <w:r w:rsidR="002C0C44" w:rsidRPr="007A7F2B">
        <w:t xml:space="preserve">It already has been proved to be useful in </w:t>
      </w:r>
      <w:r w:rsidR="00002A75" w:rsidRPr="007A7F2B">
        <w:t xml:space="preserve">multiple biotechnological applications, including the generation of phage resistant dairy cultures </w:t>
      </w:r>
      <w:r w:rsidR="00052CA9" w:rsidRPr="007A7F2B">
        <w:fldChar w:fldCharType="begin" w:fldLock="1"/>
      </w:r>
      <w:r w:rsidR="00F158D4">
        <w:instrText>ADDIN CSL_CITATION {"citationItems":[{"id":"ITEM-1","itemData":{"DOI":"10.1016/j.idairyj.2010.03.012","ISSN":"09586946","abstract":"At least 345 bacteriophages infecting Streptococcus thermophilus starter cultures have been isolated; general characteristics include high thermal resistance, short latent periods and large burst size. Phages with such characteristics are primed to thrive in the cheese making environment, lysing bacterial cultures and generating low-quality fermented products. All S. thermophilus phages isolated to date are members of the Siphoviridae family and the Caudovirales order and appear to constitute a polythetic phage species comprising two large groups, cos- and pac-types, based on the mode of DNA packaging. Comparative analyses have shown that S. thermophilus phage genomes are similarly organized into distinct modular regions and allow the detection of a core genome region. Several PCR-based techniques have been designed to detect them in cheese whey and milk samples. Similar S. thermophilus phages are globally distributed and endemic in specific dairy environments. The biogeography of S. thermophilus phages reinforces their current classification. © 2010 Elsevier Ltd.","author":[{"dropping-particle":"","family":"Quiberoni","given":"Andrea","non-dropping-particle":"","parse-names":false,"suffix":""},{"dropping-particle":"","family":"Moineau","given":"Sylvain","non-dropping-particle":"","parse-names":false,"suffix":""},{"dropping-particle":"","family":"Rousseau","given":"Geneviève M.","non-dropping-particle":"","parse-names":false,"suffix":""},{"dropping-particle":"","family":"Reinheimer","given":"Jorge","non-dropping-particle":"","parse-names":false,"suffix":""},{"dropping-particle":"","family":"Ackermann","given":"Hans Wolfgang","non-dropping-particle":"","parse-names":false,"suffix":""}],"container-title":"International Dairy Journal","id":"ITEM-1","issued":{"date-parts":[["2010"]]},"title":"Streptococcus thermophilus bacteriophages","type":"article"},"uris":["http://www.mendeley.com/documents/?uuid=fc65fa91-8120-4748-84d9-3aaa0cd891df"]}],"mendeley":{"formattedCitation":"(2)","plainTextFormattedCitation":"(2)","previouslyFormattedCitation":"(2)"},"properties":{"noteIndex":0},"schema":"https://github.com/citation-style-language/schema/raw/master/csl-citation.json"}</w:instrText>
      </w:r>
      <w:r w:rsidR="00052CA9" w:rsidRPr="007A7F2B">
        <w:fldChar w:fldCharType="separate"/>
      </w:r>
      <w:r w:rsidR="00F158D4" w:rsidRPr="00F158D4">
        <w:rPr>
          <w:noProof/>
        </w:rPr>
        <w:t>(2)</w:t>
      </w:r>
      <w:r w:rsidR="00052CA9" w:rsidRPr="007A7F2B">
        <w:fldChar w:fldCharType="end"/>
      </w:r>
      <w:r w:rsidR="00052CA9" w:rsidRPr="007A7F2B">
        <w:t xml:space="preserve"> and phylogenetic classification of bacterial strains </w:t>
      </w:r>
      <w:r w:rsidR="00052CA9" w:rsidRPr="007A7F2B">
        <w:fldChar w:fldCharType="begin" w:fldLock="1"/>
      </w:r>
      <w:r w:rsidR="00F158D4">
        <w:instrText>ADDIN CSL_CITATION {"citationItems":[{"id":"ITEM-1","itemData":{"DOI":"10.1128/JB.01415-07","ISSN":"00219193","abstract":"Clustered regularly interspaced short palindromic repeats (CRISPR) are hypervariable loci widely distributed in prokaryotes that provide acquired immunity against foreign genetic elements. Here, we characterize a novel Streptococcus thermophilus locus, CRISPR3, and experimentally demonstrate its ability to integrate novel spacers in response to bacteriophage. Also, we analyze CRISPR diversity and activity across three distinct CRISPR loci in several S. thermophilus strains. We show that both CRISPR repeats and cas genes are locus specific and functionally coupled. A total of 124 strains were studied, and 109 unique spacer arrangements were observed across the three CRISPR loci. Overall, 3,626 spacers were analyzed, including 2,829 for CRISPR1 (782 unique), 173 for CRISPR2 (16 unique), and 624 for CRISPR3 (154 unique). Sequence analysis of the spacers revealed homology and identity to phage sequences (77%), plasmid sequences (16%), and S. thermophilus chromosomal sequences (7%). Polymorphisms were observed for the CRISPR repeats, CRISPR spacers, cas genes, CRISPR motif, locus architecture, and specific sequence content. Interestingly, CRISPR loci evolved both via polarized addition of novel spacers after exposure to foreign genetic elements and via internal deletion of spacers. We hypothesize that the level of diversity is correlated with relative CRISPR activity and propose that the activity is highest for CRISPR1, followed by CRISPR3, while CRISPR2 may be degenerate. Globally, the dynamic nature of CRISPR loci might prove valuable for typing and comparative analyses of strains and microbial populations. Also, CRISPRs provide critical insights into the relationships between prokaryotes and their environments, notably the coevolution of host and viral genomes.","author":[{"dropping-particle":"","family":"Horvath","given":"Philippe","non-dropping-particle":"","parse-names":false,"suffix":""},{"dropping-particle":"","family":"Romero","given":"Dennis A.","non-dropping-particle":"","parse-names":false,"suffix":""},{"dropping-particle":"","family":"Coûté-Monvoisin","given":"Anne Claire","non-dropping-particle":"","parse-names":false,"suffix":""},{"dropping-particle":"","family":"Richards","given":"Melissa","non-dropping-particle":"","parse-names":false,"suffix":""},{"dropping-particle":"","family":"Deveau","given":"Hélène","non-dropping-particle":"","parse-names":false,"suffix":""},{"dropping-particle":"","family":"Moineau","given":"Sylvain","non-dropping-particle":"","parse-names":false,"suffix":""},{"dropping-particle":"","family":"Boyaval","given":"Patrick","non-dropping-particle":"","parse-names":false,"suffix":""},{"dropping-particle":"","family":"Fremaux","given":"Christophe","non-dropping-particle":"","parse-names":false,"suffix":""},{"dropping-particle":"","family":"Barrangou","given":"Rodolphe","non-dropping-particle":"","parse-names":false,"suffix":""}],"container-title":"Journal of Bacteriology","id":"ITEM-1","issued":{"date-parts":[["2008"]]},"title":"Diversity, activity, and evolution of CRISPR loci in Streptococcus thermophilus","type":"article-journal"},"uris":["http://www.mendeley.com/documents/?uuid=f86937fe-b3c8-4bf8-b145-7a515ce70614"]}],"mendeley":{"formattedCitation":"(3)","plainTextFormattedCitation":"(3)","previouslyFormattedCitation":"(3)"},"properties":{"noteIndex":0},"schema":"https://github.com/citation-style-language/schema/raw/master/csl-citation.json"}</w:instrText>
      </w:r>
      <w:r w:rsidR="00052CA9" w:rsidRPr="007A7F2B">
        <w:fldChar w:fldCharType="separate"/>
      </w:r>
      <w:r w:rsidR="00F158D4" w:rsidRPr="00F158D4">
        <w:rPr>
          <w:noProof/>
        </w:rPr>
        <w:t>(3)</w:t>
      </w:r>
      <w:r w:rsidR="00052CA9" w:rsidRPr="007A7F2B">
        <w:fldChar w:fldCharType="end"/>
      </w:r>
      <w:r w:rsidR="002C0C44" w:rsidRPr="007A7F2B">
        <w:t>.</w:t>
      </w:r>
      <w:r w:rsidR="00052CA9" w:rsidRPr="007A7F2B">
        <w:t xml:space="preserve"> </w:t>
      </w:r>
      <w:r w:rsidR="00C3258F" w:rsidRPr="007A7F2B">
        <w:t>Furthermore</w:t>
      </w:r>
      <w:r w:rsidR="00DC5E68" w:rsidRPr="007A7F2B">
        <w:t xml:space="preserve">, a modified version of the CRISPR-Cas9 system has been used to recruit heterologous domains that can regulate endogenous gene expression or label specific genomic loci in living cells </w:t>
      </w:r>
      <w:r w:rsidR="00DC5E68" w:rsidRPr="007A7F2B">
        <w:fldChar w:fldCharType="begin" w:fldLock="1"/>
      </w:r>
      <w:r w:rsidR="00F158D4">
        <w:instrText>ADDIN CSL_CITATION {"citationItems":[{"id":"ITEM-1","itemData":{"DOI":"10.1038/nbt.2842","ISSN":"1546-1696","PMID":"24584096","abstract":"Targeted genome editing using engineered nucleases has rapidly gone from being a niche technology to a mainstream method used by many biological researchers. This widespread adoption has been largely fueled by the emergence of the clustered, regularly interspaced, short palindromic repeat (CRISPR) technology, an important new approach for generating RNA-guided nucleases, such as Cas9, with customizable specificities. Genome editing mediated by these nucleases has been used to rapidly, easily and efficiently modify endogenous genes in a wide variety of biomedically important cell types and in organisms that have traditionally been challenging to manipulate genetically. Furthermore, a modified version of the CRISPR-Cas9 system has been developed to recruit heterologous domains that can regulate endogenous gene expression or label specific genomic loci in living cells. Although the genome-wide specificities of CRISPR-Cas9 systems remain to be fully defined, the power of these systems to perform targeted, highly efficient alterations of genome sequence and gene expression will undoubtedly transform biological research and spur the development of novel molecular therapeutics for human disease.","author":[{"dropping-particle":"","family":"Sander","given":"Jeffry D","non-dropping-particle":"","parse-names":false,"suffix":""},{"dropping-particle":"","family":"Joung","given":"J Keith","non-dropping-particle":"","parse-names":false,"suffix":""}],"container-title":"Nature biotechnology","id":"ITEM-1","issued":{"date-parts":[["2014"]]},"title":"CRISPR-Cas systems for editing, regulating and targeting genomes.","type":"article-journal"},"uris":["http://www.mendeley.com/documents/?uuid=2dc22d05-7375-4db9-a865-671796448299"]}],"mendeley":{"formattedCitation":"(4)","plainTextFormattedCitation":"(4)","previouslyFormattedCitation":"(4)"},"properties":{"noteIndex":0},"schema":"https://github.com/citation-style-language/schema/raw/master/csl-citation.json"}</w:instrText>
      </w:r>
      <w:r w:rsidR="00DC5E68" w:rsidRPr="007A7F2B">
        <w:fldChar w:fldCharType="separate"/>
      </w:r>
      <w:r w:rsidR="00F158D4" w:rsidRPr="00F158D4">
        <w:rPr>
          <w:noProof/>
        </w:rPr>
        <w:t>(4)</w:t>
      </w:r>
      <w:r w:rsidR="00DC5E68" w:rsidRPr="007A7F2B">
        <w:fldChar w:fldCharType="end"/>
      </w:r>
      <w:r w:rsidR="00277CE4" w:rsidRPr="007A7F2B">
        <w:t xml:space="preserve">. </w:t>
      </w:r>
      <w:r w:rsidR="0004650D" w:rsidRPr="007A7F2B">
        <w:t>In other experimental set-ups</w:t>
      </w:r>
      <w:r w:rsidR="0003664E" w:rsidRPr="007A7F2B">
        <w:t xml:space="preserve"> CRISPR-Cas9</w:t>
      </w:r>
      <w:r w:rsidR="00262C82" w:rsidRPr="007A7F2B">
        <w:t xml:space="preserve"> is </w:t>
      </w:r>
      <w:r w:rsidR="0004650D" w:rsidRPr="007A7F2B">
        <w:t xml:space="preserve">for example </w:t>
      </w:r>
      <w:r w:rsidR="00262C82" w:rsidRPr="007A7F2B">
        <w:t xml:space="preserve">used to fluorescently tag specific DNA loci, which is a powerful life-cell-imaging alternative to DNA-FISH </w:t>
      </w:r>
      <w:r w:rsidR="00262C82" w:rsidRPr="007A7F2B">
        <w:fldChar w:fldCharType="begin" w:fldLock="1"/>
      </w:r>
      <w:r w:rsidR="00F158D4">
        <w:instrText>ADDIN CSL_CITATION {"citationItems":[{"id":"ITEM-1","itemData":{"DOI":"10.1016/j.cell.2013.12.001","ISSN":"10974172","abstract":"The spatiotemporal organization and dynamics of chromatin play critical roles in regulating genome function. However, visualizing specific, endogenous genomic loci remains challenging in living cells. Here, we demonstrate such an imaging technique by repurposing the bacterial CRISPR/Cas system. Using an EGFP-tagged endonuclease-deficient Cas9 protein and a structurally optimized small guide (sg) RNA, we show robust imaging of repetitive elements in telomeres and coding genes in living cells. Furthermore, an array of sgRNAs tiling along the target locus enables the visualization of nonrepetitive genomic sequences. Using this method, we have studied telomere dynamics during elongation or disruption, the subnuclear localization of the MUC4 loci, the cohesion of replicated MUC4 loci on sister chromatids, and their dynamic behaviors during mitosis. This CRISPR imaging tool has potential to significantly improve the capacity to study the conformation and dynamics of native chromosomes in living human cells. © 2013 Elsevier Inc.","author":[{"dropping-particle":"","family":"Chen","given":"Baohui","non-dropping-particle":"","parse-names":false,"suffix":""},{"dropping-particle":"","family":"Gilbert","given":"Luke A.","non-dropping-particle":"","parse-names":false,"suffix":""},{"dropping-particle":"","family":"Cimini","given":"Beth A.","non-dropping-particle":"","parse-names":false,"suffix":""},{"dropping-particle":"","family":"Schnitzbauer","given":"Joerg","non-dropping-particle":"","parse-names":false,"suffix":""},{"dropping-particle":"","family":"Zhang","given":"Wei","non-dropping-particle":"","parse-names":false,"suffix":""},{"dropping-particle":"","family":"Li","given":"Gene Wei","non-dropping-particle":"","parse-names":false,"suffix":""},{"dropping-particle":"","family":"Park","given":"Jason","non-dropping-particle":"","parse-names":false,"suffix":""},{"dropping-particle":"","family":"Blackburn","given":"Elizabeth H.","non-dropping-particle":"","parse-names":false,"suffix":""},{"dropping-particle":"","family":"Weissman","given":"Jonathan S.","non-dropping-particle":"","parse-names":false,"suffix":""},{"dropping-particle":"","family":"Qi","given":"Lei S.","non-dropping-particle":"","parse-names":false,"suffix":""},{"dropping-particle":"","family":"Huang","given":"Bo","non-dropping-particle":"","parse-names":false,"suffix":""}],"container-title":"Cell","id":"ITEM-1","issued":{"date-parts":[["2013"]]},"title":"Dynamic imaging of genomic loci in living human cells by an optimized CRISPR/Cas system","type":"article-journal"},"uris":["http://www.mendeley.com/documents/?uuid=8e3414da-c6e2-4b9a-86cf-6a755042ec7f"]}],"mendeley":{"formattedCitation":"(5)","plainTextFormattedCitation":"(5)","previouslyFormattedCitation":"(5)"},"properties":{"noteIndex":0},"schema":"https://github.com/citation-style-language/schema/raw/master/csl-citation.json"}</w:instrText>
      </w:r>
      <w:r w:rsidR="00262C82" w:rsidRPr="007A7F2B">
        <w:fldChar w:fldCharType="separate"/>
      </w:r>
      <w:r w:rsidR="00F158D4" w:rsidRPr="00F158D4">
        <w:rPr>
          <w:noProof/>
        </w:rPr>
        <w:t>(5)</w:t>
      </w:r>
      <w:r w:rsidR="00262C82" w:rsidRPr="007A7F2B">
        <w:fldChar w:fldCharType="end"/>
      </w:r>
      <w:r w:rsidR="00262C82" w:rsidRPr="007A7F2B">
        <w:t xml:space="preserve">. </w:t>
      </w:r>
      <w:r w:rsidR="00277CE4" w:rsidRPr="007A7F2B">
        <w:t>Moreover, Cas9 can by injected into fertilized zygotes to generate transgenic animal models</w:t>
      </w:r>
      <w:r w:rsidR="00262C82" w:rsidRPr="007A7F2B">
        <w:fldChar w:fldCharType="begin" w:fldLock="1"/>
      </w:r>
      <w:r w:rsidR="00F158D4">
        <w:instrText>ADDIN CSL_CITATION {"citationItems":[{"id":"ITEM-1","itemData":{"DOI":"10.1016/j.cell.2013.04.025","ISSN":"00928674","abstract":"Mice carrying mutations in multiple genes are traditionally generated by sequential recombination in embryonic stem cells and/or time-consuming intercrossing of mice with a single mutation. The CRISPR/Cas system has been adapted as an efficient gene-targeting technology with the potential for multiplexed genome editing. We demonstrate that CRISPR/Cas-mediated gene editing allows the simultaneous disruption of five genes (Tet1, 2, 3, Sry, Uty - 8 alleles) in mouse embryonic stem (ES) cells with high efficiency. Coinjection of Cas9 mRNA and single-guide RNAs (sgRNAs) targeting Tet1 and Tet2 into zygotes generated mice with biallelic mutations in both genes with an efficiency of 80%. Finally, we show that coinjection of Cas9 mRNA/sgRNAs with mutant oligos generated precise point mutations simultaneously in two target genes. Thus, the CRISPR/Cas system allows the one-step generation of animals carrying mutations in multiple genes, an approach that will greatly accelerate the in vivo study of functionally redundant genes and of epistatic gene interactions. © 2013 Elsevier Inc.","author":[{"dropping-particle":"","family":"Wang","given":"Haoyi","non-dropping-particle":"","parse-names":false,"suffix":""},{"dropping-particle":"","family":"Yang","given":"Hui","non-dropping-particle":"","parse-names":false,"suffix":""},{"dropping-particle":"","family":"Shivalila","given":"Chikdu S.","non-dropping-particle":"","parse-names":false,"suffix":""},{"dropping-particle":"","family":"Dawlaty","given":"Meelad M.","non-dropping-particle":"","parse-names":false,"suffix":""},{"dropping-particle":"","family":"Cheng","given":"Albert W.","non-dropping-particle":"","parse-names":false,"suffix":""},{"dropping-particle":"","family":"Zhang","given":"Feng","non-dropping-particle":"","parse-names":false,"suffix":""},{"dropping-particle":"","family":"Jaenisch","given":"Rudolf","non-dropping-particle":"","parse-names":false,"suffix":""}],"container-title":"Cell","id":"ITEM-1","issued":{"date-parts":[["2013"]]},"title":"One-step generation of mice carrying mutations in multiple genes by CRISPR/cas-mediated genome engineering","type":"article-journal"},"uris":["http://www.mendeley.com/documents/?uuid=49cf49ba-5e79-4fa5-b805-dca0b979e123"]},{"id":"ITEM-2","itemData":{"DOI":"10.1038/nbt.2652","ISSN":"1087-0156","abstract":"Nature Biotechnology 31, 684 (2013). doi:10.1038/nbt.2652","author":[{"dropping-particle":"","family":"Li","given":"Wei","non-dropping-particle":"","parse-names":false,"suffix":""},{"dropping-particle":"","family":"Teng","given":"Fei","non-dropping-particle":"","parse-names":false,"suffix":""},{"dropping-particle":"","family":"Li","given":"Tianda","non-dropping-particle":"","parse-names":false,"suffix":""},{"dropping-particle":"","family":"Zhou","given":"Qi","non-dropping-particle":"","parse-names":false,"suffix":""}],"container-title":"Nature Biotechnology","id":"ITEM-2","issued":{"date-parts":[["2013"]]},"title":"Simultaneous generation and germline transmission of multiple gene mutations in rat using CRISPR-Cas systems","type":"article-journal"},"uris":["http://www.mendeley.com/documents/?uuid=0514b2b8-9d86-4b77-baa6-6df17f03184b"]}],"mendeley":{"formattedCitation":"(6,7)","plainTextFormattedCitation":"(6,7)","previouslyFormattedCitation":"(6,7)"},"properties":{"noteIndex":0},"schema":"https://github.com/citation-style-language/schema/raw/master/csl-citation.json"}</w:instrText>
      </w:r>
      <w:r w:rsidR="00262C82" w:rsidRPr="007A7F2B">
        <w:fldChar w:fldCharType="separate"/>
      </w:r>
      <w:r w:rsidR="00F158D4" w:rsidRPr="00F158D4">
        <w:rPr>
          <w:noProof/>
        </w:rPr>
        <w:t>(6,7)</w:t>
      </w:r>
      <w:r w:rsidR="00262C82" w:rsidRPr="007A7F2B">
        <w:fldChar w:fldCharType="end"/>
      </w:r>
      <w:r w:rsidR="00277CE4" w:rsidRPr="007A7F2B">
        <w:t>, or it can be used</w:t>
      </w:r>
      <w:r w:rsidR="00262C82" w:rsidRPr="007A7F2B">
        <w:t xml:space="preserve"> for genomic screens by introducing loss-of-function mutations in human cells </w:t>
      </w:r>
      <w:r w:rsidR="00262C82" w:rsidRPr="007A7F2B">
        <w:fldChar w:fldCharType="begin" w:fldLock="1"/>
      </w:r>
      <w:r w:rsidR="00F158D4">
        <w:instrText>ADDIN CSL_CITATION {"citationItems":[{"id":"ITEM-1","itemData":{"DOI":"10.1136/bmjspcare-2011-000063","ISSN":"20454368","abstract":"&lt;p&gt; The bacterial clustered regularly interspaced short palindromic repeats (CRISPR)–Cas9 system for genome editing has greatly expanded the toolbox for mammalian genetics, enabling the rapid generation of isogenic cell lines and mice with modified alleles. Here, we describe a pooled, loss-of-function genetic screening approach suitable for both positive and negative selection that uses a genome-scale lentiviral single-guide RNA (sgRNA) library. sgRNA expression cassettes were stably integrated into the genome, which enabled a complex mutant pool to be tracked by massively parallel sequencing. We used a library containing 73,000 sgRNAs to generate knockout collections and performed screens in two human cell lines. A screen for resistance to the nucleotide analog 6-thioguanine identified all expected members of the DNA mismatch repair pathway, whereas another for the DNA topoisomerase II ( &lt;italic&gt;TOP2A&lt;/italic&gt; ) poison etoposide identified &lt;italic&gt;TOP2A&lt;/italic&gt; , as expected, and also cyclin-dependent kinase 6, &lt;italic&gt;CDK6.&lt;/italic&gt; A negative selection screen for essential genes identified numerous gene sets corresponding to fundamental processes. Last, we show that sgRNA efficiency is associated with specific sequence motifs, enabling the prediction of more effective sgRNAs. Collectively, these results establish Cas9/sgRNA screens as a powerful tool for systematic genetic analysis in mammalian cells. &lt;/p&gt;","author":[{"dropping-particle":"","family":"Wang","given":"Tim","non-dropping-particle":"","parse-names":false,"suffix":""},{"dropping-particle":"","family":"Wei","given":"Jenny J.","non-dropping-particle":"","parse-names":false,"suffix":""},{"dropping-particle":"","family":"Sabatini","given":"David M.","non-dropping-particle":"","parse-names":false,"suffix":""},{"dropping-particle":"","family":"Lander","given":"Eric S.","non-dropping-particle":"","parse-names":false,"suffix":""}],"container-title":"BMJ Supportive and Palliative Care","id":"ITEM-1","issued":{"date-parts":[["2012"]]},"title":"Genetic screens in human cells using the CRISPR-Cas9 system","type":"article-journal"},"uris":["http://www.mendeley.com/documents/?uuid=1456a942-96b8-4ca2-a5a2-19c3730f4f94"]},{"id":"ITEM-2","itemData":{"DOI":"10.1126/science.1247005","ISSN":"10959203","abstract":"&lt;p&gt; The simplicity of programming the CRISPR (clustered regularly interspaced short palindromic repeats)–associated nuclease Cas9 to modify specific genomic loci suggests a new way to interrogate gene function on a genome-wide scale. We show that lentiviral delivery of a genome-scale CRISPR-Cas9 knockout (GeCKO) library targeting 18,080 genes with 64,751 unique guide sequences enables both negative and positive selection screening in human cells. First, we used the GeCKO library to identify genes essential for cell viability in cancer and pluripotent stem cells. Next, in a melanoma model, we screened for genes whose loss is involved in resistance to vemurafenib, a therapeutic RAF inhibitor. Our highest-ranking candidates include previously validated genes &lt;italic&gt;NF1&lt;/italic&gt; and &lt;italic&gt;MED12&lt;/italic&gt; , as well as novel hits &lt;italic&gt;NF2&lt;/italic&gt; , &lt;italic&gt;CUL3&lt;/italic&gt; , &lt;italic&gt;TADA2B&lt;/italic&gt; , and &lt;italic&gt;TADA1.&lt;/italic&gt; We observe a high level of consistency between independent guide RNAs targeting the same gene and a high rate of hit confirmation, demonstrating the promise of genome-scale screening with Cas9. &lt;/p&gt;","author":[{"dropping-particle":"","family":"Shalem","given":"Ophir","non-dropping-particle":"","parse-names":false,"suffix":""},{"dropping-particle":"","family":"Sanjana","given":"Neville E.","non-dropping-particle":"","parse-names":false,"suffix":""},{"dropping-particle":"","family":"Hartenian","given":"Ella","non-dropping-particle":"","parse-names":false,"suffix":""},{"dropping-particle":"","family":"Shi","given":"Xi","non-dropping-particle":"","parse-names":false,"suffix":""},{"dropping-particle":"","family":"Scott","given":"David A.","non-dropping-particle":"","parse-names":false,"suffix":""},{"dropping-particle":"","family":"Mikkelsen","given":"Tarjei S.","non-dropping-particle":"","parse-names":false,"suffix":""},{"dropping-particle":"","family":"Heckl","given":"Dirk","non-dropping-particle":"","parse-names":false,"suffix":""},{"dropping-particle":"","family":"Ebert","given":"Benjamin L.","non-dropping-particle":"","parse-names":false,"suffix":""},{"dropping-particle":"","family":"Root","given":"David E.","non-dropping-particle":"","parse-names":false,"suffix":""},{"dropping-particle":"","family":"Doench","given":"John G.","non-dropping-particle":"","parse-names":false,"suffix":""},{"dropping-particle":"","family":"Zhang","given":"Feng","non-dropping-particle":"","parse-names":false,"suffix":""}],"container-title":"Science","id":"ITEM-2","issued":{"date-parts":[["2014"]]},"title":"Genome-scale CRISPR-Cas9 knockout screening in human cells","type":"article-journal"},"uris":["http://www.mendeley.com/documents/?uuid=8a4dbe2d-efd1-42b4-a291-2bfc6140f254"]}],"mendeley":{"formattedCitation":"(8,9)","plainTextFormattedCitation":"(8,9)","previouslyFormattedCitation":"(8,9)"},"properties":{"noteIndex":0},"schema":"https://github.com/citation-style-language/schema/raw/master/csl-citation.json"}</w:instrText>
      </w:r>
      <w:r w:rsidR="00262C82" w:rsidRPr="007A7F2B">
        <w:fldChar w:fldCharType="separate"/>
      </w:r>
      <w:r w:rsidR="00F158D4" w:rsidRPr="00F158D4">
        <w:rPr>
          <w:noProof/>
        </w:rPr>
        <w:t>(8,9)</w:t>
      </w:r>
      <w:r w:rsidR="00262C82" w:rsidRPr="007A7F2B">
        <w:fldChar w:fldCharType="end"/>
      </w:r>
      <w:r w:rsidR="00262C82" w:rsidRPr="007A7F2B">
        <w:t xml:space="preserve">. </w:t>
      </w:r>
      <w:r w:rsidR="0003664E" w:rsidRPr="007A7F2B">
        <w:t xml:space="preserve">An example of a </w:t>
      </w:r>
      <w:r w:rsidR="00262C82" w:rsidRPr="007A7F2B">
        <w:t>medical application</w:t>
      </w:r>
      <w:r w:rsidR="0003664E" w:rsidRPr="007A7F2B">
        <w:t xml:space="preserve"> is that it has b</w:t>
      </w:r>
      <w:r w:rsidR="00262C82" w:rsidRPr="007A7F2B">
        <w:t xml:space="preserve">een used to </w:t>
      </w:r>
      <w:r w:rsidR="00A87741" w:rsidRPr="007A7F2B">
        <w:t xml:space="preserve">create antibiotics whose spectrum of activity is chosen by design </w:t>
      </w:r>
      <w:r w:rsidR="007B31D6" w:rsidRPr="007A7F2B">
        <w:fldChar w:fldCharType="begin" w:fldLock="1"/>
      </w:r>
      <w:r w:rsidR="00F158D4">
        <w:instrText>ADDIN CSL_CITATION {"citationItems":[{"id":"ITEM-1","itemData":{"DOI":"10.1038/nbt.3011","ISSN":"15461696","abstract":"Current antibiotics tend to be broad spectrum, leading to indiscriminate killing of commensal bacteria and accelerated evolution of drug resistance. Here, we use CRISPR-Cas technology to create antimicrobials whose spectrum of activity is chosen by design. RNA-guided nucleases (RGNs) targeting specific DNA sequences are delivered efficiently to microbial populations using bacteriophage or bacteria carrying plasmids transmissible by conjugation. The DNA targets of RGNs can be undesirable genes or polymorphisms, including antibiotic resistance and virulence determinants in carbapenem-resistant Enterobacteriaceae and enterohemorrhagic Escherichia coli. Delivery of RGNs significantly improves survival in a Galleria mellonella infection model. We also show that RGNs enable modulation of complex bacterial populations by selective knockdown of targeted strains based on genetic signatures. RGNs constitute a class of highly discriminatory, customizable antimicrobials that enact selective pressure at the DNA level to reduce the prevalence of undesired genes, minimize off-target effects and enable programmable remodeling of microbiota.","author":[{"dropping-particle":"","family":"Citorik","given":"Robert J.","non-dropping-particle":"","parse-names":false,"suffix":""},{"dropping-particle":"","family":"Mimee","given":"Mark","non-dropping-particle":"","parse-names":false,"suffix":""},{"dropping-particle":"","family":"Lu","given":"Timothy K.","non-dropping-particle":"","parse-names":false,"suffix":""}],"container-title":"Nature Biotechnology","id":"ITEM-1","issued":{"date-parts":[["2014"]]},"title":"Sequence-specific antimicrobials using efficiently delivered RNA-guided nucleases","type":"article-journal"},"uris":["http://www.mendeley.com/documents/?uuid=c88b6d29-d34b-4965-9292-2af0b91d267b"]}],"mendeley":{"formattedCitation":"(10)","plainTextFormattedCitation":"(10)","previouslyFormattedCitation":"(10)"},"properties":{"noteIndex":0},"schema":"https://github.com/citation-style-language/schema/raw/master/csl-citation.json"}</w:instrText>
      </w:r>
      <w:r w:rsidR="007B31D6" w:rsidRPr="007A7F2B">
        <w:fldChar w:fldCharType="separate"/>
      </w:r>
      <w:r w:rsidR="00F158D4" w:rsidRPr="00F158D4">
        <w:rPr>
          <w:noProof/>
        </w:rPr>
        <w:t>(10)</w:t>
      </w:r>
      <w:r w:rsidR="007B31D6" w:rsidRPr="007A7F2B">
        <w:fldChar w:fldCharType="end"/>
      </w:r>
      <w:r w:rsidR="007B31D6" w:rsidRPr="007A7F2B">
        <w:t>.</w:t>
      </w:r>
    </w:p>
    <w:p w14:paraId="632688E0" w14:textId="77060618" w:rsidR="00565052" w:rsidRPr="007A7F2B" w:rsidRDefault="00565052" w:rsidP="00584F82">
      <w:pPr>
        <w:pStyle w:val="Heading1"/>
      </w:pPr>
      <w:bookmarkStart w:id="1" w:name="_Toc10029727"/>
      <w:r w:rsidRPr="007A7F2B">
        <w:t xml:space="preserve">The </w:t>
      </w:r>
      <w:r w:rsidR="00587635" w:rsidRPr="007A7F2B">
        <w:t>biology</w:t>
      </w:r>
      <w:r w:rsidRPr="007A7F2B">
        <w:t xml:space="preserve"> of CRISPR-Cas</w:t>
      </w:r>
      <w:bookmarkEnd w:id="1"/>
    </w:p>
    <w:p w14:paraId="16CDBE3B" w14:textId="30F9CF19" w:rsidR="007B31D6" w:rsidRPr="007A7F2B" w:rsidRDefault="007B31D6" w:rsidP="007B31D6">
      <w:r w:rsidRPr="007A7F2B">
        <w:t>It</w:t>
      </w:r>
      <w:r w:rsidR="00A6254E" w:rsidRPr="007A7F2B">
        <w:t xml:space="preserve"> probably </w:t>
      </w:r>
      <w:r w:rsidRPr="007A7F2B">
        <w:t>bec</w:t>
      </w:r>
      <w:r w:rsidR="00A6254E" w:rsidRPr="007A7F2B">
        <w:t>a</w:t>
      </w:r>
      <w:r w:rsidRPr="007A7F2B">
        <w:t>me clear that CRISPR</w:t>
      </w:r>
      <w:r w:rsidR="0004650D" w:rsidRPr="007A7F2B">
        <w:t>-Cas</w:t>
      </w:r>
      <w:r w:rsidRPr="007A7F2B">
        <w:t xml:space="preserve"> is a widely used gene-editing tool. But how does it exactly work? CRISPR-Cas is originally a </w:t>
      </w:r>
      <w:r w:rsidR="00291C32" w:rsidRPr="007A7F2B">
        <w:t>defend mechanism</w:t>
      </w:r>
      <w:r w:rsidRPr="007A7F2B">
        <w:t xml:space="preserve"> in bacteria, where it is part of the immune system against viruses. It recognises the viral DNA of the invader and degrades it.</w:t>
      </w:r>
    </w:p>
    <w:p w14:paraId="2A558702" w14:textId="5A134F6D" w:rsidR="00160514" w:rsidRPr="007A7F2B" w:rsidRDefault="00943D26" w:rsidP="007B31D6">
      <w:r>
        <w:rPr>
          <w:noProof/>
        </w:rPr>
        <mc:AlternateContent>
          <mc:Choice Requires="wps">
            <w:drawing>
              <wp:anchor distT="0" distB="0" distL="114300" distR="114300" simplePos="0" relativeHeight="251660288" behindDoc="0" locked="0" layoutInCell="1" allowOverlap="1" wp14:anchorId="2324FD1C" wp14:editId="4DC80269">
                <wp:simplePos x="0" y="0"/>
                <wp:positionH relativeFrom="column">
                  <wp:posOffset>3397885</wp:posOffset>
                </wp:positionH>
                <wp:positionV relativeFrom="paragraph">
                  <wp:posOffset>751777</wp:posOffset>
                </wp:positionV>
                <wp:extent cx="3093085" cy="23237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093085" cy="232375"/>
                        </a:xfrm>
                        <a:prstGeom prst="rect">
                          <a:avLst/>
                        </a:prstGeom>
                        <a:solidFill>
                          <a:prstClr val="white"/>
                        </a:solidFill>
                        <a:ln>
                          <a:noFill/>
                        </a:ln>
                      </wps:spPr>
                      <wps:txbx>
                        <w:txbxContent>
                          <w:p w14:paraId="42371A6D" w14:textId="4EFF2542" w:rsidR="00413374" w:rsidRPr="004945EE" w:rsidRDefault="00413374" w:rsidP="00160514">
                            <w:pPr>
                              <w:pStyle w:val="Caption"/>
                              <w:jc w:val="center"/>
                              <w:rPr>
                                <w:smallCaps/>
                                <w:noProof/>
                                <w:spacing w:val="5"/>
                              </w:rPr>
                            </w:pPr>
                            <w:bookmarkStart w:id="2" w:name="_Ref8722429"/>
                            <w:r>
                              <w:t xml:space="preserve">Figure </w:t>
                            </w:r>
                            <w:fldSimple w:instr=" SEQ Figure \* ARABIC ">
                              <w:r>
                                <w:rPr>
                                  <w:noProof/>
                                </w:rPr>
                                <w:t>1</w:t>
                              </w:r>
                            </w:fldSimple>
                            <w:bookmarkEnd w:id="2"/>
                            <w:r>
                              <w:t xml:space="preserve">: The Lytic cycle </w:t>
                            </w:r>
                            <w:r>
                              <w:fldChar w:fldCharType="begin" w:fldLock="1"/>
                            </w:r>
                            <w:r>
                              <w:instrText>ADDIN CSL_CITATION {"citationItems":[{"id":"ITEM-1","itemData":{"URL":"http://slideplayer.com/slide/9308462/","accessed":{"date-parts":[["2019","5","29"]]},"author":[{"dropping-particle":"","family":"Brenda Harris","given":"","non-dropping-particle":"","parse-names":false,"suffix":""}],"id":"ITEM-1","issued":{"date-parts":[["0"]]},"title":"Viral Cycles: Lytic Lysogenic","type":"webpage"},"uris":["http://www.mendeley.com/documents/?uuid=e7d4faee-aefd-41a5-868b-a14065f742d4"]}],"mendeley":{"formattedCitation":"(34)","plainTextFormattedCitation":"(34)","previouslyFormattedCitation":"(11)"},"properties":{"noteIndex":0},"schema":"https://github.com/citation-style-language/schema/raw/master/csl-citation.json"}</w:instrText>
                            </w:r>
                            <w:r>
                              <w:fldChar w:fldCharType="separate"/>
                            </w:r>
                            <w:r w:rsidRPr="002E5DD7">
                              <w:rPr>
                                <w:b w:val="0"/>
                                <w:noProof/>
                              </w:rPr>
                              <w:t>(34)</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type w14:anchorId="2324FD1C" id="_x0000_t202" coordsize="21600,21600" o:spt="202" path="m,l,21600r21600,l21600,xe">
                <v:stroke joinstyle="miter"/>
                <v:path gradientshapeok="t" o:connecttype="rect"/>
              </v:shapetype>
              <v:shape id="Text Box 4" o:spid="_x0000_s1026" type="#_x0000_t202" style="position:absolute;left:0;text-align:left;margin-left:267.55pt;margin-top:59.2pt;width:243.55pt;height:18.3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" stroked="f">
                <v:textbox inset="0,0,0,0">
                  <w:txbxContent>
                    <w:p w14:paraId="42371A6D" w14:textId="4EFF2542" w:rsidR="00413374" w:rsidRPr="004945EE" w:rsidRDefault="00413374" w:rsidP="00160514">
                      <w:pPr>
                        <w:pStyle w:val="Caption"/>
                        <w:jc w:val="center"/>
                        <w:rPr>
                          <w:smallCaps/>
                          <w:noProof/>
                          <w:spacing w:val="5"/>
                        </w:rPr>
                      </w:pPr>
                      <w:bookmarkStart w:id="3" w:name="_Ref8722429"/>
                      <w:r>
                        <w:t xml:space="preserve">Figure </w:t>
                      </w:r>
                      <w:fldSimple w:instr=" SEQ Figure \* ARABIC ">
                        <w:r>
                          <w:rPr>
                            <w:noProof/>
                          </w:rPr>
                          <w:t>1</w:t>
                        </w:r>
                      </w:fldSimple>
                      <w:bookmarkEnd w:id="3"/>
                      <w:r>
                        <w:t xml:space="preserve">: The Lytic cycle </w:t>
                      </w:r>
                      <w:r>
                        <w:fldChar w:fldCharType="begin" w:fldLock="1"/>
                      </w:r>
                      <w:r>
                        <w:instrText>ADDIN CSL_CITATION {"citationItems":[{"id":"ITEM-1","itemData":{"URL":"http://slideplayer.com/slide/9308462/","accessed":{"date-parts":[["2019","5","29"]]},"author":[{"dropping-particle":"","family":"Brenda Harris","given":"","non-dropping-particle":"","parse-names":false,"suffix":""}],"id":"ITEM-1","issued":{"date-parts":[["0"]]},"title":"Viral Cycles: Lytic Lysogenic","type":"webpage"},"uris":["http://www.mendeley.com/documents/?uuid=e7d4faee-aefd-41a5-868b-a14065f742d4"]}],"mendeley":{"formattedCitation":"(34)","plainTextFormattedCitation":"(34)","previouslyFormattedCitation":"(11)"},"properties":{"noteIndex":0},"schema":"https://github.com/citation-style-language/schema/raw/master/csl-citation.json"}</w:instrText>
                      </w:r>
                      <w:r>
                        <w:fldChar w:fldCharType="separate"/>
                      </w:r>
                      <w:r w:rsidRPr="002E5DD7">
                        <w:rPr>
                          <w:b w:val="0"/>
                          <w:noProof/>
                        </w:rPr>
                        <w:t>(34)</w:t>
                      </w:r>
                      <w:r>
                        <w:fldChar w:fldCharType="end"/>
                      </w:r>
                    </w:p>
                  </w:txbxContent>
                </v:textbox>
                <w10:wrap type="square"/>
              </v:shape>
            </w:pict>
          </mc:Fallback>
        </mc:AlternateContent>
      </w:r>
      <w:r w:rsidR="0003664E" w:rsidRPr="007A7F2B">
        <w:t>CRISPR-Cas intervenes with the l</w:t>
      </w:r>
      <w:r w:rsidR="00B548E1" w:rsidRPr="007A7F2B">
        <w:t xml:space="preserve">ytic cycle of the virus, in which </w:t>
      </w:r>
      <w:r w:rsidR="0004650D" w:rsidRPr="007A7F2B">
        <w:t>the virus</w:t>
      </w:r>
      <w:r w:rsidR="00B548E1" w:rsidRPr="007A7F2B">
        <w:t xml:space="preserve"> injects its DNA in the bacterium, </w:t>
      </w:r>
      <w:r w:rsidR="0004650D" w:rsidRPr="007A7F2B">
        <w:t>in order to get its DNA replicated</w:t>
      </w:r>
      <w:r w:rsidR="00B548E1" w:rsidRPr="007A7F2B">
        <w:t xml:space="preserve">. </w:t>
      </w:r>
      <w:r w:rsidR="0004650D" w:rsidRPr="007A7F2B">
        <w:t>A new virus will form around</w:t>
      </w:r>
      <w:r w:rsidR="00B548E1" w:rsidRPr="007A7F2B">
        <w:t xml:space="preserve"> each replica</w:t>
      </w:r>
      <w:r w:rsidR="0004650D" w:rsidRPr="007A7F2B">
        <w:t xml:space="preserve">, </w:t>
      </w:r>
      <w:r w:rsidR="00B548E1" w:rsidRPr="007A7F2B">
        <w:t xml:space="preserve">using components </w:t>
      </w:r>
      <w:r w:rsidR="0003664E" w:rsidRPr="007A7F2B">
        <w:t>produced</w:t>
      </w:r>
      <w:r w:rsidR="00B548E1" w:rsidRPr="007A7F2B">
        <w:t xml:space="preserve"> the bacterium</w:t>
      </w:r>
      <w:r w:rsidR="00E46FF4" w:rsidRPr="007A7F2B">
        <w:t xml:space="preserve">. This continues </w:t>
      </w:r>
      <w:r w:rsidR="002311D2">
        <w:t>un</w:t>
      </w:r>
      <w:r w:rsidR="002311D2" w:rsidRPr="007A7F2B">
        <w:t>til</w:t>
      </w:r>
      <w:r w:rsidR="00E46FF4" w:rsidRPr="007A7F2B">
        <w:t xml:space="preserve"> the bacterium bursts open and releases al the </w:t>
      </w:r>
      <w:r w:rsidR="00A6254E" w:rsidRPr="007A7F2B">
        <w:t xml:space="preserve">newly formed </w:t>
      </w:r>
      <w:r w:rsidR="00E46FF4" w:rsidRPr="007A7F2B">
        <w:t>viruses into the surroundings</w:t>
      </w:r>
      <w:r w:rsidR="00160514" w:rsidRPr="007A7F2B">
        <w:t xml:space="preserve"> (See </w:t>
      </w:r>
      <w:r w:rsidR="00895CE2" w:rsidRPr="007A7F2B">
        <w:fldChar w:fldCharType="begin"/>
      </w:r>
      <w:r w:rsidR="00895CE2" w:rsidRPr="007A7F2B">
        <w:instrText xml:space="preserve"> REF _Ref8722429 \h </w:instrText>
      </w:r>
      <w:r w:rsidR="00895CE2" w:rsidRPr="007A7F2B">
        <w:fldChar w:fldCharType="separate"/>
      </w:r>
      <w:r w:rsidR="00C16253">
        <w:t xml:space="preserve">Figure </w:t>
      </w:r>
      <w:r w:rsidR="00C16253">
        <w:rPr>
          <w:noProof/>
        </w:rPr>
        <w:t>1</w:t>
      </w:r>
      <w:r w:rsidR="00895CE2" w:rsidRPr="007A7F2B">
        <w:fldChar w:fldCharType="end"/>
      </w:r>
      <w:r w:rsidR="00160514" w:rsidRPr="007A7F2B">
        <w:t xml:space="preserve">). </w:t>
      </w:r>
    </w:p>
    <w:p w14:paraId="19BF9DDB" w14:textId="06B4B090" w:rsidR="00291C32" w:rsidRPr="007A7F2B" w:rsidRDefault="0004650D" w:rsidP="00291C32">
      <w:pPr>
        <w:spacing w:after="0"/>
      </w:pPr>
      <w:r w:rsidRPr="007A7F2B">
        <w:t xml:space="preserve">So CRISPR-Cas prevents above described process from happening by degrading the viral DNA. </w:t>
      </w:r>
      <w:r w:rsidR="00160514" w:rsidRPr="007A7F2B">
        <w:t>But how does</w:t>
      </w:r>
      <w:r w:rsidR="00A6254E" w:rsidRPr="007A7F2B">
        <w:t xml:space="preserve"> CRISPR-Cas</w:t>
      </w:r>
      <w:r w:rsidR="00160514" w:rsidRPr="007A7F2B">
        <w:t xml:space="preserve"> recognises this viral DNA?</w:t>
      </w:r>
      <w:r w:rsidR="00827A18" w:rsidRPr="007A7F2B">
        <w:t xml:space="preserve"> CRISPR-Cas </w:t>
      </w:r>
      <w:r w:rsidR="00193795" w:rsidRPr="007A7F2B">
        <w:t xml:space="preserve">is an </w:t>
      </w:r>
      <w:r w:rsidR="00827A18" w:rsidRPr="007A7F2B">
        <w:t>adaptive immune system</w:t>
      </w:r>
      <w:r w:rsidR="00193795" w:rsidRPr="007A7F2B">
        <w:t xml:space="preserve"> that</w:t>
      </w:r>
      <w:r w:rsidR="00827A18" w:rsidRPr="007A7F2B">
        <w:t xml:space="preserve"> store</w:t>
      </w:r>
      <w:r w:rsidR="00193795" w:rsidRPr="007A7F2B">
        <w:t>s</w:t>
      </w:r>
      <w:r w:rsidR="00827A18" w:rsidRPr="007A7F2B">
        <w:t xml:space="preserve"> memory of past infections </w:t>
      </w:r>
      <w:r w:rsidR="00073FFC" w:rsidRPr="007A7F2B">
        <w:fldChar w:fldCharType="begin" w:fldLock="1"/>
      </w:r>
      <w:r w:rsidR="002E5DD7">
        <w:instrText>ADDIN CSL_CITATION {"citationItems":[{"id":"ITEM-1","itemData":{"DOI":"10.1016/j.cell.2017.11.032","ISSN":"1097-4172","PMID":"29522745","abstract":"In bacteria and archaea, clustered regularly interspaced short palindromic repeats (CRISPR) and CRISPR-associated (Cas) proteins constitute an adaptive immune system against phages and other foreign genetic elements. Here, we review the biology of the diverse CRISPR-Cas systems and the major progress achieved in recent years in understanding the underlying mechanisms of the three stages of CRISPR-Cas immunity: adaptation, crRNA biogenesis, and interference. The ecology and regulation of CRISPR-Cas in the context of phage infection, the roles of these systems beyond immunity, and the open questions that propel the field forward are also discussed. CRISPR-Cas systems provide bacteria and archaea with diverse mechanisms of adaptive immunity, illuminating the evolutionary pressures imposed by selfish genetic elements.","author":[{"dropping-particle":"","family":"Hille","given":"Frank","non-dropping-particle":"","parse-names":false,"suffix":""},{"dropping-particle":"","family":"Richter","given":"Hagen","non-dropping-particle":"","parse-names":false,"suffix":""},{"dropping-particle":"","family":"Wong","given":"Shi Pey","non-dropping-particle":"","parse-names":false,"suffix":""},{"dropping-particle":"","family":"Bratovič","given":"Majda","non-dropping-particle":"","parse-names":false,"suffix":""},{"dropping-particle":"","family":"Ressel","given":"Sarah","non-dropping-particle":"","parse-names":false,"suffix":""},{"dropping-particle":"","family":"Charpentier","given":"Emmanuelle","non-dropping-particle":"","parse-names":false,"suffix":""}],"container-title":"Cell","id":"ITEM-1","issued":{"date-parts":[["2018"]]},"title":"The Biology of CRISPR-Cas: Backward and Forward.","type":"article-journal"},"uris":["http://www.mendeley.com/documents/?uuid=10099699-725b-4140-b2c8-715d8caec766"]}],"mendeley":{"formattedCitation":"(11)","plainTextFormattedCitation":"(11)","previouslyFormattedCitation":"(12)"},"properties":{"noteIndex":0},"schema":"https://github.com/citation-style-language/schema/raw/master/csl-citation.json"}</w:instrText>
      </w:r>
      <w:r w:rsidR="00073FFC" w:rsidRPr="007A7F2B">
        <w:fldChar w:fldCharType="separate"/>
      </w:r>
      <w:r w:rsidR="002E5DD7" w:rsidRPr="002E5DD7">
        <w:rPr>
          <w:noProof/>
        </w:rPr>
        <w:t>(11)</w:t>
      </w:r>
      <w:r w:rsidR="00073FFC" w:rsidRPr="007A7F2B">
        <w:fldChar w:fldCharType="end"/>
      </w:r>
      <w:r w:rsidR="00827A18" w:rsidRPr="007A7F2B">
        <w:t>. This is done in the CRISPR array, a genomic locus which is composed  of alternating identical repeats and unique spacers. These spacers are pieces of DNA that are identical to the vir</w:t>
      </w:r>
      <w:r w:rsidR="0003664E" w:rsidRPr="007A7F2B">
        <w:t>al</w:t>
      </w:r>
      <w:r w:rsidR="00827A18" w:rsidRPr="007A7F2B">
        <w:t xml:space="preserve"> DNA </w:t>
      </w:r>
      <w:r w:rsidR="00827A18" w:rsidRPr="007A7F2B">
        <w:fldChar w:fldCharType="begin" w:fldLock="1"/>
      </w:r>
      <w:r w:rsidR="002E5DD7">
        <w:instrText>ADDIN CSL_CITATION {"citationItems":[{"id":"ITEM-1","itemData":{"DOI":"10.1126/science.1138140","ISSN":"00368075","abstract":"Clustered regularly interspaced short palindromic repeats (CRISPR) are a distinctive feature of the genomes of most Bacteria and Archaea and are thought to be involved in resistance to bacteriophages. We found that, after viral challenge, bacteria integrated new spacers derived from phage genomic sequences. Removal or addition of particular spacers modified the phage-resistance phenotype of the cell. Thus, CRISPR, together with associated cas genes, provided resistance against phages, and resistance specificity is determined by spacer-phage sequence similarity.","author":[{"dropping-particle":"","family":"Barrangou","given":"Rodolphe","non-dropping-particle":"","parse-names":false,"suffix":""},{"dropping-particle":"","family":"Fremaux","given":"Christophe","non-dropping-particle":"","parse-names":false,"suffix":""},{"dropping-particle":"","family":"Deveau","given":"Hélène","non-dropping-particle":"","parse-names":false,"suffix":""},{"dropping-particle":"","family":"Richards","given":"Melissa","non-dropping-particle":"","parse-names":false,"suffix":""},{"dropping-particle":"","family":"Boyaval","given":"Patrick","non-dropping-particle":"","parse-names":false,"suffix":""},{"dropping-particle":"","family":"Moineau","given":"Sylvain","non-dropping-particle":"","parse-names":false,"suffix":""},{"dropping-particle":"","family":"Romero","given":"Dennis A.","non-dropping-particle":"","parse-names":false,"suffix":""},{"dropping-particle":"","family":"Horvath","given":"Philippe","non-dropping-particle":"","parse-names":false,"suffix":""}],"container-title":"Science","id":"ITEM-1","issued":{"date-parts":[["2007"]]},"title":"CRISPR provides acquired resistance against viruses in prokaryotes","type":"article-journal"},"uris":["http://www.mendeley.com/documents/?uuid=2766309c-a659-416b-8968-7d0cdc879865"]}],"mendeley":{"formattedCitation":"(12)","plainTextFormattedCitation":"(12)","previouslyFormattedCitation":"(13)"},"properties":{"noteIndex":0},"schema":"https://github.com/citation-style-language/schema/raw/master/csl-citation.json"}</w:instrText>
      </w:r>
      <w:r w:rsidR="00827A18" w:rsidRPr="007A7F2B">
        <w:fldChar w:fldCharType="separate"/>
      </w:r>
      <w:r w:rsidR="002E5DD7" w:rsidRPr="002E5DD7">
        <w:rPr>
          <w:noProof/>
        </w:rPr>
        <w:t>(12)</w:t>
      </w:r>
      <w:r w:rsidR="00827A18" w:rsidRPr="007A7F2B">
        <w:fldChar w:fldCharType="end"/>
      </w:r>
      <w:r w:rsidR="00827A18" w:rsidRPr="007A7F2B">
        <w:t>.</w:t>
      </w:r>
      <w:r w:rsidR="00073FFC" w:rsidRPr="007A7F2B">
        <w:t xml:space="preserve"> In front of this CRISPR array is a series of genes that drive the three phases of immunity</w:t>
      </w:r>
      <w:r w:rsidR="00291C32" w:rsidRPr="007A7F2B">
        <w:t xml:space="preserve"> </w:t>
      </w:r>
      <w:r w:rsidR="00291C32" w:rsidRPr="007A7F2B">
        <w:fldChar w:fldCharType="begin" w:fldLock="1"/>
      </w:r>
      <w:r w:rsidR="002E5DD7">
        <w:instrText>ADDIN CSL_CITATION {"citationItems":[{"id":"ITEM-1","itemData":{"DOI":"10.1016/j.cell.2017.11.032","ISSN":"1097-4172","PMID":"29522745","abstract":"In bacteria and archaea, clustered regularly interspaced short palindromic repeats (CRISPR) and CRISPR-associated (Cas) proteins constitute an adaptive immune system against phages and other foreign genetic elements. Here, we review the biology of the diverse CRISPR-Cas systems and the major progress achieved in recent years in understanding the underlying mechanisms of the three stages of CRISPR-Cas immunity: adaptation, crRNA biogenesis, and interference. The ecology and regulation of CRISPR-Cas in the context of phage infection, the roles of these systems beyond immunity, and the open questions that propel the field forward are also discussed. CRISPR-Cas systems provide bacteria and archaea with diverse mechanisms of adaptive immunity, illuminating the evolutionary pressures imposed by selfish genetic elements.","author":[{"dropping-particle":"","family":"Hille","given":"Frank","non-dropping-particle":"","parse-names":false,"suffix":""},{"dropping-particle":"","family":"Richter","given":"Hagen","non-dropping-particle":"","parse-names":false,"suffix":""},{"dropping-particle":"","family":"Wong","given":"Shi Pey","non-dropping-particle":"","parse-names":false,"suffix":""},{"dropping-particle":"","family":"Bratovič","given":"Majda","non-dropping-particle":"","parse-names":false,"suffix":""},{"dropping-particle":"","family":"Ressel","given":"Sarah","non-dropping-particle":"","parse-names":false,"suffix":""},{"dropping-particle":"","family":"Charpentier","given":"Emmanuelle","non-dropping-particle":"","parse-names":false,"suffix":""}],"container-title":"Cell","id":"ITEM-1","issued":{"date-parts":[["2018"]]},"title":"The Biology of CRISPR-Cas: Backward and Forward.","type":"article-journal"},"uris":["http://www.mendeley.com/documents/?uuid=10099699-725b-4140-b2c8-715d8caec766"]}],"mendeley":{"formattedCitation":"(11)","plainTextFormattedCitation":"(11)","previouslyFormattedCitation":"(12)"},"properties":{"noteIndex":0},"schema":"https://github.com/citation-style-language/schema/raw/master/csl-citation.json"}</w:instrText>
      </w:r>
      <w:r w:rsidR="00291C32" w:rsidRPr="007A7F2B">
        <w:fldChar w:fldCharType="separate"/>
      </w:r>
      <w:r w:rsidR="002E5DD7" w:rsidRPr="002E5DD7">
        <w:rPr>
          <w:noProof/>
        </w:rPr>
        <w:t>(11)</w:t>
      </w:r>
      <w:r w:rsidR="00291C32" w:rsidRPr="007A7F2B">
        <w:fldChar w:fldCharType="end"/>
      </w:r>
      <w:r w:rsidR="00291C32" w:rsidRPr="007A7F2B">
        <w:t xml:space="preserve">: </w:t>
      </w:r>
      <w:r w:rsidR="00073FFC" w:rsidRPr="007A7F2B">
        <w:t xml:space="preserve"> </w:t>
      </w:r>
    </w:p>
    <w:p w14:paraId="60C5B830" w14:textId="2B6ADAB0" w:rsidR="00827A18" w:rsidRPr="007A7F2B" w:rsidRDefault="00073FFC" w:rsidP="007B31D6">
      <w:r w:rsidRPr="007A7F2B">
        <w:t xml:space="preserve">(See </w:t>
      </w:r>
      <w:r w:rsidR="00895CE2" w:rsidRPr="007A7F2B">
        <w:fldChar w:fldCharType="begin"/>
      </w:r>
      <w:r w:rsidR="00895CE2" w:rsidRPr="007A7F2B">
        <w:instrText xml:space="preserve"> REF _Ref8722451 \h </w:instrText>
      </w:r>
      <w:r w:rsidR="00895CE2" w:rsidRPr="007A7F2B">
        <w:fldChar w:fldCharType="separate"/>
      </w:r>
      <w:r w:rsidR="00C16253" w:rsidRPr="007A7F2B">
        <w:t xml:space="preserve">Figure </w:t>
      </w:r>
      <w:r w:rsidR="00C16253">
        <w:rPr>
          <w:noProof/>
        </w:rPr>
        <w:t>2</w:t>
      </w:r>
      <w:r w:rsidR="00895CE2" w:rsidRPr="007A7F2B">
        <w:fldChar w:fldCharType="end"/>
      </w:r>
      <w:r w:rsidR="00291C32" w:rsidRPr="007A7F2B">
        <w:t xml:space="preserve"> for a graphical representation</w:t>
      </w:r>
      <w:r w:rsidR="00A6254E" w:rsidRPr="007A7F2B">
        <w:t>.</w:t>
      </w:r>
      <w:r w:rsidRPr="007A7F2B">
        <w:t>)</w:t>
      </w:r>
    </w:p>
    <w:p w14:paraId="263A36BE" w14:textId="2FCB7FD4" w:rsidR="00073FFC" w:rsidRPr="007A7F2B" w:rsidRDefault="00073FFC" w:rsidP="00291C32">
      <w:pPr>
        <w:pStyle w:val="ListParagraph"/>
        <w:numPr>
          <w:ilvl w:val="0"/>
          <w:numId w:val="8"/>
        </w:numPr>
      </w:pPr>
      <w:r w:rsidRPr="007A7F2B">
        <w:rPr>
          <w:u w:val="single"/>
        </w:rPr>
        <w:t>Adaptation</w:t>
      </w:r>
      <w:r w:rsidR="00006B8E" w:rsidRPr="007A7F2B">
        <w:t xml:space="preserve">: </w:t>
      </w:r>
      <w:r w:rsidR="00274E96" w:rsidRPr="007A7F2B">
        <w:t>F</w:t>
      </w:r>
      <w:r w:rsidR="00006B8E" w:rsidRPr="007A7F2B">
        <w:t>oreign nucleic acids are selected, processed and integrated into the CRISPR array to provide a memory of infection. This is done once for every new virus, only the first time it enters the bacterium.</w:t>
      </w:r>
      <w:r w:rsidR="00245CA6" w:rsidRPr="007A7F2B">
        <w:t xml:space="preserve"> This first time the viral DNA is recognised by its protospacer adjacent motif (PAM). This PAM region is later</w:t>
      </w:r>
      <w:r w:rsidR="00274E96" w:rsidRPr="007A7F2B">
        <w:t xml:space="preserve"> used as well, now in order to distinguish between viral DNA and the CRISPR-array that both include the same DNA sequence. But the PAM region is only present in the viral DNA, not in the CRISPR array. The interference machinery is only able to bind to the PAM and therefore it is prevented that it will cut the CRISPR array itself.</w:t>
      </w:r>
    </w:p>
    <w:p w14:paraId="00C93B84" w14:textId="27193AA1" w:rsidR="00073FFC" w:rsidRPr="007A7F2B" w:rsidRDefault="00073FFC" w:rsidP="00291C32">
      <w:pPr>
        <w:pStyle w:val="ListParagraph"/>
        <w:numPr>
          <w:ilvl w:val="0"/>
          <w:numId w:val="8"/>
        </w:numPr>
      </w:pPr>
      <w:r w:rsidRPr="007A7F2B">
        <w:rPr>
          <w:u w:val="single"/>
        </w:rPr>
        <w:lastRenderedPageBreak/>
        <w:t>CRISPR RNA (crRNA) biogenesis</w:t>
      </w:r>
      <w:r w:rsidR="00006B8E" w:rsidRPr="007A7F2B">
        <w:t>: Th</w:t>
      </w:r>
      <w:r w:rsidR="00291C32" w:rsidRPr="007A7F2B">
        <w:t>e</w:t>
      </w:r>
      <w:r w:rsidR="00006B8E" w:rsidRPr="007A7F2B">
        <w:t xml:space="preserve"> memory that is created during adaptation is retrieved when the CRISPR array is transcribed to produce a long crRNA, which will guide the interference machinery </w:t>
      </w:r>
      <w:r w:rsidR="00291C32" w:rsidRPr="007A7F2B">
        <w:t xml:space="preserve">(the Cas protein) </w:t>
      </w:r>
      <w:r w:rsidR="00006B8E" w:rsidRPr="007A7F2B">
        <w:t>to bind and cleave the viral DNA.</w:t>
      </w:r>
    </w:p>
    <w:p w14:paraId="74FF7756" w14:textId="324C1B2C" w:rsidR="00073FFC" w:rsidRPr="007A7F2B" w:rsidRDefault="00073FFC" w:rsidP="00291C32">
      <w:pPr>
        <w:pStyle w:val="ListParagraph"/>
        <w:numPr>
          <w:ilvl w:val="0"/>
          <w:numId w:val="8"/>
        </w:numPr>
      </w:pPr>
      <w:r w:rsidRPr="007A7F2B">
        <w:rPr>
          <w:u w:val="single"/>
        </w:rPr>
        <w:t>Interference</w:t>
      </w:r>
      <w:r w:rsidR="00006B8E" w:rsidRPr="007A7F2B">
        <w:t xml:space="preserve">: </w:t>
      </w:r>
      <w:r w:rsidR="00291C32" w:rsidRPr="007A7F2B">
        <w:t>T</w:t>
      </w:r>
      <w:r w:rsidR="00006B8E" w:rsidRPr="007A7F2B">
        <w:t xml:space="preserve">he actual </w:t>
      </w:r>
      <w:r w:rsidR="00291C32" w:rsidRPr="007A7F2B">
        <w:t>binding and cleaving of the viral DNA by the Cas protein, which is guided by the crRNA.</w:t>
      </w:r>
      <w:r w:rsidR="00A06CA0" w:rsidRPr="007A7F2B">
        <w:t xml:space="preserve"> It depends on the Cas protein how it cuts the DNA. Cas9 generates a double-stranded break 3 bp upstream of the PAM </w:t>
      </w:r>
      <w:r w:rsidR="00A06CA0" w:rsidRPr="007A7F2B">
        <w:fldChar w:fldCharType="begin" w:fldLock="1"/>
      </w:r>
      <w:r w:rsidR="002E5DD7">
        <w:instrText>ADDIN CSL_CITATION {"citationItems":[{"id":"ITEM-1","itemData":{"DOI":"10.1038/nature09523","ISSN":"1476-4687","PMID":"21048762","abstract":"Bacteria and Archaea have developed several defence strategies against foreign nucleic acids such as viral genomes and plasmids. Among them, clustered regularly interspaced short palindromic repeats (CRISPR) loci together with cas (CRISPR-associated) genes form the CRISPR/Cas immune system, which involves partially palindromic repeats separated by short stretches of DNA called spacers, acquired from extrachromosomal elements. It was recently demonstrated that these variable loci can incorporate spacers from infecting bacteriophages and then provide immunity against subsequent bacteriophage infections in a sequence-specific manner. Here we show that the Streptococcus thermophilus CRISPR1/Cas system can also naturally acquire spacers from a self-replicating plasmid containing an antibiotic-resistance gene, leading to plasmid loss. Acquired spacers that match antibiotic-resistance genes provide a novel means to naturally select bacteria that cannot uptake and disseminate such genes. We also provide in vivo evidence that the CRISPR1/Cas system specifically cleaves plasmid and bacteriophage double-stranded DNA within the proto-spacer, at specific sites. Our data show that the CRISPR/Cas immune system is remarkably adapted to cleave invading DNA rapidly and has the potential for exploitation to generate safer microbial strains.","author":[{"dropping-particle":"","family":"Garneau","given":"Josiane E","non-dropping-particle":"","parse-names":false,"suffix":""},{"dropping-particle":"","family":"Dupuis","given":"Marie-Ève","non-dropping-particle":"","parse-names":false,"suffix":""},{"dropping-particle":"","family":"Villion","given":"Manuela","non-dropping-particle":"","parse-names":false,"suffix":""},{"dropping-particle":"","family":"Romero","given":"Dennis A","non-dropping-particle":"","parse-names":false,"suffix":""},{"dropping-particle":"","family":"Barrangou","given":"Rodolphe","non-dropping-particle":"","parse-names":false,"suffix":""},{"dropping-particle":"","family":"Boyaval","given":"Patrick","non-dropping-particle":"","parse-names":false,"suffix":""},{"dropping-particle":"","family":"Fremaux","given":"Christophe","non-dropping-particle":"","parse-names":false,"suffix":""},{"dropping-particle":"","family":"Horvath","given":"Philippe","non-dropping-particle":"","parse-names":false,"suffix":""},{"dropping-particle":"","family":"Magadán","given":"Alfonso H","non-dropping-particle":"","parse-names":false,"suffix":""},{"dropping-particle":"","family":"Moineau","given":"Sylvain","non-dropping-particle":"","parse-names":false,"suffix":""}],"container-title":"Nature","id":"ITEM-1","issued":{"date-parts":[["2010"]]},"title":"The CRISPR/Cas bacterial immune system cleaves bacteriophage and plasmid DNA.","type":"article-journal"},"uris":["http://www.mendeley.com/documents/?uuid=65cc7c96-b4d9-4c0d-91d2-e216a285178b"]}],"mendeley":{"formattedCitation":"(13)","plainTextFormattedCitation":"(13)","previouslyFormattedCitation":"(14)"},"properties":{"noteIndex":0},"schema":"https://github.com/citation-style-language/schema/raw/master/csl-citation.json"}</w:instrText>
      </w:r>
      <w:r w:rsidR="00A06CA0" w:rsidRPr="007A7F2B">
        <w:fldChar w:fldCharType="separate"/>
      </w:r>
      <w:r w:rsidR="002E5DD7" w:rsidRPr="002E5DD7">
        <w:rPr>
          <w:noProof/>
        </w:rPr>
        <w:t>(13)</w:t>
      </w:r>
      <w:r w:rsidR="00A06CA0" w:rsidRPr="007A7F2B">
        <w:fldChar w:fldCharType="end"/>
      </w:r>
      <w:r w:rsidR="00A06CA0" w:rsidRPr="007A7F2B">
        <w:t>.</w:t>
      </w:r>
    </w:p>
    <w:p w14:paraId="1D596C6E" w14:textId="77777777" w:rsidR="00C662A5" w:rsidRPr="007A7F2B" w:rsidRDefault="00827A18" w:rsidP="00A06CA0">
      <w:pPr>
        <w:keepNext/>
        <w:jc w:val="center"/>
      </w:pPr>
      <w:r w:rsidRPr="007A7F2B">
        <w:rPr>
          <w:noProof/>
        </w:rPr>
        <w:drawing>
          <wp:inline distT="0" distB="0" distL="0" distR="0" wp14:anchorId="5A7E142A" wp14:editId="18F9293A">
            <wp:extent cx="2975316" cy="3939539"/>
            <wp:effectExtent l="0" t="0" r="0" b="4445"/>
            <wp:docPr id="6" name="Picture 6" descr="Figure thumbnail g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thumbnail g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5588" cy="3992863"/>
                    </a:xfrm>
                    <a:prstGeom prst="rect">
                      <a:avLst/>
                    </a:prstGeom>
                    <a:noFill/>
                    <a:ln>
                      <a:noFill/>
                    </a:ln>
                  </pic:spPr>
                </pic:pic>
              </a:graphicData>
            </a:graphic>
          </wp:inline>
        </w:drawing>
      </w:r>
    </w:p>
    <w:p w14:paraId="0AA186A4" w14:textId="240E3E80" w:rsidR="00C662A5" w:rsidRPr="007A7F2B" w:rsidRDefault="00C662A5" w:rsidP="00A06CA0">
      <w:pPr>
        <w:pStyle w:val="Caption"/>
        <w:jc w:val="center"/>
      </w:pPr>
      <w:bookmarkStart w:id="4" w:name="_Ref8722451"/>
      <w:r w:rsidRPr="007A7F2B">
        <w:t xml:space="preserve">Figure </w:t>
      </w:r>
      <w:fldSimple w:instr=" SEQ Figure \* ARABIC ">
        <w:r w:rsidR="00C16253">
          <w:rPr>
            <w:noProof/>
          </w:rPr>
          <w:t>2</w:t>
        </w:r>
      </w:fldSimple>
      <w:bookmarkEnd w:id="4"/>
      <w:r w:rsidRPr="007A7F2B">
        <w:t xml:space="preserve">: </w:t>
      </w:r>
      <w:r w:rsidR="00291C32" w:rsidRPr="007A7F2B">
        <w:t xml:space="preserve">The three stages of CRISPR immunity </w:t>
      </w:r>
      <w:r w:rsidR="00291C32" w:rsidRPr="007A7F2B">
        <w:fldChar w:fldCharType="begin" w:fldLock="1"/>
      </w:r>
      <w:r w:rsidR="002E5DD7">
        <w:instrText>ADDIN CSL_CITATION {"citationItems":[{"id":"ITEM-1","itemData":{"DOI":"10.1016/j.cell.2017.11.032","ISSN":"1097-4172","PMID":"29522745","abstract":"In bacteria and archaea, clustered regularly interspaced short palindromic repeats (CRISPR) and CRISPR-associated (Cas) proteins constitute an adaptive immune system against phages and other foreign genetic elements. Here, we review the biology of the diverse CRISPR-Cas systems and the major progress achieved in recent years in understanding the underlying mechanisms of the three stages of CRISPR-Cas immunity: adaptation, crRNA biogenesis, and interference. The ecology and regulation of CRISPR-Cas in the context of phage infection, the roles of these systems beyond immunity, and the open questions that propel the field forward are also discussed. CRISPR-Cas systems provide bacteria and archaea with diverse mechanisms of adaptive immunity, illuminating the evolutionary pressures imposed by selfish genetic elements.","author":[{"dropping-particle":"","family":"Hille","given":"Frank","non-dropping-particle":"","parse-names":false,"suffix":""},{"dropping-particle":"","family":"Richter","given":"Hagen","non-dropping-particle":"","parse-names":false,"suffix":""},{"dropping-particle":"","family":"Wong","given":"Shi Pey","non-dropping-particle":"","parse-names":false,"suffix":""},{"dropping-particle":"","family":"Bratovič","given":"Majda","non-dropping-particle":"","parse-names":false,"suffix":""},{"dropping-particle":"","family":"Ressel","given":"Sarah","non-dropping-particle":"","parse-names":false,"suffix":""},{"dropping-particle":"","family":"Charpentier","given":"Emmanuelle","non-dropping-particle":"","parse-names":false,"suffix":""}],"container-title":"Cell","id":"ITEM-1","issued":{"date-parts":[["2018"]]},"title":"The Biology of CRISPR-Cas: Backward and Forward.","type":"article-journal"},"uris":["http://www.mendeley.com/documents/?uuid=10099699-725b-4140-b2c8-715d8caec766"]}],"mendeley":{"formattedCitation":"(11)","plainTextFormattedCitation":"(11)","previouslyFormattedCitation":"(12)"},"properties":{"noteIndex":0},"schema":"https://github.com/citation-style-language/schema/raw/master/csl-citation.json"}</w:instrText>
      </w:r>
      <w:r w:rsidR="00291C32" w:rsidRPr="007A7F2B">
        <w:fldChar w:fldCharType="separate"/>
      </w:r>
      <w:r w:rsidR="002E5DD7" w:rsidRPr="002E5DD7">
        <w:rPr>
          <w:b w:val="0"/>
          <w:noProof/>
        </w:rPr>
        <w:t>(11)</w:t>
      </w:r>
      <w:r w:rsidR="00291C32" w:rsidRPr="007A7F2B">
        <w:fldChar w:fldCharType="end"/>
      </w:r>
    </w:p>
    <w:p w14:paraId="6B0404C6" w14:textId="70F9EBBA" w:rsidR="00245CA6" w:rsidRPr="007A7F2B" w:rsidRDefault="00274E96" w:rsidP="007B31D6">
      <w:r w:rsidRPr="007A7F2B">
        <w:t xml:space="preserve">We have seen that </w:t>
      </w:r>
      <w:r w:rsidR="00A6254E" w:rsidRPr="007A7F2B">
        <w:t xml:space="preserve">the CRISPR-Cas system exists of the CRISPR </w:t>
      </w:r>
      <w:r w:rsidR="00245CA6" w:rsidRPr="007A7F2B">
        <w:t>array</w:t>
      </w:r>
      <w:r w:rsidRPr="007A7F2B">
        <w:t xml:space="preserve"> (</w:t>
      </w:r>
      <w:r w:rsidR="00A6254E" w:rsidRPr="007A7F2B">
        <w:t>the memory of the system</w:t>
      </w:r>
      <w:r w:rsidRPr="007A7F2B">
        <w:t>)</w:t>
      </w:r>
      <w:r w:rsidR="00A6254E" w:rsidRPr="007A7F2B">
        <w:t xml:space="preserve"> and the Cas protein </w:t>
      </w:r>
      <w:r w:rsidRPr="007A7F2B">
        <w:t xml:space="preserve">(the </w:t>
      </w:r>
      <w:r w:rsidR="00A6254E" w:rsidRPr="007A7F2B">
        <w:t>interference machinery</w:t>
      </w:r>
      <w:r w:rsidRPr="007A7F2B">
        <w:t>)</w:t>
      </w:r>
      <w:r w:rsidR="00A6254E" w:rsidRPr="007A7F2B">
        <w:t xml:space="preserve">. This Cas </w:t>
      </w:r>
      <w:r w:rsidR="002A61B0" w:rsidRPr="007A7F2B">
        <w:t>protein</w:t>
      </w:r>
      <w:r w:rsidR="00A6254E" w:rsidRPr="007A7F2B">
        <w:t xml:space="preserve"> is an RNA-guided nuclease (RGN), which is a collective name of restriction enzymes that cleave the DNA only at sites that are complementary to the guide RNA. </w:t>
      </w:r>
      <w:r w:rsidR="00245CA6" w:rsidRPr="007A7F2B">
        <w:t>There are multiple of those Cas proteins</w:t>
      </w:r>
      <w:r w:rsidR="00A06CA0" w:rsidRPr="007A7F2B">
        <w:t xml:space="preserve"> (ex. Cas9, Cas12). Therefore the CRISPR-Cas systems have been assigned to 2 classes, which are further subdivided into 6 types and several subtypes </w:t>
      </w:r>
      <w:r w:rsidR="00A06CA0" w:rsidRPr="007A7F2B">
        <w:fldChar w:fldCharType="begin" w:fldLock="1"/>
      </w:r>
      <w:r w:rsidR="002E5DD7">
        <w:instrText>ADDIN CSL_CITATION {"citationItems":[{"id":"ITEM-1","itemData":{"DOI":"10.1038/nrmicro2577","ISSN":"17401526","abstract":"The CRISPR-Cas (clustered regularly interspaced short palindromic repeats-CRISPR-associated proteins) modules are adaptive immunity systems that are present in many archaea and bacteria. These defence systems are encoded by operons that have an extraordinarily diverse architecture and a high rate of evolution for both the cas genes and the unique spacer content. Here, we provide an updated analysis of the evolutionary relationships between CRISPR-Cas systems and Cas proteins. Three major types of CRISPR-Cas system are delineated, with a further division into several subtypes and a few chimeric variants. Given the complexity of the genomic architectures and the extremely dynamic evolution of the CRISPR-Cas systems, a unified classification of these systems should be based on multiple criteria. Accordingly, we propose a 'polythetic' classification that integrates the phylogenies of the most common cas genes, the sequence and organization of the CRISPR repeats and the architecture of the CRISPR-cas loci.","author":[{"dropping-particle":"","family":"Makarova","given":"Kira S.","non-dropping-particle":"","parse-names":false,"suffix":""},{"dropping-particle":"","family":"Haft","given":"Daniel H.","non-dropping-particle":"","parse-names":false,"suffix":""},{"dropping-particle":"","family":"Barrangou","given":"Rodolphe","non-dropping-particle":"","parse-names":false,"suffix":""},{"dropping-particle":"","family":"Brouns","given":"Stan J.J.","non-dropping-particle":"","parse-names":false,"suffix":""},{"dropping-particle":"","family":"Charpentier","given":"Emmanuelle","non-dropping-particle":"","parse-names":false,"suffix":""},{"dropping-particle":"","family":"Horvath","given":"Philippe","non-dropping-particle":"","parse-names":false,"suffix":""},{"dropping-particle":"","family":"Moineau","given":"Sylvain","non-dropping-particle":"","parse-names":false,"suffix":""},{"dropping-particle":"","family":"Mojica","given":"Francisco J.M.","non-dropping-particle":"","parse-names":false,"suffix":""},{"dropping-particle":"","family":"Wolf","given":"Yuri I.","non-dropping-particle":"","parse-names":false,"suffix":""},{"dropping-particle":"","family":"Yakunin","given":"Alexander F.","non-dropping-particle":"","parse-names":false,"suffix":""},{"dropping-particle":"","family":"Oost","given":"John","non-dropping-particle":"Van Der","parse-names":false,"suffix":""},{"dropping-particle":"V.","family":"Koonin","given":"Eugene","non-dropping-particle":"","parse-names":false,"suffix":""}],"container-title":"Nature Reviews Microbiology","id":"ITEM-1","issued":{"date-parts":[["2011"]]},"title":"Evolution and classification of the CRISPR-Cas systems","type":"article"},"uris":["http://www.mendeley.com/documents/?uuid=69dba92d-600b-4ea0-870d-7856f78dd24e"]}],"mendeley":{"formattedCitation":"(14)","plainTextFormattedCitation":"(14)","previouslyFormattedCitation":"(15)"},"properties":{"noteIndex":0},"schema":"https://github.com/citation-style-language/schema/raw/master/csl-citation.json"}</w:instrText>
      </w:r>
      <w:r w:rsidR="00A06CA0" w:rsidRPr="007A7F2B">
        <w:fldChar w:fldCharType="separate"/>
      </w:r>
      <w:r w:rsidR="002E5DD7" w:rsidRPr="002E5DD7">
        <w:rPr>
          <w:noProof/>
        </w:rPr>
        <w:t>(14)</w:t>
      </w:r>
      <w:r w:rsidR="00A06CA0" w:rsidRPr="007A7F2B">
        <w:fldChar w:fldCharType="end"/>
      </w:r>
      <w:r w:rsidR="00A06CA0" w:rsidRPr="007A7F2B">
        <w:t>. So far, CRISPR-Cas9 is the one that has been studied (and used) the most, which is a class II type II system.</w:t>
      </w:r>
      <w:r w:rsidRPr="007A7F2B">
        <w:t xml:space="preserve"> </w:t>
      </w:r>
    </w:p>
    <w:p w14:paraId="6FDF210B" w14:textId="1B7DE8AF" w:rsidR="002C0C44" w:rsidRPr="007A7F2B" w:rsidRDefault="002C0C44" w:rsidP="002C0C44">
      <w:pPr>
        <w:pStyle w:val="Heading1"/>
      </w:pPr>
      <w:bookmarkStart w:id="5" w:name="_Toc10029728"/>
      <w:r w:rsidRPr="007A7F2B">
        <w:t>CRISPR-Cas as a gene-editing tool</w:t>
      </w:r>
      <w:bookmarkEnd w:id="5"/>
    </w:p>
    <w:p w14:paraId="6902A381" w14:textId="6A9D7D8B" w:rsidR="009C505C" w:rsidRPr="007A7F2B" w:rsidRDefault="009C505C" w:rsidP="002C0C44">
      <w:r w:rsidRPr="007A7F2B">
        <w:rPr>
          <w:color w:val="000000"/>
        </w:rPr>
        <w:t>A series of studies</w:t>
      </w:r>
      <w:r w:rsidR="00002A75" w:rsidRPr="007A7F2B">
        <w:rPr>
          <w:color w:val="000000"/>
        </w:rPr>
        <w:t xml:space="preserve"> </w:t>
      </w:r>
      <w:r w:rsidR="00FB2FF4" w:rsidRPr="007A7F2B">
        <w:rPr>
          <w:color w:val="000000"/>
        </w:rPr>
        <w:fldChar w:fldCharType="begin" w:fldLock="1"/>
      </w:r>
      <w:r w:rsidR="002E5DD7">
        <w:rPr>
          <w:color w:val="000000"/>
        </w:rPr>
        <w:instrText>ADDIN CSL_CITATION {"citationItems":[{"id":"ITEM-1","itemData":{"ISSN":"0016-6731","PMID":"2668114","abstract":"We have investigated HO endonuclease-induced double-strand break (DSB) recombination and repair in a LACZ duplication plasmid in yeast. A 117-bp MATa fragment, embedded in one copy of LACZ, served as a site for initiation of a DSB when HO endonuclease was expressed. The DSB could be repaired using wild-type sequences located on a second, promoterless, copy of LACZ on the same plasmid. In contrast to normal mating-type switching, crossing-over associated with gene conversion occurred at least 50% of the time. The proportion of conversion events accompanied by exchange was greater when the two copies of LACZ were in direct orientation (80%), than when inverted (50%). In addition, the fraction of plasmids lost was significantly greater in the inverted orientation. The kinetics of appearance of intermediates and final products were also monitored. The repair of the DSB is slow, requiring at least an hour from the detection of the HO-cut fragments to completion of repair. Surprisingly, the appearance of the two reciprocal products of crossing over did not occur with the same kinetics. For example, when the two LACZ sequences were in the direct orientation, the HO-induced formation of a large circular deletion product was not accompanied by the appearance of a small circular reciprocal product. We suggest that these differences may reflect two kinetically separable processes, one involving only one cut end and the other resulting from the concerted participation of both ends of the DSB.","author":[{"dropping-particle":"","family":"Rudin","given":"N","non-dropping-particle":"","parse-names":false,"suffix":""},{"dropping-particle":"","family":"Sugarman","given":"E","non-dropping-particle":"","parse-names":false,"suffix":""},{"dropping-particle":"","family":"Haber","given":"J E","non-dropping-particle":"","parse-names":false,"suffix":""}],"container-title":"Genetics","id":"ITEM-1","issued":{"date-parts":[["1989"]]},"title":"Genetic and physical analysis of double-strand break repair and recombination in Saccharomyces cerevisiae.","type":"article-journal"},"uris":["http://www.mendeley.com/documents/?uuid=9e53e10c-f99b-4b09-86a9-aa05709fafe6"]},{"id":"ITEM-2","itemData":{"ISSN":"00166731","abstract":"The Saccharomyces cerevisiae mitochondrial endonuclease I-SceI creates a double-strand break as the initiating step in the gene conversional transfer of the omega +  intron to omega -  DNA. We have expressed a galactose-inducible synthetic I-SceI gene in the nucleus of yeast that also carries the I-SceI recognition site on a plasmid substrate. We find that the galactose-induced I-SceI protein can be active in the nucleus and efficiently catalyze recombination. With a target plasmid containing direct repeats of the Escherichia coli lacZ gene, one copy of which is interrupted by a 24-bp cutting site, galactose induction produces both deletions and gene conversions. Both the kinetics and the proportion of deletions and gene conversions are very similar to analogous events initiated by a galactose- inducible HO endonuclease gene. We also find that, in a rad52 mutant strain, the repair of double-strand breaks initiated by I-SceI and by HO are similarly affected: the formation of deletions is reduced, but not eliminated. Altogether, these results suggest either that the two endonucleases act in the same way after double-strand break formation or that the two endonucleases are not involved in subsequent steps.","author":[{"dropping-particle":"","family":"Plessis","given":"A.","non-dropping-particle":"","parse-names":false,"suffix":""},{"dropping-particle":"","family":"Perrin","given":"A.","non-dropping-particle":"","parse-names":false,"suffix":""},{"dropping-particle":"","family":"Haber","given":"J. E.","non-dropping-particle":"","parse-names":false,"suffix":""},{"dropping-particle":"","family":"Dujon","given":"B.","non-dropping-particle":"","parse-names":false,"suffix":""}],"container-title":"Genetics","id":"ITEM-2","issued":{"date-parts":[["1992"]]},"title":"Site-specific recombination determined by I-SceI, a mitochondrial group I intron-encoded endonuclease expressed in the yeast nucleus","type":"article-journal"},"uris":["http://www.mendeley.com/documents/?uuid=55c64c73-3d8b-4fb5-9c7d-0b8573f31f89"]},{"id":"ITEM-3","itemData":{"ISSN":"0270-7306","PMID":"7969147","abstract":"To maintain genomic integrity, double-strand breaks (DSBs) in chromosomal DNA must be repaired. In mammalian systems, the analysis of the repair of chromosomal DSBs has been limited by the inability to introduce well-defined DSBs in genomic DNA. In this study, we created specific DSBs in mouse chromosomes for the first time, using an expression system for a rare-cutting endonuclease, I-SceI. A genetic assay has been devised to monitor the repair of DSBs, whereby cleavage sites for I-SceI have been integrated into the mouse genome in two tandem neomycin phosphotransferase genes. We find that cleavage of the I-SceI sites is very efficient, with at least 12% of stably transfected cells having at least one cleavage event and, of these, more than 70% have undergone cleavage at both I-SceI sites. Cleavage of both sites in a fraction of clones deletes 3.8 kb of intervening chromosomal sequences. We find that the DSBs are repaired by both homologous and nonhomologous mechanisms. Nonhomologous repair events frequently result in small deletions after rejoining of the two DNA ends. Some of these appear to occur by simple blunt-ended ligation, whereas several others may occur through annealing of short regions of terminal homology. The DSBs are apparently recombinogenic, stimulating gene targeting of a homologous fragment by more than 2 orders of magnitude. Whereas gene-targeted clones are nearly undetectable without endonuclease expression, they represent approximately 10% of cells transfected with the I-SceI expression vector. Gene targeted clones are of two major types, those that occur by two-sided homologous recombination with the homologous fragment and those that occur by one-sided homologous recombination. Our results are expected to impact a number of areas in the study of mammalian genome dynamics, including the analysis of the repair of DSBs and homologous recombination and, potentially, molecular genetic analyses of mammalian genomes.","author":[{"dropping-particle":"","family":"Rouet","given":"P","non-dropping-particle":"","parse-names":false,"suffix":""},{"dropping-particle":"","family":"Smih","given":"F","non-dropping-particle":"","parse-names":false,"suffix":""},{"dropping-particle":"","family":"Jasin","given":"M","non-dropping-particle":"","parse-names":false,"suffix":""}],"container-title":"Molecular and cellular biology","id":"ITEM-3","issued":{"date-parts":[["1994"]]},"title":"Introduction of double-strand breaks into the genome of mouse cells by expression of a rare-cutting endonuclease.","type":"article-journal"},"uris":["http://www.mendeley.com/documents/?uuid=d5c56ef7-48db-4a8c-bbcf-0eaaea34c6c2"]},{"id":"ITEM-4","itemData":{"DOI":"10.1128/mcb.21.1.289-297.2001","ISSN":"0270-7306","abstract":"Chimeric nucleases that are hybrids between a nonspecific DNA cleavage domain and a zinc finger DNA recognition domain were tested for their ability to find and cleave their target sites in living cells. Both engineered DNA substrates and the nucleases were injected into Xenopus laevis oocyte nuclei, in which DNA cleavage and subsequent homologous recombination were observed. Specific cleavage required two inverted copies of the zinc finger recognition site in close proximity, reflecting the need for dimerization of the cleavage domain. Cleaved DNA molecules were activated for homologous recombination; in optimum conditions, essentially 100% of the substrate recombined, even though the DNA was assembled into chromatin. The original nuclease has an 18-amino-acid linker between the zinc finger and cleavage domains, and this enzyme cleaved in oocytes at paired sites separated by spacers in the range of 6 to 18 bp, with a rather sharp optimum at 8 bp. By shortening the linker, we found that the range of effective site separations could be narrowed significantly. With no intentional linker between the binding and cleavage domains, only binding sites exactly 6 bp apart supported efficient cleavage in oocytes. We also showed that two chimeric enzymes with different binding specificities could collaborate to stimulate recombination when their individual sites were appropriately placed. Because the recognition specificity of zinc fingers can be altered experimentally, this approach holds great promise for inducing targeted recombination in a variety of organisms.","author":[{"dropping-particle":"","family":"Bibikova","given":"M.","non-dropping-particle":"","parse-names":false,"suffix":""},{"dropping-particle":"","family":"Carroll","given":"D.","non-dropping-particle":"","parse-names":false,"suffix":""},{"dropping-particle":"","family":"Segal","given":"D. J.","non-dropping-particle":"","parse-names":false,"suffix":""},{"dropping-particle":"","family":"Trautman","given":"J. K.","non-dropping-particle":"","parse-names":false,"suffix":""},{"dropping-particle":"","family":"Smith","given":"J.","non-dropping-particle":"","parse-names":false,"suffix":""},{"dropping-particle":"","family":"Kim","given":"Y.-G.","non-dropping-particle":"","parse-names":false,"suffix":""},{"dropping-particle":"","family":"Chandrasegaran","given":"S.","non-dropping-particle":"","parse-names":false,"suffix":""}],"container-title":"Molecular and Cellular Biology","id":"ITEM-4","issued":{"date-parts":[["2002"]]},"title":"Stimulation of Homologous Recombination through Targeted Cleavage by Chimeric Nucleases","type":"article-journal"},"uris":["http://www.mendeley.com/documents/?uuid=a7c661fd-b89a-43de-9742-18298dcd008d"]},{"id":"ITEM-5","itemData":{"ISSN":"0270-7306","PMID":"7891691","abstract":"The mitochondrial intron-encoded endonuclease I-SceI of Saccharomyces cerevisiae has an 18-bp recognition sequence and, therefore, has a very low probability of cutting DNA, even within large genomes. We demonstrate that double-strand breaks can be initiated by the I-SceI endonuclease at a predetermined location in the mouse genome and that the breaks can be repaired with a donor molecule homologous regions flanking the breaks. This induced homologous recombination is approximately 2 orders of magnitude more frequent than spontaneous homologous recombination and at least 10 times more frequent than random integration near an active promoter. As a consequence of induced homologous recombination, a heterologous novel sequence can be inserted at the site of the break. This recombination can occur at a variety of chromosomal targets in differentiated and multipotential cells. These results demonstrate homologous recombination involving chromosomal DNA by the double-strand break repair mechanism in mammals and show the usefulness of very rare cutter endonucleases, such as I-SceI, for designing genome rearrangements.","author":[{"dropping-particle":"","family":"Choulika","given":"A","non-dropping-particle":"","parse-names":false,"suffix":""},{"dropping-particle":"","family":"Perrin","given":"A","non-dropping-particle":"","parse-names":false,"suffix":""},{"dropping-particle":"","family":"Dujon","given":"B","non-dropping-particle":"","parse-names":false,"suffix":""},{"dropping-particle":"","family":"Nicolas","given":"J F","non-dropping-particle":"","parse-names":false,"suffix":""}],"container-title":"Molecular and cellular biology","id":"ITEM-5","issued":{"date-parts":[["1995"]]},"title":"Induction of homologous recombination in mammalian chromosomes by using the I-SceI system of Saccharomyces cerevisiae.","type":"article-journal"},"uris":["http://www.mendeley.com/documents/?uuid=6dbf8b7c-6a9f-4c0a-8a8d-6ac39905aff8"]}],"mendeley":{"formattedCitation":"(15–19)","plainTextFormattedCitation":"(15–19)","previouslyFormattedCitation":"(16–20)"},"properties":{"noteIndex":0},"schema":"https://github.com/citation-style-language/schema/raw/master/csl-citation.json"}</w:instrText>
      </w:r>
      <w:r w:rsidR="00FB2FF4" w:rsidRPr="007A7F2B">
        <w:rPr>
          <w:color w:val="000000"/>
        </w:rPr>
        <w:fldChar w:fldCharType="separate"/>
      </w:r>
      <w:r w:rsidR="002E5DD7" w:rsidRPr="002E5DD7">
        <w:rPr>
          <w:noProof/>
          <w:color w:val="000000"/>
        </w:rPr>
        <w:t>(15–19)</w:t>
      </w:r>
      <w:r w:rsidR="00FB2FF4" w:rsidRPr="007A7F2B">
        <w:rPr>
          <w:color w:val="000000"/>
        </w:rPr>
        <w:fldChar w:fldCharType="end"/>
      </w:r>
      <w:r w:rsidR="00FB2FF4" w:rsidRPr="007A7F2B">
        <w:rPr>
          <w:color w:val="000000"/>
        </w:rPr>
        <w:t xml:space="preserve"> </w:t>
      </w:r>
      <w:r w:rsidRPr="007A7F2B">
        <w:rPr>
          <w:color w:val="000000"/>
        </w:rPr>
        <w:t xml:space="preserve">led to the realization that </w:t>
      </w:r>
      <w:r w:rsidR="00002A75" w:rsidRPr="007A7F2B">
        <w:rPr>
          <w:color w:val="000000"/>
        </w:rPr>
        <w:t xml:space="preserve">induced </w:t>
      </w:r>
      <w:r w:rsidRPr="007A7F2B">
        <w:rPr>
          <w:color w:val="000000"/>
        </w:rPr>
        <w:t>DNA double-strand breaks (DSBs) c</w:t>
      </w:r>
      <w:r w:rsidR="00002A75" w:rsidRPr="007A7F2B">
        <w:rPr>
          <w:color w:val="000000"/>
        </w:rPr>
        <w:t>an</w:t>
      </w:r>
      <w:r w:rsidRPr="007A7F2B">
        <w:rPr>
          <w:color w:val="000000"/>
        </w:rPr>
        <w:t xml:space="preserve"> stimulate genome editing through </w:t>
      </w:r>
      <w:r w:rsidR="003B6BA9" w:rsidRPr="007A7F2B">
        <w:rPr>
          <w:color w:val="000000"/>
        </w:rPr>
        <w:t>homologous</w:t>
      </w:r>
      <w:r w:rsidRPr="007A7F2B">
        <w:rPr>
          <w:color w:val="000000"/>
        </w:rPr>
        <w:t xml:space="preserve"> recombination events</w:t>
      </w:r>
      <w:r w:rsidR="00FB2FF4" w:rsidRPr="007A7F2B">
        <w:rPr>
          <w:color w:val="000000"/>
        </w:rPr>
        <w:t xml:space="preserve"> </w:t>
      </w:r>
      <w:r w:rsidR="00FB2FF4" w:rsidRPr="007A7F2B">
        <w:rPr>
          <w:color w:val="000000"/>
        </w:rPr>
        <w:fldChar w:fldCharType="begin" w:fldLock="1"/>
      </w:r>
      <w:r w:rsidR="002E5DD7">
        <w:rPr>
          <w:color w:val="000000"/>
        </w:rPr>
        <w:instrText>ADDIN CSL_CITATION {"citationItems":[{"id":"ITEM-1","itemData":{"DOI":"10.1016/j.cell.2014.05.010","ISSN":"10974172","abstract":"Recent advances in genome engineering technologies based on the CRISPR-associated RNA-guided endonuclease Cas9 are enabling the systematic interrogation of mammalian genome function. Analogous to the search function in modern word processors, Cas9 can be guided to specific locations within complex genomes by a short RNA search string. Using this system, DNA sequences within the endogenous genome and their functional outputs are now easily edited or modulated in virtually any organism of choice. Cas9-mediated genetic perturbation is simple and scalable, empowering researchers to elucidate the functional organization of the genome at the systems level and establish causal linkages between genetic variations and biological phenotypes. In this Review, we describe the development and applications of Cas9 for a variety of research or translational applications while highlighting challenges as well as future directions. Derived from a remarkable microbial defense system, Cas9 is driving innovative applications from basic biology to biotechnology and medicine. © 2014 Elsevier Inc.","author":[{"dropping-particle":"","family":"Hsu","given":"Patrick D.","non-dropping-particle":"","parse-names":false,"suffix":""},{"dropping-particle":"","family":"Lander","given":"Eric S.","non-dropping-particle":"","parse-names":false,"suffix":""},{"dropping-particle":"","family":"Zhang","given":"Feng","non-dropping-particle":"","parse-names":false,"suffix":""}],"container-title":"Cell","id":"ITEM-1","issued":{"date-parts":[["2014"]]},"title":"Development and applications of CRISPR-Cas9 for genome engineering","type":"article"},"uris":["http://www.mendeley.com/documents/?uuid=d06fad59-c665-49f5-80bf-51462b555efc"]}],"mendeley":{"formattedCitation":"(20)","plainTextFormattedCitation":"(20)","previouslyFormattedCitation":"(21)"},"properties":{"noteIndex":0},"schema":"https://github.com/citation-style-language/schema/raw/master/csl-citation.json"}</w:instrText>
      </w:r>
      <w:r w:rsidR="00FB2FF4" w:rsidRPr="007A7F2B">
        <w:rPr>
          <w:color w:val="000000"/>
        </w:rPr>
        <w:fldChar w:fldCharType="separate"/>
      </w:r>
      <w:r w:rsidR="002E5DD7" w:rsidRPr="002E5DD7">
        <w:rPr>
          <w:noProof/>
          <w:color w:val="000000"/>
        </w:rPr>
        <w:t>(20)</w:t>
      </w:r>
      <w:r w:rsidR="00FB2FF4" w:rsidRPr="007A7F2B">
        <w:rPr>
          <w:color w:val="000000"/>
        </w:rPr>
        <w:fldChar w:fldCharType="end"/>
      </w:r>
      <w:r w:rsidRPr="007A7F2B">
        <w:rPr>
          <w:color w:val="000000"/>
        </w:rPr>
        <w:t>.</w:t>
      </w:r>
      <w:r w:rsidR="00002A75" w:rsidRPr="007A7F2B">
        <w:rPr>
          <w:color w:val="000000"/>
        </w:rPr>
        <w:t xml:space="preserve"> </w:t>
      </w:r>
      <w:r w:rsidRPr="007A7F2B">
        <w:rPr>
          <w:color w:val="000000"/>
        </w:rPr>
        <w:t xml:space="preserve"> This</w:t>
      </w:r>
      <w:r w:rsidR="00193795" w:rsidRPr="007A7F2B">
        <w:rPr>
          <w:color w:val="000000"/>
        </w:rPr>
        <w:t xml:space="preserve"> inducing of DSBs,</w:t>
      </w:r>
      <w:r w:rsidRPr="007A7F2B">
        <w:rPr>
          <w:color w:val="000000"/>
        </w:rPr>
        <w:t xml:space="preserve"> is as we described above, exactly what we can achieve with CRISPR-Cas. </w:t>
      </w:r>
    </w:p>
    <w:p w14:paraId="2C813B0E" w14:textId="3B013DAA" w:rsidR="00C52DF1" w:rsidRPr="007A7F2B" w:rsidRDefault="00587635" w:rsidP="002C0C44">
      <w:r w:rsidRPr="007A7F2B">
        <w:t xml:space="preserve">If we want to use CRISPR-Cas as a gene-editing tool, we can simply change the guide RNA, causing it to </w:t>
      </w:r>
      <w:r w:rsidR="00002A75" w:rsidRPr="007A7F2B">
        <w:t>bind to</w:t>
      </w:r>
      <w:r w:rsidRPr="007A7F2B">
        <w:t xml:space="preserve"> a different DNA sequence</w:t>
      </w:r>
      <w:r w:rsidR="00002A75" w:rsidRPr="007A7F2B">
        <w:t xml:space="preserve"> and cut</w:t>
      </w:r>
      <w:r w:rsidRPr="007A7F2B">
        <w:t>. In this way it is in theory possible to target every</w:t>
      </w:r>
      <w:r w:rsidR="002A61B0" w:rsidRPr="007A7F2B">
        <w:t xml:space="preserve"> possible</w:t>
      </w:r>
      <w:r w:rsidRPr="007A7F2B">
        <w:t xml:space="preserve"> DNA sequence</w:t>
      </w:r>
      <w:r w:rsidR="00193795" w:rsidRPr="007A7F2B">
        <w:t xml:space="preserve"> that is preceded by a PAM</w:t>
      </w:r>
      <w:r w:rsidRPr="007A7F2B">
        <w:t>. But in reality this works slightly different</w:t>
      </w:r>
      <w:r w:rsidR="00C52DF1" w:rsidRPr="007A7F2B">
        <w:t xml:space="preserve"> due to </w:t>
      </w:r>
      <w:r w:rsidRPr="007A7F2B">
        <w:t xml:space="preserve">the origin of CRISPR-Cas. </w:t>
      </w:r>
    </w:p>
    <w:p w14:paraId="48545352" w14:textId="01FD7121" w:rsidR="002C0C44" w:rsidRPr="007A7F2B" w:rsidRDefault="007B31D6" w:rsidP="002C0C44">
      <w:r w:rsidRPr="007A7F2B">
        <w:t>As we said before, CRISPR</w:t>
      </w:r>
      <w:r w:rsidR="00193795" w:rsidRPr="007A7F2B">
        <w:t>-Cas</w:t>
      </w:r>
      <w:r w:rsidRPr="007A7F2B">
        <w:t xml:space="preserve"> wa</w:t>
      </w:r>
      <w:r w:rsidR="002A61B0" w:rsidRPr="007A7F2B">
        <w:t>s</w:t>
      </w:r>
      <w:r w:rsidRPr="007A7F2B">
        <w:t xml:space="preserve"> originally a </w:t>
      </w:r>
      <w:r w:rsidR="00193795" w:rsidRPr="007A7F2B">
        <w:t>defence system</w:t>
      </w:r>
      <w:r w:rsidRPr="007A7F2B">
        <w:t xml:space="preserve"> </w:t>
      </w:r>
      <w:r w:rsidR="00193795" w:rsidRPr="007A7F2B">
        <w:t>a</w:t>
      </w:r>
      <w:r w:rsidRPr="007A7F2B">
        <w:t>gainst viruses</w:t>
      </w:r>
      <w:r w:rsidR="00193795" w:rsidRPr="007A7F2B">
        <w:t xml:space="preserve"> in bacteria</w:t>
      </w:r>
      <w:r w:rsidRPr="007A7F2B">
        <w:t xml:space="preserve">. </w:t>
      </w:r>
      <w:r w:rsidR="00587635" w:rsidRPr="007A7F2B">
        <w:t xml:space="preserve">From an evolutionary point of view, it would not </w:t>
      </w:r>
      <w:r w:rsidR="00C52DF1" w:rsidRPr="007A7F2B">
        <w:t xml:space="preserve">be convenient to specifically target only one sequence, since in that case the defence </w:t>
      </w:r>
      <w:r w:rsidR="00C52DF1" w:rsidRPr="007A7F2B">
        <w:lastRenderedPageBreak/>
        <w:t xml:space="preserve">mechanism would be useless if the virus undergoes one slight mutation in its DNA. Therefore CRISPR-Cas allows for multiple mismatches in the DNA compared to the guide RNA. </w:t>
      </w:r>
    </w:p>
    <w:p w14:paraId="04D8C68F" w14:textId="07C5DB27" w:rsidR="00C52DF1" w:rsidRPr="007A7F2B" w:rsidRDefault="00C52DF1" w:rsidP="002C0C44">
      <w:r w:rsidRPr="007A7F2B">
        <w:t xml:space="preserve">For the bacteria this was a convenient characteristic, but for us, when using it as an gene-editing tool, this causes a problem. We want to alter only one specific sequence and not cut the rest of our genome. </w:t>
      </w:r>
      <w:r w:rsidR="002A61B0" w:rsidRPr="007A7F2B">
        <w:t>T</w:t>
      </w:r>
      <w:r w:rsidRPr="007A7F2B">
        <w:t>his forms a big disadvantage of using CRISPR-Cas for gene-editing and could be catastrophic when we use CRISPR-Cas for gene-editing of human embryos</w:t>
      </w:r>
      <w:r w:rsidR="00F158D4">
        <w:t xml:space="preserve"> </w:t>
      </w:r>
      <w:r w:rsidR="00F158D4">
        <w:fldChar w:fldCharType="begin" w:fldLock="1"/>
      </w:r>
      <w:r w:rsidR="002311D2">
        <w:instrText>ADDIN CSL_CITATION {"citationItems":[{"id":"ITEM-1","itemData":{"DOI":"10.1242/dev.175778","ISSN":"0950-1991","abstract":"Towards the end of November 2018, news broke that the Chinese researcher He Jiankui had created the world's first genome-edited babies. This came shortly before the start of the Second International Summit on Human Genome Editing, where researchers, ethicists and others concerned with regulation, social issues and public engagement from around the world gathered to discuss the latest advances in the field. In this Spotlight, I provide my perspective on the events that occurred shortly prior to and at the summit, where He Jiankui gave an account of his activities. I also discuss what was wrong with his approach and how, after more research and with appropriate regulation, clinical applications of germline genome editing in humans may be justifiable.","author":[{"dropping-particle":"","family":"Lovell-Badge","given":"Robin","non-dropping-particle":"","parse-names":false,"suffix":""}],"container-title":"Development","id":"ITEM-1","issued":{"date-parts":[["2019"]]},"title":"CRISPR babies: a view from the centre of the storm","type":"article-journal"},"uris":["http://www.mendeley.com/documents/?uuid=e27e90e0-aa08-424d-b73f-d62e6e33d292"]}],"mendeley":{"formattedCitation":"(1)","plainTextFormattedCitation":"(1)","previouslyFormattedCitation":"(1)"},"properties":{"noteIndex":0},"schema":"https://github.com/citation-style-language/schema/raw/master/csl-citation.json"}</w:instrText>
      </w:r>
      <w:r w:rsidR="00F158D4">
        <w:fldChar w:fldCharType="separate"/>
      </w:r>
      <w:r w:rsidR="00F158D4" w:rsidRPr="00F158D4">
        <w:rPr>
          <w:noProof/>
        </w:rPr>
        <w:t>(1)</w:t>
      </w:r>
      <w:r w:rsidR="00F158D4">
        <w:fldChar w:fldCharType="end"/>
      </w:r>
      <w:r w:rsidRPr="007A7F2B">
        <w:t xml:space="preserve">. </w:t>
      </w:r>
    </w:p>
    <w:p w14:paraId="2EC9D211" w14:textId="6D6AA597" w:rsidR="00277EDA" w:rsidRPr="007A7F2B" w:rsidRDefault="00C52DF1" w:rsidP="002C0C44">
      <w:r w:rsidRPr="007A7F2B">
        <w:t>Therefore</w:t>
      </w:r>
      <w:r w:rsidR="00193795" w:rsidRPr="007A7F2B">
        <w:t>,</w:t>
      </w:r>
      <w:r w:rsidRPr="007A7F2B">
        <w:t xml:space="preserve"> we want to understand this off-target binding better. </w:t>
      </w:r>
      <w:r w:rsidR="00DC5E68" w:rsidRPr="007A7F2B">
        <w:t xml:space="preserve">Studies from Fu et al. </w:t>
      </w:r>
      <w:r w:rsidR="001E2FDD" w:rsidRPr="007A7F2B">
        <w:fldChar w:fldCharType="begin" w:fldLock="1"/>
      </w:r>
      <w:r w:rsidR="002E5DD7">
        <w:instrText>ADDIN CSL_CITATION {"citationItems":[{"id":"ITEM-1","itemData":{"DOI":"10.1186/2043-9113-2-11","ISSN":"20439113","abstract":"A simple and fast computational model to describe the dynamics of tumour growth and metastasis formation is presented. The model is based on the calculation of successive generations of tumour cells and enables one to describe biologically important entities like tumour volume, time point of 1st metastatic growth or number of metastatic colonies at a given time. The model entirely relies on the chronology of these successive events of the metastatic cascade. The simulation calculations were performed for two embedded growth models to describe the Gompertzian like growth behaviour of tumours. The initial training of the models was carried out using an analytical solution for the size distribution of metastases of a hepatocellular carcinoma. We then show the applicability of our models to clinical data from the Munich Cancer Registry. Growth and dissemination characteristics of metastatic cells originating from cells in the primary breast cancer can be modelled thus showing its ability to perform systematic analyses relevant for clinical breast cancer research and treatment. In particular, our calculations show that generally metastases formation has already been initiated before the primary can be detected clinically.","author":[{"dropping-particle":"","family":"Haustein","given":"Volker","non-dropping-particle":"","parse-names":false,"suffix":""},{"dropping-particle":"","family":"Schumacher","given":"Udo","non-dropping-particle":"","parse-names":false,"suffix":""}],"container-title":"Journal of Clinical Bioinformatics","id":"ITEM-1","issue":"1","issued":{"date-parts":[["2012"]]},"page":"1-11","title":"A dynamic model for tumour growth and metastasis formation","type":"article-journal","volume":"2"},"uris":["http://www.mendeley.com/documents/?uuid=acb2d20d-48bf-40ce-9bb5-490ac359e097"]}],"mendeley":{"formattedCitation":"(21)","plainTextFormattedCitation":"(21)","previouslyFormattedCitation":"(22)"},"properties":{"noteIndex":0},"schema":"https://github.com/citation-style-language/schema/raw/master/csl-citation.json"}</w:instrText>
      </w:r>
      <w:r w:rsidR="001E2FDD" w:rsidRPr="007A7F2B">
        <w:fldChar w:fldCharType="separate"/>
      </w:r>
      <w:r w:rsidR="002E5DD7" w:rsidRPr="002E5DD7">
        <w:rPr>
          <w:noProof/>
        </w:rPr>
        <w:t>(21)</w:t>
      </w:r>
      <w:r w:rsidR="001E2FDD" w:rsidRPr="007A7F2B">
        <w:fldChar w:fldCharType="end"/>
      </w:r>
      <w:r w:rsidR="00DC5E68" w:rsidRPr="007A7F2B">
        <w:t xml:space="preserve">, Hsu et al. </w:t>
      </w:r>
      <w:r w:rsidR="00DE4C60" w:rsidRPr="007A7F2B">
        <w:fldChar w:fldCharType="begin" w:fldLock="1"/>
      </w:r>
      <w:r w:rsidR="002E5DD7">
        <w:instrText>ADDIN CSL_CITATION {"citationItems":[{"id":"ITEM-1","itemData":{"DOI":"10.1038/nbt.2647","ISSN":"10870156","abstract":"The Streptococcus pyogenes Cas9 (SpCas9) nuclease can be efficiently targeted to genomic loci by means of single-guide RNAs (sgRNAs) to enable genome editing. Here, we characterize SpCas9 targeting specificity in human cells to inform the selection of target sites and avoid off-target effects. Our study evaluates &gt;700 guide RNA variants and SpCas9-induced indel mutation levels at &gt;100 predicted genomic off-target loci in 293T and 293FT cells. We find that SpCas9 tolerates mismatches between guide RNA and target DNA at different positions in a sequence-dependent manner, sensitive to the number, position and distribution of mismatches. We also show that SpCas9-mediated cleavage is unaffected by DNA methylation and that the dosage of SpCas9 and sgRNA can be titrated to minimize off-target modification. To facilitate mammalian genome engineering applications, we provide a web-based software tool to guide the selection and validation of target sequences as well as off-target analyses.","author":[{"dropping-particle":"","family":"Hsu","given":"Patrick D.","non-dropping-particle":"","parse-names":false,"suffix":""},{"dropping-particle":"","family":"Scott","given":"David A.","non-dropping-particle":"","parse-names":false,"suffix":""},{"dropping-particle":"","family":"Weinstein","given":"Joshua A.","non-dropping-particle":"","parse-names":false,"suffix":""},{"dropping-particle":"","family":"Ran","given":"F. Ann","non-dropping-particle":"","parse-names":false,"suffix":""},{"dropping-particle":"","family":"Konermann","given":"Silvana","non-dropping-particle":"","parse-names":false,"suffix":""},{"dropping-particle":"","family":"Agarwala","given":"Vineeta","non-droppin</w:instrText>
      </w:r>
      <w:r w:rsidR="002E5DD7" w:rsidRPr="002E5DD7">
        <w:rPr>
          <w:lang w:val="fr-FR"/>
        </w:rPr>
        <w:instrText>g-particle":"","parse-names":false,"suffix":""},{"dropping-particle":"","family":"Li","given":"Yinqing","non-dropping-particle":"","parse-names":false,"suffix":""},{"dropping-particle":"","family":"Fine","given":"Eli J.","non-dropping-particle":"","parse-names":false,"suffix":""},{"dropping-particle":"","family":"Wu","given":"Xuebing","non-dropping-particle":"","parse-names":false,"suffix":""},{"dropping-particle":"","family":"Shalem","given":"Ophir","non-dropping-particle":"","parse-names":false,"suffix":""},{"dropping-particle":"","family":"Cradick","given":"Thomas J.","non-dropping-particle":"","parse-names":false,"suffix":""},{"dropping-particle":"","family":"Marraffini","given":"Luciano A.","non-dropping-particle":"","parse-names":false,"suffix":""},{"dropping-particle":"","family":"Bao","given":"Gang","non-dropping-particle":"","parse-names":false,"suffix":""},{"dropping-particle":"","family":"Zhang","given":"Feng","non-dropping-particle":"","parse-names":false,"suffix":""}],"container-title":"Nature Biotechnology","id":"ITEM-1","issued":{"date-parts":[["2013"]]},"title":"DNA targeting specificity of RNA-guided Cas9 nucleases","type":"article-journal"},"uris":["http://www.mendeley.com/documents/?uuid=caa5fa81-2ea9-42d0-97c6-99ed61e0ca70"]}],"mendeley":{"formattedCitation":"(22)","plainTextFormattedCitation":"(22)","previouslyFormattedCitation":"(23)"},"properties":{"noteIndex":0},"schema":"https://github.com/citation-style-language/schema/raw/master/csl-citation.json"}</w:instrText>
      </w:r>
      <w:r w:rsidR="00DE4C60" w:rsidRPr="007A7F2B">
        <w:fldChar w:fldCharType="separate"/>
      </w:r>
      <w:r w:rsidR="002E5DD7" w:rsidRPr="002E5DD7">
        <w:rPr>
          <w:noProof/>
          <w:lang w:val="fr-FR"/>
        </w:rPr>
        <w:t>(22)</w:t>
      </w:r>
      <w:r w:rsidR="00DE4C60" w:rsidRPr="007A7F2B">
        <w:fldChar w:fldCharType="end"/>
      </w:r>
      <w:r w:rsidR="00DC5E68" w:rsidRPr="007A7F2B">
        <w:rPr>
          <w:lang w:val="fr-FR"/>
        </w:rPr>
        <w:t xml:space="preserve">, Mali et al. </w:t>
      </w:r>
      <w:r w:rsidR="00DE4C60" w:rsidRPr="007A7F2B">
        <w:fldChar w:fldCharType="begin" w:fldLock="1"/>
      </w:r>
      <w:r w:rsidR="002E5DD7">
        <w:rPr>
          <w:lang w:val="fr-FR"/>
        </w:rPr>
        <w:instrText>ADDIN CSL_CITATION {"citationItems":[{"id":"ITEM-1","itemData":{"DOI":"10.1038/nbt.2675","ISSN":"10870156","abstract":"Prokaryotic type II CRISPR-Cas systems can be adapted to enable targeted genome modifications across a range of eukaryotes. Here we engineer this system to enable RNA-guided genome regulation in human cells by tethering transcriptional activation domains either directly to a nuclease-null Cas9 protein or to an aptamer-modified single guide RNA (sgRNA). Using this functionality we developed a transcriptional activation-based assay to determine the landscape of off-target binding of sgRNA:Cas9 complexes and compared it with the off-target activity of transcription activator-like (TALs) effectors. Our results reveal that specificity profiles are sgRNA dependent, and that sgRNA:Cas9 complexes and 18-mer TAL effectors can potentially tolerate 1-3 and 1-2 target mismatches, respectively. By engineering a requirement for cooperativity through offset nicking for genome editing or through multiple synergistic sgRNAs for robust transcriptional activation, we suggest methods to mitigate off-target phenomena. Our results expand the versatility of the sgRNA:Cas9 tool and highlight the critical need to engineer improved specificity.","author":[{"dropping-particle":"","family":"Mali","given":"Prashant","non-dropping-particle":"","parse-names":false,"suffix":""},{"dropping-particle":"","family":"Aach","given":"John","non-dropping-particle":"","parse-names":false,"suffix":""},{"dropping-particle":"","family":"Stranges","given":"P. Benjamin","non-dropping-particle":"","parse-names":false,"suffix":""},{"dropping-particle":"","family":"Esvelt","given":"Kevin M.","non-dropping-particle":"","parse-names":false,"suffix":""},{"dropping-particle":"","family":"Moosburner","given":"Mark","non-dropping-particle":"","parse-names":false,"suffix":""},{"dropping-particle":"","family":"Kosuri","given":"Sriram","non-dropping-particle":"","parse-names":false,"suffix":""},{"dropping-particle":"","family":"Yang","given":"Luhan","non-dropping-particle":"","parse-names":false,"suffix":""},{"dropping-particle":"","family":"Church","given":"George M.","non-dropping-particle":"","parse-names":false,"suffix":""}],"container-title":"Nature Biotechnology","id":"ITEM-1","issued":{"date-parts":[["2013"]]},"title":"CAS9 transcriptional activators for target specificity screening and paired nickases for cooperative genome engineering","type":"article-journal"},"uris":["http://www.mendeley.com/documents/?uuid=97dc15af-0f44-4e06-a41e-c89c9f8ae4d0"]}],"mendeley":{"formattedCitation":"(23)","plainTextFormattedCitation":"(23)","previouslyFormattedCitation":"(24)"},"properties":{"noteIndex":0},"schema":"https://github.com/citation-style-language/schema/raw/master/csl-citation.json"}</w:instrText>
      </w:r>
      <w:r w:rsidR="00DE4C60" w:rsidRPr="007A7F2B">
        <w:fldChar w:fldCharType="separate"/>
      </w:r>
      <w:r w:rsidR="002E5DD7" w:rsidRPr="002E5DD7">
        <w:rPr>
          <w:noProof/>
          <w:lang w:val="fr-FR"/>
        </w:rPr>
        <w:t>(23)</w:t>
      </w:r>
      <w:r w:rsidR="00DE4C60" w:rsidRPr="007A7F2B">
        <w:fldChar w:fldCharType="end"/>
      </w:r>
      <w:r w:rsidR="00DC5E68" w:rsidRPr="007A7F2B">
        <w:rPr>
          <w:lang w:val="fr-FR"/>
        </w:rPr>
        <w:t xml:space="preserve">, and </w:t>
      </w:r>
      <w:proofErr w:type="spellStart"/>
      <w:r w:rsidR="00DC5E68" w:rsidRPr="007A7F2B">
        <w:rPr>
          <w:lang w:val="fr-FR"/>
        </w:rPr>
        <w:t>Pattanayak</w:t>
      </w:r>
      <w:proofErr w:type="spellEnd"/>
      <w:r w:rsidR="00DC5E68" w:rsidRPr="007A7F2B">
        <w:rPr>
          <w:lang w:val="fr-FR"/>
        </w:rPr>
        <w:t xml:space="preserve"> et al. </w:t>
      </w:r>
      <w:r w:rsidR="001E2FDD" w:rsidRPr="007A7F2B">
        <w:fldChar w:fldCharType="begin" w:fldLock="1"/>
      </w:r>
      <w:r w:rsidR="002E5DD7">
        <w:rPr>
          <w:lang w:val="fr-FR"/>
        </w:rPr>
        <w:instrText>ADDIN CSL_CITATION {"citationItems":[{"id":"ITEM-1","itemData":{"DOI":"10.1038/nbt.2673","ISSN":"10870156","abstract":"The RNA-programmable Cas9 endonuclease cleaves double-stranded DNA at sites complementary to a 20-base-pair guide RNA. The Cas9 system has been used to modify genomes in multiple cells and organisms, demonstrating its potential as a facile genome-engineering tool. We used in vitro selection and high-throughput sequencing to determine the propensity of eight guide-RNA:Cas9 complexes to cleave each of 10 12 potential off-target DNA sequences. The selection results predicted five off-target sites in the human genome that were confirmed to undergo genome cleavage in HEK293T cells upon expressio n of one of two guide-RNA:Cas9 complexes. In contrast to previous models, our results show that guide-RNA:Cas9 specificity extends past a 7-to 12-base-pair seed sequence. Our results also suggest a tradeoff between activity and specificity both in vitro and in cells as a shorter, less-active guide RNA is more specific than a longer, more-active guide RNA. High concentrations of guide-RNA:Cas9 complexes can cleave off-target sites containing mutations near or within the PAM that are not cleaved when enzyme concentrations are limiting. © 2013 Nature America, Inc.","author":[{"dropping-particle":"","family":"Pattanayak","given":"Vikram","non-dropping-particle":"","parse-names":false,"suffix":""},{"dropping-particle":"","family":"Lin","given":"Steven","non-dropping-particle":"","parse-names":false,"suffix":""},{"dropping-particle":"","family":"Guilinger","given":"John P.","non-dropping-particle":"","parse-names":false,"suffix":""},{"dropping-particle":"","family":"Ma","given":"Enbo","non-dropping-particle":"","parse-names":false,"suffix":""},{"dropping-particle":"","family":"Doudna","given":"Jennifer A.","non-dropping-particle":"","parse-names":false,"suffix":""},{"dropping-particle":"","family":"Liu","given":"David R.","non-dropping-particle":"","parse-names":false,"suffix":""}],"container-title":"Nature Biotechnology","id":"ITEM-1","issued":{"date-parts":[["2013"]]},"title":"High-throughput profiling of off-target DNA cleavage reveals RNA-programmed Cas9 nuclease specificity","type":"article-journal"},"uris":["http://www.mendeley.com/documents/?uuid=8ebb8e8e-6623-4253-bca8-f3eca4d74fb6"]}],"mendeley":{"formattedCitation":"(24)","plainTextFormattedCitation":"(24)","previouslyFormattedCitation":"(25)"},"properties":{"noteIndex":0},"schema":"https://github.com/citation-style-language/schema/raw/master/csl-citation.json"}</w:instrText>
      </w:r>
      <w:r w:rsidR="001E2FDD" w:rsidRPr="007A7F2B">
        <w:fldChar w:fldCharType="separate"/>
      </w:r>
      <w:r w:rsidR="002E5DD7" w:rsidRPr="002E5DD7">
        <w:rPr>
          <w:noProof/>
          <w:lang w:val="fr-FR"/>
        </w:rPr>
        <w:t>(24)</w:t>
      </w:r>
      <w:r w:rsidR="001E2FDD" w:rsidRPr="007A7F2B">
        <w:fldChar w:fldCharType="end"/>
      </w:r>
      <w:r w:rsidR="00DE4C60" w:rsidRPr="007A7F2B">
        <w:rPr>
          <w:lang w:val="fr-FR"/>
        </w:rPr>
        <w:t>,</w:t>
      </w:r>
      <w:r w:rsidR="00DC5E68" w:rsidRPr="007A7F2B">
        <w:rPr>
          <w:lang w:val="fr-FR"/>
        </w:rPr>
        <w:t xml:space="preserve"> all show </w:t>
      </w:r>
      <w:proofErr w:type="spellStart"/>
      <w:r w:rsidR="00DC5E68" w:rsidRPr="007A7F2B">
        <w:rPr>
          <w:lang w:val="fr-FR"/>
        </w:rPr>
        <w:t>that</w:t>
      </w:r>
      <w:proofErr w:type="spellEnd"/>
      <w:r w:rsidR="00DC5E68" w:rsidRPr="007A7F2B">
        <w:rPr>
          <w:lang w:val="fr-FR"/>
        </w:rPr>
        <w:t xml:space="preserve"> Cas9 </w:t>
      </w:r>
      <w:proofErr w:type="spellStart"/>
      <w:r w:rsidR="00DC5E68" w:rsidRPr="007A7F2B">
        <w:rPr>
          <w:lang w:val="fr-FR"/>
        </w:rPr>
        <w:t>tolerates</w:t>
      </w:r>
      <w:proofErr w:type="spellEnd"/>
      <w:r w:rsidR="00DC5E68" w:rsidRPr="007A7F2B">
        <w:rPr>
          <w:lang w:val="fr-FR"/>
        </w:rPr>
        <w:t xml:space="preserve"> </w:t>
      </w:r>
      <w:proofErr w:type="spellStart"/>
      <w:r w:rsidR="00DC5E68" w:rsidRPr="007A7F2B">
        <w:rPr>
          <w:lang w:val="fr-FR"/>
        </w:rPr>
        <w:t>mismatches</w:t>
      </w:r>
      <w:proofErr w:type="spellEnd"/>
      <w:r w:rsidR="00DC5E68" w:rsidRPr="007A7F2B">
        <w:rPr>
          <w:lang w:val="fr-FR"/>
        </w:rPr>
        <w:t xml:space="preserve"> </w:t>
      </w:r>
      <w:proofErr w:type="spellStart"/>
      <w:r w:rsidR="00DC5E68" w:rsidRPr="007A7F2B">
        <w:rPr>
          <w:lang w:val="fr-FR"/>
        </w:rPr>
        <w:t>throughout</w:t>
      </w:r>
      <w:proofErr w:type="spellEnd"/>
      <w:r w:rsidR="00DC5E68" w:rsidRPr="007A7F2B">
        <w:rPr>
          <w:lang w:val="fr-FR"/>
        </w:rPr>
        <w:t xml:space="preserve"> the guide</w:t>
      </w:r>
      <w:r w:rsidR="00DE4C60" w:rsidRPr="007A7F2B">
        <w:rPr>
          <w:lang w:val="fr-FR"/>
        </w:rPr>
        <w:t xml:space="preserve"> RNA</w:t>
      </w:r>
      <w:r w:rsidR="00DC5E68" w:rsidRPr="007A7F2B">
        <w:rPr>
          <w:lang w:val="fr-FR"/>
        </w:rPr>
        <w:t xml:space="preserve"> </w:t>
      </w:r>
      <w:proofErr w:type="spellStart"/>
      <w:r w:rsidR="00DC5E68" w:rsidRPr="007A7F2B">
        <w:rPr>
          <w:lang w:val="fr-FR"/>
        </w:rPr>
        <w:t>sequence</w:t>
      </w:r>
      <w:proofErr w:type="spellEnd"/>
      <w:r w:rsidR="002A61B0" w:rsidRPr="007A7F2B">
        <w:rPr>
          <w:lang w:val="fr-FR"/>
        </w:rPr>
        <w:t xml:space="preserve">. </w:t>
      </w:r>
      <w:r w:rsidR="002A61B0" w:rsidRPr="007A7F2B">
        <w:t>They show that</w:t>
      </w:r>
      <w:r w:rsidR="00D52256" w:rsidRPr="007A7F2B">
        <w:t xml:space="preserve"> the amount of</w:t>
      </w:r>
      <w:r w:rsidR="00DC5E68" w:rsidRPr="007A7F2B">
        <w:t xml:space="preserve"> </w:t>
      </w:r>
      <w:r w:rsidR="00D52256" w:rsidRPr="007A7F2B">
        <w:t xml:space="preserve">tolerated </w:t>
      </w:r>
      <w:r w:rsidR="002A61B0" w:rsidRPr="007A7F2B">
        <w:t xml:space="preserve">mismatches </w:t>
      </w:r>
      <w:r w:rsidR="00DC5E68" w:rsidRPr="007A7F2B">
        <w:t>depend on the</w:t>
      </w:r>
      <w:r w:rsidR="007A7F2B">
        <w:t>ir</w:t>
      </w:r>
      <w:r w:rsidR="00DC5E68" w:rsidRPr="007A7F2B">
        <w:t xml:space="preserve"> number, position and distribution.</w:t>
      </w:r>
      <w:r w:rsidR="007A7F2B" w:rsidRPr="007A7F2B">
        <w:t xml:space="preserve"> This gets supported by the data from Boyle et al. </w:t>
      </w:r>
      <w:r w:rsidR="007A7F2B">
        <w:fldChar w:fldCharType="begin" w:fldLock="1"/>
      </w:r>
      <w:r w:rsidR="002E5DD7">
        <w:instrText>ADDIN CSL_CITATION {"citationItems":[{"id":"ITEM-1","itemData":{"DOI":"10.1073/pnas.1700557114","ISBN":"1700557114","ISSN":"0027-8424","abstract":"A five-year old, spayed female, Bearded Collie was presented with a 24-hour history of non-weight-bearing lameness of the right thoracic limb after sustaining vehicular trauma. Radiographs revealed a craniolateral scapulohumeral luxation and a distally and medially displaced fracture of the lesser tubercle of the humerus. Open reduction and internal fixation of the fracture was achieved with lag screw fixation and an anti-rotational Kirschner wire. Surgical repair resulted in compression across the fracture line, anatomic reduction of the articular surface, and a stable scapulohumeral joint following reduction of the humeral head in the glenoid. Six weeks postoperatively, the patient exhibited no evidence of pain or lameness on the right thoracic limb and radiographs revealed complete healing of the fracture and normal articulation of the scapulohumeral joint. This is the first report of a lesser tubercle fracture associated with a craniolateral shoulder luxation. Surgical intervention resulted in the return of full shoulder joint function in this dog.","author":[{"dropping-particle":"","family":"Boyle","given":"Evan A.","non-dropping-particle":"","parse-names":false,"suffix":""},{"dropping-particle":"","family":"Andreasson","given":"Johan O. L.","non-dropping-particle":"","parse-names":false,"suffix":""},{"dropping-particle":"","family":"Chircus","given":"Lauren M.","non-dropping-particle":"","parse-names":false,"suffix":""},{"dropping-particle":"","family":"Sternberg","given":"Samuel H.","non-dropping-particle":"","parse-names":false,"suffix":""},{"dropping-particle":"","family":"Wu","given":"Michelle J.","non-dropping-particle":"","parse-names":false,"suffix":""},{"dropping-particle":"","family":"Guegler","given":"Chantal K.","non-dropping-particle":"","parse-names":false,"suffix":""},{"dropping-particle":"","family":"Doudna","given":"Jennifer A.","non-dropping-particle":"","parse-names":false,"suffix":""},{"dropping-particle":"","family":"Greenleaf","given":"William J.","non-dropping-particle":"","parse-names":false,"suffix":""}],"container-title":"Proceedings of the National Academy of Sciences","id":"ITEM-1","issue":"21","issued":{"date-parts":[["2017"]]},"page":"5461-5466","title":"High-throughput biochemical profiling reveals sequence determinants of dCas9 off-target binding and unbinding","type":"article-journal","volume":"114"},"uris":["http://www.mendeley.com/documents/?uuid=5d3bd9c9-c3d5-4909-940e-4419508f06a1"]}],"mendeley":{"formattedCitation":"(25)","plainTextFormattedCitation":"(25)","previouslyFormattedCitation":"(26)"},"properties":{"noteIndex":0},"schema":"https://github.com/citation-style-language/schema/raw/master/csl-citation.json"}</w:instrText>
      </w:r>
      <w:r w:rsidR="007A7F2B">
        <w:fldChar w:fldCharType="separate"/>
      </w:r>
      <w:r w:rsidR="002E5DD7" w:rsidRPr="002E5DD7">
        <w:rPr>
          <w:noProof/>
        </w:rPr>
        <w:t>(25)</w:t>
      </w:r>
      <w:r w:rsidR="007A7F2B">
        <w:fldChar w:fldCharType="end"/>
      </w:r>
      <w:r w:rsidR="007A7F2B">
        <w:t xml:space="preserve"> </w:t>
      </w:r>
      <w:r w:rsidR="007A7F2B" w:rsidRPr="007A7F2B">
        <w:t xml:space="preserve">and Finkelstein et al. </w:t>
      </w:r>
      <w:r w:rsidR="007A7F2B">
        <w:fldChar w:fldCharType="begin" w:fldLock="1"/>
      </w:r>
      <w:r w:rsidR="002E5DD7">
        <w:instrText xml:space="preserve">ADDIN CSL_CITATION {"citationItems":[{"id":"ITEM-1","itemData":{"DOI":"10.1016/j.cell.2017.05.044","ISSN":"10974172","abstract":"CRISPR-Cas nucleoproteins target foreign DNA via base pairing with a crRNA. However, a quantitative description of protein binding and nuclease activation at off-target DNA sequences remains elusive. Here, we describe a chip-hybridized association-mapping platform (CHAMP) that repurposes next-generation sequencing chips to simultaneously measure the interactions between proteins and </w:instrText>
      </w:r>
      <w:r w:rsidR="002E5DD7">
        <w:rPr>
          <w:rFonts w:ascii="Cambria Math" w:hAnsi="Cambria Math" w:cs="Cambria Math"/>
        </w:rPr>
        <w:instrText>∼</w:instrText>
      </w:r>
      <w:r w:rsidR="002E5DD7">
        <w:instrText>107 unique DNA sequences. Using CHAMP, we provide the first comprehensive survey of DNA recognition by a type I-E CRISPR-Cas (Cascade) complex and Cas3 nuclease. Analysis of mutated target sequences and human genomic DNA reveal that Cascade recognizes an extended protospacer adjacent motif (PAM). Cascade recognizes DNA with a surprising 3-nt periodicity. The identity of the PAM and the PAM-proximal nucleotides control Cas3 recruitment by releasing the Cse1 subunit. These findings are used to develop a model for the biophysical constraints governing off-target DNA binding. CHAMP provides a framework for high-throughput, quantitative analysis of protein-DNA interactions on synthetic and genomic DNA. PaperClip [Figure presented]","author":[{"dropping-particle":"","family":"Jung","given":"Cheulhee","non-dropping-particle":"","parse-names":false,"suffix":""},{"dropping-particle":"","family":"Hawkins","given":"John A.","non-dropping-particle":"","parse-names":false,"suffix":""},{"dropping-particle":"","family":"Jones","given":"Stephen K.","non-dropping-particle":"","parse-names":false,"suffix":""},{"dropping-particle":"","family":"Xiao","given":"Yibei","non-dropping-particle":"","parse-names":false,"suffix":""},{"dropping-particle":"","family":"Rybarski","given":"James R.","non-dropping-particle":"","parse-names":false,"suffix":""},{"dropping-particle":"","family":"Dillard","given":"Kaylee E.","non-dropping-particle":"","parse-names":false,"suffix":""},{"dropping-particle":"","family":"Hussmann","given":"Jeffrey","non-dropping-particle":"","parse-names":false,"suffix":""},{"dropping-particle":"","family":"Saifuddin","given":"Fatema A.","non-dropping-particle":"","parse-names":false,"suffix":""},{"dropping-particle":"","family":"Savran","given":"Cagri A.","non-dropping-particle":"","parse-names":false,"suffix":""},{"dropping-particle":"","family":"Ellington","given":"Andrew D.","non-dropping-particle":"","parse-names":false,"suffix":""},{"dropping-particle":"","family":"Ke","given":"Ailong","non-dropping-particle":"","parse-names":false,"suffix":""},{"dropping-particle":"","family":"Press","given":"William H.","non-dropping-particle":"","parse-names":false,"suffix":""},{"dropping-particle":"","family":"Finkelstein","given":"Ilya J.","non-dropping-particle":"","parse-names":false,"suffix":""}],"container-title":"Cell","id":"ITEM-1","issue":"1","issued":{"date-parts":[["2017"]]},"page":"35-47.e13","publisher":"Elsevier","title":"Massively Parallel Biophysical Analysis of CRISPR-Cas Complexes on Next Generation Sequencing Chips","type":"article-journal","volume":"170"},"uris":["http://www.mendeley.com/documents/?uuid=353b09e7-244b-48a1-8a5b-7c5ce688fe97"]}],"mendeley":{"formattedCitation":"(26)","plainTextFormattedCitation":"(26)","previouslyFormattedCitation":"(27)"},"properties":{"noteIndex":0},"schema":"https://github.com/citation-style-language/schema/raw/master/csl-citation.json"}</w:instrText>
      </w:r>
      <w:r w:rsidR="007A7F2B">
        <w:fldChar w:fldCharType="separate"/>
      </w:r>
      <w:r w:rsidR="002E5DD7" w:rsidRPr="002E5DD7">
        <w:rPr>
          <w:noProof/>
        </w:rPr>
        <w:t>(26)</w:t>
      </w:r>
      <w:r w:rsidR="007A7F2B">
        <w:fldChar w:fldCharType="end"/>
      </w:r>
      <w:r w:rsidR="007A7F2B">
        <w:t xml:space="preserve"> </w:t>
      </w:r>
      <w:r w:rsidR="007A7F2B" w:rsidRPr="007A7F2B">
        <w:t>that we will use for this thesis.</w:t>
      </w:r>
      <w:r w:rsidR="00DE4C60" w:rsidRPr="007A7F2B">
        <w:t xml:space="preserve"> Hsu </w:t>
      </w:r>
      <w:r w:rsidR="00DE4C60" w:rsidRPr="007A7F2B">
        <w:fldChar w:fldCharType="begin" w:fldLock="1"/>
      </w:r>
      <w:r w:rsidR="002E5DD7">
        <w:instrText>ADDIN CSL_CITATION {"citationItems":[{"id":"ITEM-1","itemData":{"DOI":"10.1038/nbt.2647","ISSN":"10870156","abstract":"The Streptococcus pyogenes Cas9 (SpCas9) nuclease can be efficiently targeted to genomic loci by means of single-guide RNAs (sgRNAs) to enable genome editing. Here, we characterize SpCas9 targeting specificity in human cells to inform the selection of target sites and avoid off-target effects. Our study evaluates &gt;700 guide RNA variants and SpCas9-induced indel mutation levels at &gt;100 predicted genomic off-target loci in 293T and 293FT cells. We find that SpCas9 tolerates mismatches between guide RNA and target DNA at different positions in a sequence-dependent manner, sensitive to the number, position and distribution of mismatches. We also show that SpCas9-mediated cleavage is unaffected by DNA methylation and that the dosage of SpCas9 and sgRNA can be titrated to minimize off-target modification. To facilitate mammalian genome engineering applications, we provide a web-based software tool to guide the selection and validation of target sequences as well as off-target analyses.","author":[{"dropping-particle":"","family":"Hsu","given":"Patrick D.","non-dropping-particle":"","parse-names":false,"suffix":""},{"dropping-particle":"","family":"Scott","given":"David A.","non-dropping-particle":"","parse-names":false,"suffix":""},{"dropping-particle":"","family":"Weinstein","given":"Joshua A.","non-dropping-particle":"","parse-names":false,"suffix":""},{"dropping-particle":"","family":"Ran","given":"F. Ann","non-dropping-particle":"","parse-names":false,"suffix":""},{"dropping-particle":"","family":"Konermann","given":"Silvana","non-dropping-particle":"","parse-names":false,"suffix":""},{"dropping-particle":"","family":"Agarwala","given":"Vineeta","non-dropping-particle":"","parse-names":false,"suffix":""},{"dropping-particle":"","family":"Li","given":"Yinqing","non-dropping-particle":"","parse-names":false,"suffix":""},{"dropping-particle":"","family":"Fine","given":"Eli J.","non-dropping-particle":"","parse-names":false,"suffix":""},{"dropping-particle":"","family":"Wu","given":"Xuebing","non-dropping-particle":"","parse-names":false,"suffix":""},{"dropping-particle":"","family":"Shalem","given":"Ophir","non-dropping-particle":"","parse-names":false,"suffix":""},{"dropping-particle":"","family":"Cradick","given":"Thomas J.","non-dropping-particle":"","parse-names":false,"suffix":""},{"dropping-particle":"","family":"Marraffini","given":"Luciano A.","non-dropping-particle":"","parse-names":false,"suffix":""},{"dropping-particle":"","family":"Bao","given":"Gang","non-dropping-particle":"","parse-names":false,"suffix":""},{"dropping-particle":"","family":"Zhang","given":"Feng","non-dropping-particle":"","parse-names":false,"suffix":""}],"container-title":"Nature Biotechnology","id":"ITEM-1","issued":{"date-parts":[["2013"]]},"title":"DNA targeting specificity of RNA-guided Cas9 nucleases","type":"article-journal"},"uris":["http://www.mendeley.com/documents/?uuid=caa5fa81-2ea9-42d0-97c6-99ed61e0ca70"]}],"mendeley":{"formattedCitation":"(22)","plainTextFormattedCitation":"(22)","previouslyFormattedCitation":"(23)"},"properties":{"noteIndex":0},"schema":"https://github.com/citation-style-language/schema/raw/master/csl-citation.json"}</w:instrText>
      </w:r>
      <w:r w:rsidR="00DE4C60" w:rsidRPr="007A7F2B">
        <w:fldChar w:fldCharType="separate"/>
      </w:r>
      <w:r w:rsidR="002E5DD7" w:rsidRPr="002E5DD7">
        <w:rPr>
          <w:noProof/>
        </w:rPr>
        <w:t>(22)</w:t>
      </w:r>
      <w:r w:rsidR="00DE4C60" w:rsidRPr="007A7F2B">
        <w:fldChar w:fldCharType="end"/>
      </w:r>
      <w:r w:rsidR="00DE4C60" w:rsidRPr="007A7F2B">
        <w:t xml:space="preserve"> and </w:t>
      </w:r>
      <w:proofErr w:type="spellStart"/>
      <w:r w:rsidR="00DE4C60" w:rsidRPr="007A7F2B">
        <w:t>Pattanayak</w:t>
      </w:r>
      <w:proofErr w:type="spellEnd"/>
      <w:r w:rsidR="00DE4C60" w:rsidRPr="007A7F2B">
        <w:t xml:space="preserve"> </w:t>
      </w:r>
      <w:r w:rsidR="00DE4C60" w:rsidRPr="007A7F2B">
        <w:fldChar w:fldCharType="begin" w:fldLock="1"/>
      </w:r>
      <w:r w:rsidR="002E5DD7">
        <w:instrText>ADDIN CSL_CITATION {"citationItems":[{"id":"ITEM-1","itemData":{"DOI":"10.1038/nbt.2673","ISSN":"10870156","abstract":"The RNA-programmable Cas9 endonuclease cleaves double-stranded DNA at sites complementary to a 20-base-pair guide RNA. The Cas9 system has been used to modify genomes in multiple cells and organisms, demonstrating its potential as a facile genome-engineering tool. We used in vitro selection and high-throughput sequencing to determine the propensity of eight guide-RNA:Cas9 complexes to cleave each of 10 12 potential off-target DNA sequences. The selection results predicted five off-target sites in the human genome that were confirmed to undergo genome cleavage in HEK293T cells upon expressio n of one of two guide-RNA:Cas9 complexes. In contrast to previous models, our results show that guide-RNA:Cas9 specificity extends past a 7-to 12-base-pair seed sequence. Our results also suggest a tradeoff between activity and specificity both in vitro and in cells as a shorter, less-active guide RNA is more specific than a longer, more-active guide RNA. High concentrations of guide-RNA:Cas9 complexes can cleave off-target sites containing mutations near or within the PAM that are not cleaved when enzyme concentrations are limiting. © 2013 Nature America, Inc.","author":[{"dropping-particle":"","family":"Pattanayak","given":"Vikram","non-dropping-particle":"","parse-names":false,"suffix":""},{"dropping-particle":"","family":"Lin","given":"Steven","non-dropping-particle":"","parse-names":false,"suffix":""},{"dropping-particle":"","family":"Guilinger","given":"John P.","non-dropping-particle":"","parse-names":false,"suffix":""},{"dropping-particle":"","family":"Ma","given":"Enbo","non-dropping-particle":"","parse-names":false,"suffix":""},{"dropping-particle":"","family":"Doudna","given":"Jennifer A.","non-dropping-particle":"","parse-names":false,"suffix":""},{"dropping-particle":"","family":"Liu","given":"David R.","non-dropping-particle":"","parse-names":false,"suffix":""}],"container-title":"Nature Biotechnology","id":"ITEM-1","issued":{"date-parts":[["2013"]]},"title":"High-throughput profiling of off-target DNA cleavage reveals RNA-programmed Cas9 nuclease specificity","type":"article-journal"},"uris":["http://www.mendeley.com/documents/?uuid=8ebb8e8e-6623-4253-bca8-f3eca4d74fb6"]}],"mendeley":{"formattedCitation":"(24)","plainTextFormattedCitation":"(24)","previouslyFormattedCitation":"(25)"},"properties":{"noteIndex":0},"schema":"https://github.com/citation-style-language/schema/raw/master/csl-citation.json"}</w:instrText>
      </w:r>
      <w:r w:rsidR="00DE4C60" w:rsidRPr="007A7F2B">
        <w:fldChar w:fldCharType="separate"/>
      </w:r>
      <w:r w:rsidR="002E5DD7" w:rsidRPr="002E5DD7">
        <w:rPr>
          <w:noProof/>
        </w:rPr>
        <w:t>(24)</w:t>
      </w:r>
      <w:r w:rsidR="00DE4C60" w:rsidRPr="007A7F2B">
        <w:fldChar w:fldCharType="end"/>
      </w:r>
      <w:r w:rsidR="00DE4C60" w:rsidRPr="007A7F2B">
        <w:t xml:space="preserve"> also showed that mismatches appear to be better tolerated at high concentrations of Cas9.</w:t>
      </w:r>
      <w:r w:rsidR="00DC5E68" w:rsidRPr="007A7F2B">
        <w:t xml:space="preserve"> </w:t>
      </w:r>
      <w:r w:rsidR="00EA66B2" w:rsidRPr="007A7F2B">
        <w:t xml:space="preserve">On top of that, </w:t>
      </w:r>
      <w:r w:rsidR="00DC5E68" w:rsidRPr="007A7F2B">
        <w:t xml:space="preserve">Wu et al. </w:t>
      </w:r>
      <w:r w:rsidR="00DE4C60" w:rsidRPr="007A7F2B">
        <w:fldChar w:fldCharType="begin" w:fldLock="1"/>
      </w:r>
      <w:r w:rsidR="002E5DD7">
        <w:instrText>ADDIN CSL_CITATION {"citationItems":[{"id":"ITEM-1","itemData":{"DOI":"10.1038/nbt.2889","ISSN":"15461696","abstract":"Bacterial type II CRISPR-Cas9 systems have been widely adapted for RNA-guided genome editing and transcription regulation in eukaryotic cells, yet their in vivo target specificity is poorly understood. Here we mapped genome-wide binding sites of a catalytically inactive Cas9 (dCas9) from Streptococcus pyogenes loaded with single guide RNAs (sgRNAs) in mouse embryonic stem cells (mESCs). Each of the four sgRNAs we tested targets dCas9 to between tens and thousands of genomic sites, frequently characterized by a 5-nucleotide seed region in the sgRNA and an NGG protospacer adjacent motif (PAM). Chromatin inaccessibility decreases dCas9 binding to other sites with matching seed sequences; thus 70% of off-target sites are associated with genes. Targeted sequencing of 295 dCas9 binding sites in mESCs transfected with catalytically active Cas9 identified only one site mutated above background levels. We propose a two-state model for Cas9 binding and cleavage, in which a seed match triggers binding but extensive pairing with target DNA is required for cleavage.","author":[{"dropping-particle":"","family":"Wu","given":"Xuebing","non-dropping-particle":"","parse-names":false,"suffix":""},{"dropping-particle":"","family":"Scott","given":"David A.","non-dropping-particle":"","parse-names":false,"suffix":""},{"dropping-particle":"","family":"Kriz","given":"Andrea J.","non-dropping-particle":"","parse-names":false,"suffix":""},{"dropping-particle":"","family":"Chiu","given":"Anthony C.","non-dropping-particle":"","parse-names":false,"suffix":""},{"dropping-particle":"","family":"Hsu","given":"Patrick D.","non-dropping-particle":"","parse-names":false,"suffix":""},{"dropping-particle":"","family":"Dadon","given":"Daniel B.","non-dropping-particle":"","parse-names":false,"suffix":""},{"dropping-particle":"","family":"Cheng","given":"Albert W.","non-dropping-particle":"","parse-names":false,"suffix":""},{"dropping-particle":"","family":"Trevino","given":"Alexandro E.","non-dropping-particle":"","parse-names":false,"suffix":""},{"dropping-particle":"","family":"Konermann","given":"Silvana","non-dropping-particle":"","parse-names":false,"suffix":""},{"dropping-particle":"","family":"Chen","given":"Sidi","non-dropping-particle":"","parse-names":false,"suffix":""},{"dropping-particle":"","family":"Jaenisch","given":"Rudolf","non-dropping-particle":"","parse-names":false,"suffix":""},{"dropping-particle":"","family":"Zhang","given":"Feng","non-dropping-particle":"","parse-names":false,"suffix":""},{"dropping-particle":"","family":"Sharp","given":"Phillip A.","non-dropping-particle":"","parse-names":false,"suffix":""}],"container-title":"Nature Biotechnology","id":"ITEM-1","issued":{"date-parts":[["2014"]]},"title":"Genome-wide binding of the CRISPR endonuclease Cas9 in mammalian cells","type":"article-journal"},"uris":["http://www.mendeley.com/documents/?uuid=841a3409-3b80-47ae-a088-7e805cd6b472"]}],"mendeley":{"formattedCitation":"(27)","plainTextFormattedCitation":"(27)","previouslyFormattedCitation":"(28)"},"properties":{"noteIndex":0},"schema":"https://github.com/citation-style-language/schema/raw/master/csl-citation.json"}</w:instrText>
      </w:r>
      <w:r w:rsidR="00DE4C60" w:rsidRPr="007A7F2B">
        <w:fldChar w:fldCharType="separate"/>
      </w:r>
      <w:r w:rsidR="002E5DD7" w:rsidRPr="002E5DD7">
        <w:rPr>
          <w:noProof/>
        </w:rPr>
        <w:t>(27)</w:t>
      </w:r>
      <w:r w:rsidR="00DE4C60" w:rsidRPr="007A7F2B">
        <w:fldChar w:fldCharType="end"/>
      </w:r>
      <w:r w:rsidR="00DE4C60" w:rsidRPr="007A7F2B">
        <w:t xml:space="preserve"> </w:t>
      </w:r>
      <w:r w:rsidR="00DC5E68" w:rsidRPr="007A7F2B">
        <w:t xml:space="preserve">showed that Cas9 has indeed many off-target binding sites, but would only cleave a small fraction of them. </w:t>
      </w:r>
    </w:p>
    <w:p w14:paraId="1AE8737B" w14:textId="3334785C" w:rsidR="00C52DF1" w:rsidRPr="007A7F2B" w:rsidRDefault="00377C9C" w:rsidP="002C0C44">
      <w:r w:rsidRPr="007A7F2B">
        <w:t>From these experiments people have tried to come up with empirical rules</w:t>
      </w:r>
      <w:r w:rsidR="00563270" w:rsidRPr="007A7F2B">
        <w:t xml:space="preserve"> and models</w:t>
      </w:r>
      <w:r w:rsidRPr="007A7F2B">
        <w:t xml:space="preserve"> to predict off-targets</w:t>
      </w:r>
      <w:r w:rsidR="00563270" w:rsidRPr="007A7F2B">
        <w:t xml:space="preserve">, using different approaches. Several bioinformatics models have been produced to try and evaluate the potential off-target sites. For example, the model from Hsu et al. </w:t>
      </w:r>
      <w:r w:rsidR="00563270" w:rsidRPr="007A7F2B">
        <w:fldChar w:fldCharType="begin" w:fldLock="1"/>
      </w:r>
      <w:r w:rsidR="002E5DD7">
        <w:instrText>ADDIN CSL_CITATION {"citationItems":[{"id":"ITEM-1","itemData":{"DOI":"10.1038/nbt.2647","ISSN":"10870156","abstract":"The Streptococcus pyogenes Cas9 (SpCas9) nuclease can be efficiently targeted to genomic loci by means of single-guide RNAs (sgRNAs) to enable genome editing. Here, we characterize SpCas9 targeting specificity in human cells to inform the selection of target sites and avoid off-target effects. Our study evaluates &gt;700 guide RNA variants and SpCas9-induced indel mutation levels at &gt;100 predicted genomic off-target loci in 293T and 293FT cells. We find that SpCas9 tolerates mismatches between guide RNA and target DNA at different positions in a sequence-dependent manner, sensitive to the number, position and distribution of mismatches. We also show that SpCas9-mediated cleavage is unaffected by DNA methylation and that the dosage of SpCas9 and sgRNA can be titrated to minimize off-target modification. To facilitate mammalian genome engineering applications, we provide a web-based software tool to guide the selection and validation of target sequences as well as off-target analyses.","author":[{"dropping-particle":"","family":"Hsu","given":"Patrick D.","non-dropping-particle":"","parse-names":false,"suffix":""},{"dropping-particle":"","family":"Scott","given":"David A.","non-dropping-particle":"","parse-names":false,"suffix":""},{"dropping-particle":"","family":"Weinstein","given":"Joshua A.","non-dropping-particle":"","parse-names":false,"suffix":""},{"dropping-particle":"","family":"Ran","given":"F. Ann","non-dropping-particle":"","parse-names":false,"suffix":""},{"dropping-particle":"","family":"Konermann","given":"Silvana","non-dropping-particle":"","parse-names":false,"suffix":""},{"dropping-particle":"","family":"Agarwala","given":"Vineeta","non-dropping-particle":"","parse-names":false,"suffix":""},{"dropping-particle":"","family":"Li","given":"Yinqing","non-dropping-particle":"","parse-names":false,"suffix":""},{"dropping-particle":"","family":"Fine","given":"Eli J.","non-dropping-particle":"","parse-names":false,"suffix":""},{"dropping-particle":"","family":"Wu","given":"Xuebing","non-dropping-particle":"","parse-names":false,"suffix":""},{"dropping-particle":"","family":"Shalem","given":"Ophir","non-dropping-particle":"","parse-names":false,"suffix":""},{"dropping-particle":"","family":"Cradick","given":"Thomas J.","non-dropping-particle":"","parse-names":false,"suffix":""},{"dropping-particle":"","family":"Marraffini","given":"Luciano A.","non-dropping-particle":"","parse-names":false,"suffix":""},{"dropping-particle":"","family":"Bao","given":"Gang","non-dropping-particle":"","parse-names":false,"suffix":""},{"dropping-particle":"","family":"Zhang","given":"Feng","non-dropping-particle":"","parse-names":false,"suffix":""}],"container-title":"Nature Biotechnology","id":"ITEM-1","issued":{"date-parts":[["2013"]]},"title":"DNA targeting specificity of RNA-guided Cas9 nucleases","type":"article-journal"},"uris":["http://www.mendeley.com/documents/?uuid=caa5fa81-2ea9-42d0-97c6-99ed61e0ca70"]}],"mendeley":{"formattedCitation":"(22)","plainTextFormattedCitation":"(22)","previouslyFormattedCitation":"(23)"},"properties":{"noteIndex":0},"schema":"https://github.com/citation-style-language/schema/raw/master/csl-citation.json"}</w:instrText>
      </w:r>
      <w:r w:rsidR="00563270" w:rsidRPr="007A7F2B">
        <w:fldChar w:fldCharType="separate"/>
      </w:r>
      <w:r w:rsidR="002E5DD7" w:rsidRPr="002E5DD7">
        <w:rPr>
          <w:noProof/>
        </w:rPr>
        <w:t>(22)</w:t>
      </w:r>
      <w:r w:rsidR="00563270" w:rsidRPr="007A7F2B">
        <w:fldChar w:fldCharType="end"/>
      </w:r>
      <w:r w:rsidR="00563270" w:rsidRPr="007A7F2B">
        <w:t xml:space="preserve"> and a model from</w:t>
      </w:r>
      <w:r w:rsidR="00192D71" w:rsidRPr="007A7F2B">
        <w:t xml:space="preserve"> Stemmer et al. </w:t>
      </w:r>
      <w:r w:rsidR="00192D71" w:rsidRPr="007A7F2B">
        <w:fldChar w:fldCharType="begin" w:fldLock="1"/>
      </w:r>
      <w:r w:rsidR="002E5DD7">
        <w:instrText>ADDIN CSL_CITATION {"citationItems":[{"id":"ITEM-1","itemData":{"DOI":"10.1371/journal.pone.0124633","ISSN":"1932-6203","PMID":"25909470","abstract":"Engineering of the CRISPR/Cas9 system has opened a plethora of new opportunities for site-directed mutagenesis and targeted genome modification. Fundamental to this is a stretch of twenty nucleotides at the 5' end of a guide RNA that provides specificity to the bound Cas9 endonuclease. Since a sequence of twenty nucleotides can occur multiple times in a given genome and some mismatches seem to be accepted by the CRISPR/Cas9 complex, an efficient and reliable in silico selection and evaluation of the targeting site is key prerequisite for the experimental success. Here we present the CRISPR/Cas9 target online predictor (CCTop, http://crispr.cos.uni-heidelberg.de) to overcome limitations of already available tools. CCTop provides an intuitive user interface with reasonable default parameters that can easily be tuned by the user. From a given query sequence, CCTop identifies and ranks all candidate sgRNA target sites according to their off-target quality and displays full documentation. CCTop was experimentally validated for gene inactivation, non-homologous end-joining as well as homology directed repair. Thus, CCTop provides the bench biologist with a tool for the rapid and efficient identification of high quality target sites.","author":[{"dropping-particle":"","family":"Stemmer","given":"Manuel","non-dropping-particle":"","parse-names":false,"suffix":""},{"dropping-particle":"","family":"Thumberger","given":"Thomas","non-dropping-particle":"","parse-names":false,"suffix":""},{"dropping-particle":"","family":"Sol Keyer","given":"Maria","non-dropping-particle":"Del","parse-names":false,"suffix":""},{"dropping-particle":"","family":"Wittbrodt","given":"Joachim","non-dropping-particle":"","parse-names":false,"suffix":""},{"dropping-particle":"","family":"Mateo","given":"Juan L","non-dropping-particle":"","parse-names":false,"suffix":""}],"container-title":"PloS one","id":"ITEM-1","issued":{"date-parts":[["2015"]]},"title":"CCTop: An Intuitive, Flexible and Reliable CRISPR/Cas9 Target Prediction Tool.","type":"article-journal"},"uris":["http://www.mendeley.com/documents/?uuid=95d175f5-dbec-4be9-8ba9-876622fcb65c"]}],"mendeley":{"formattedCitation":"(28)","plainTextFormattedCitation":"(28)","previouslyFormattedCitation":"(29)"},"properties":{"noteIndex":0},"schema":"https://github.com/citation-style-language/schema/raw/master/csl-citation.json"}</w:instrText>
      </w:r>
      <w:r w:rsidR="00192D71" w:rsidRPr="007A7F2B">
        <w:fldChar w:fldCharType="separate"/>
      </w:r>
      <w:r w:rsidR="002E5DD7" w:rsidRPr="002E5DD7">
        <w:rPr>
          <w:noProof/>
        </w:rPr>
        <w:t>(28)</w:t>
      </w:r>
      <w:r w:rsidR="00192D71" w:rsidRPr="007A7F2B">
        <w:fldChar w:fldCharType="end"/>
      </w:r>
      <w:r w:rsidR="00192D71" w:rsidRPr="007A7F2B">
        <w:t xml:space="preserve">, use empirically determined scoring </w:t>
      </w:r>
      <w:r w:rsidR="00E27D46" w:rsidRPr="007A7F2B">
        <w:t>algorithms</w:t>
      </w:r>
      <w:r w:rsidR="00192D71" w:rsidRPr="007A7F2B">
        <w:t xml:space="preserve"> to quantify off-target cleavage. </w:t>
      </w:r>
      <w:proofErr w:type="spellStart"/>
      <w:r w:rsidR="00192D71" w:rsidRPr="007A7F2B">
        <w:t>Doench</w:t>
      </w:r>
      <w:proofErr w:type="spellEnd"/>
      <w:r w:rsidR="00192D71" w:rsidRPr="007A7F2B">
        <w:t xml:space="preserve"> et al. </w:t>
      </w:r>
      <w:r w:rsidR="00E27D46" w:rsidRPr="007A7F2B">
        <w:fldChar w:fldCharType="begin" w:fldLock="1"/>
      </w:r>
      <w:r w:rsidR="002E5DD7">
        <w:instrText>ADDIN CSL_CITATION {"citationItems":[{"id":"ITEM-1","itemData":{"DOI":"10.1038/nbt.3437","ISSN":"1546-1696","PMID":"26780180","abstract":"CRISPR-Cas9-based genetic screens are a powerful new tool in biology. By simply altering the sequence of the single-guide RNA (sgRNA), one can reprogram Cas9 to target different sites in the genome with relative ease, but the on-target activity and off-target effects of individual sgRNAs can vary widely. Here, we use recently devised sgRNA design rules to create human and mouse genome-wide libraries, perform positive and negative selection screens and observe that the use of these rules produced improved results. Additionally, we profile the off-target activity of thousands of sgRNAs and develop a metric to predict off-target sites. We incorporate these findings from large-scale, empirical data to improve our computational design rules and create optimized sgRNA libraries that maximize on-target activity and minimize off-target effects to enable more effective and efficient genetic screens and genome engineering.","author":[{"dropping-particle":"","family":"Doench","given":"John G","non-dropping-particle":"","parse-names":false,"suffix":""},{"dropping-particle":"","family":"Fusi","given":"Nicolo","non-dropping-particle":"","parse-names":false,"suffix":""},{"dropping-particle":"","family":"Sullender","given":"Meagan","non-dropping-particle":"","parse-names":false,"suffix":""},{"dropping-particle":"","family":"Hegde","given":"Mudra","non-dropping-particle":"","parse-names":false,"suffix":""},{"dropping-particle":"","family":"Vaimberg","given":"Emma W","non-dropping-particle":"","parse-names":false,"suffix":""},{"dropping-particle":"","family":"Donovan","given":"Katherine F","non-dropping-particle":"","parse-names":false,"suffix":""},{"dropping-particle":"","family":"Smith","given":"Ian","non-dropping-particle":"","parse-names":false,"suffix":""},{"dropping-particle":"","family":"Tothova","given":"Zuzana","non-dropping-particle":"","parse-names":false,"suffix":""},{"dropping-particle":"","family":"Wilen","given":"Craig","non-dropping-particle":"","parse-names":false,"suffix":""},{"dropping-particle":"","family":"Orchard","given":"Robert","non-dropping-particle":"","parse-names":false,"suffix":""},{"dropping-particle":"","family":"Virgin","given":"Herbert W","non-dropping-particle":"","parse-names":false,"suffix":""},{"dropping-particle":"","family":"Listgarten","given":"Jennifer","non-dropping-particle":"","parse-names":false,"suffix":""},{"dropping-particle":"","family":"Root","given":"David E","non-dropping-particle":"","parse-names":false,"suffix":""}],"container-title":"Nature biotechnology","id":"ITEM-1","issued":{"date-parts":[["2016"]]},"title":"Optimized sgRNA design to maximize activity and minimize off-target effects of CRISPR-Cas9.","type":"article-journal"},"uris":["http://www.mendeley.com/documents/?uuid=a7fbf2c8-35e6-466f-880a-dde51c4a074d"]}],"mendeley":{"formattedCitation":"(29)","plainTextFormattedCitation":"(29)","previouslyFormattedCitation":"(30)"},"properties":{"noteIndex":0},"schema":"https://github.com/citation-style-language/schema/raw/master/csl-citation.json"}</w:instrText>
      </w:r>
      <w:r w:rsidR="00E27D46" w:rsidRPr="007A7F2B">
        <w:fldChar w:fldCharType="separate"/>
      </w:r>
      <w:r w:rsidR="002E5DD7" w:rsidRPr="002E5DD7">
        <w:rPr>
          <w:noProof/>
        </w:rPr>
        <w:t>(29)</w:t>
      </w:r>
      <w:r w:rsidR="00E27D46" w:rsidRPr="007A7F2B">
        <w:fldChar w:fldCharType="end"/>
      </w:r>
      <w:r w:rsidR="00192D71" w:rsidRPr="007A7F2B">
        <w:t xml:space="preserve"> proposed the cutting frequency determination (CFD) score to calculate the off-target potential of sgRNA-DNA interactions</w:t>
      </w:r>
      <w:r w:rsidRPr="007A7F2B">
        <w:t>.</w:t>
      </w:r>
      <w:r w:rsidR="00192D71" w:rsidRPr="007A7F2B">
        <w:t xml:space="preserve"> </w:t>
      </w:r>
      <w:r w:rsidR="00277EDA" w:rsidRPr="007A7F2B">
        <w:t xml:space="preserve">Moreover, </w:t>
      </w:r>
      <w:r w:rsidR="00E27D46" w:rsidRPr="007A7F2B">
        <w:t xml:space="preserve">Singh et al. </w:t>
      </w:r>
      <w:r w:rsidR="00E27D46" w:rsidRPr="007A7F2B">
        <w:fldChar w:fldCharType="begin" w:fldLock="1"/>
      </w:r>
      <w:r w:rsidR="002E5DD7">
        <w:instrText>ADDIN CSL_CITATION {"citationItems":[{"id":"ITEM-1","itemData":{"DOI":"10.1093/nar/gkv575","ISSN":"13624962","abstract":"The CRISPR system has become a powerful biological tool with a wide range of applications. However, improving targeting specificity and accurately predicting potential off-targets remains a significant goal. Here, we introduce a web-based CR: ISPR/Cas9 O: ff-target P: rediction and I: dentification T: ool (CROP-IT) that performs improved off-target binding and cleavage site predictions. Unlike existing prediction programs that solely use DNA sequence information; CROP-IT integrates whole genome level biological information from existing Cas9 binding and cleavage data sets. Utilizing whole-genome chromatin state information from 125 human cell types further enhances its computational prediction power. Comparative analyses on experimentally validated datasets show that CROP-IT outperforms existing computational algorithms in predicting both Cas9 binding as well as cleavage sites. With a user-friendly web-interface, CROP-IT outputs scored and ranked list of potential off-targets that enables improved guide RNA design and more accurate prediction of Cas9 binding or cleavage sites.","author":[{"dropping-particle":"","family":"Singh","given":"Ritambhara","non-dropping-particle":"","parse-names":false,"suffix":""},{"dropping-particle":"","family":"Kuscu","given":"Cem","non-dropping-particle":"","parse-names":false,"suffix":""},{"dropping-particle":"","family":"Quinlan","given":"Aaron","non-dropping-particle":"","parse-names":false,"suffix":""},{"dropping-particle":"","family":"Qi","given":"Yanjun","non-dropping-particle":"","parse-names":false,"suffix":""},{"dropping-particle":"","family":"Adli","given":"Mazhar","non-dropping-particle":"","parse-names":false,"suffix":""}],"container-title":"Nucleic Acids Research","id":"ITEM-1","issued":{"date-parts":[["2015"]]},"title":"Cas9-chromatin binding information enables more accurate CRISPR off-target prediction","type":"article-journal"},"uris":["http://www.mendeley.com/documents/?uuid=f20b8803-3892-4712-a1ce-a82f75c84ff7"]}],"mendeley":{"formattedCitation":"(30)","plainTextFormattedCitation":"(30)","previouslyFormattedCitation":"(31)"},"properties":{"noteIndex":0},"schema":"https://github.com/citation-style-language/schema/raw/master/csl-citation.json"}</w:instrText>
      </w:r>
      <w:r w:rsidR="00E27D46" w:rsidRPr="007A7F2B">
        <w:fldChar w:fldCharType="separate"/>
      </w:r>
      <w:r w:rsidR="002E5DD7" w:rsidRPr="002E5DD7">
        <w:rPr>
          <w:noProof/>
        </w:rPr>
        <w:t>(30)</w:t>
      </w:r>
      <w:r w:rsidR="00E27D46" w:rsidRPr="007A7F2B">
        <w:fldChar w:fldCharType="end"/>
      </w:r>
      <w:r w:rsidR="00E27D46" w:rsidRPr="007A7F2B">
        <w:t>, build a model that solely uses DNA sequence information and trained their algorithm on experimentally validated data sets.</w:t>
      </w:r>
      <w:r w:rsidR="00D52256" w:rsidRPr="007A7F2B">
        <w:t xml:space="preserve"> </w:t>
      </w:r>
      <w:r w:rsidR="00277EDA" w:rsidRPr="007A7F2B">
        <w:t>Also more physical approaches exist. I</w:t>
      </w:r>
      <w:r w:rsidR="001F38DC" w:rsidRPr="007A7F2B">
        <w:t>n a recently published paper,</w:t>
      </w:r>
      <w:r w:rsidR="00D52256" w:rsidRPr="007A7F2B">
        <w:t xml:space="preserve"> Zhang et al. </w:t>
      </w:r>
      <w:r w:rsidR="00D52256" w:rsidRPr="007A7F2B">
        <w:fldChar w:fldCharType="begin" w:fldLock="1"/>
      </w:r>
      <w:r w:rsidR="002E5DD7">
        <w:instrText>ADDIN CSL_CITATION {"citationItems":[{"id":"ITEM-1","itemData":{"DOI":"10.1073/pnas.1820523116","ISSN":"0027-8424","abstract":"While CRISPR/Cas9 is a powerful tool in genome engineering, the on-target activity and off-target effects of the system widely vary because of the differences in guide RNA (gRNA) sequences and genomic environments. Traditional approaches rely on separate models and parameters to treat on- and off-target cleavage activities. Here, we demonstrate that a free-energy scheme dominates the Cas9 editing efficacy and delineate a method that simultaneously considers on-target activities and off-target effects. While data-driven machine-learning approaches learn rules to model particular datasets, they may not be as transferrable to new systems or capable of producing new mechanistic insights as principled physical approaches. By integrating the energetics of R-loop formation under Cas9 binding, the effect of the protospacer adjacent motif sequence, and the folding stability of the whole single guide RNA, we devised a unified, physical model that can apply to any cleavage-activity dataset. This unified framework improves predictions for both on-target activities and off-target efficiencies of spCas9 and may be readily transferred to other systems with different guide RNAs or Cas9 ortholog proteins.","author":[{"dropping-particle":"","family":"Zhang","given":"Dong","non-dropping-particle":"","parse-names":false,"suffix":""},{"dropping-particle":"","family":"Hurst","given":"Travis","non-dropping-particle":"","parse-names":false,"suffix":""},{"dropping-particle":"","family":"Duan","given":"Dongsheng","non-dropping-particle":"","parse-names":false,"suffix":""},{"dropping-particle":"","family":"Chen","given":"Shi-Jie","non-dropping-particle":"","parse-names":false,"suffix":""}],"container-title":"Proceedings of the National Academy of Sciences","id":"ITEM-1","issue":"18","issued":{"date-parts":[["2019"]]},"page":"201820523","title":"Unified energetics analysis unravels SpCas9 cleavage activity for optimal gRNA design","type":"article-journal","volume":"116"},"uris":["http://www.mendeley.com/documents/?uuid=074de4bf-ee48-4080-a231-e836f2061f08"]}],"mendeley":{"formattedCitation":"(31)","plainTextFormattedCitation":"(31)","previouslyFormattedCitation":"(32)"},"properties":{"noteIndex":0},"schema":"https://github.com/citation-style-language/schema/raw/master/csl-citation.json"}</w:instrText>
      </w:r>
      <w:r w:rsidR="00D52256" w:rsidRPr="007A7F2B">
        <w:fldChar w:fldCharType="separate"/>
      </w:r>
      <w:r w:rsidR="002E5DD7" w:rsidRPr="002E5DD7">
        <w:rPr>
          <w:noProof/>
        </w:rPr>
        <w:t>(31)</w:t>
      </w:r>
      <w:r w:rsidR="00D52256" w:rsidRPr="007A7F2B">
        <w:fldChar w:fldCharType="end"/>
      </w:r>
      <w:r w:rsidR="00D52256" w:rsidRPr="007A7F2B">
        <w:t xml:space="preserve"> </w:t>
      </w:r>
      <w:r w:rsidR="001F38DC" w:rsidRPr="007A7F2B">
        <w:t xml:space="preserve">show their </w:t>
      </w:r>
      <w:r w:rsidR="00D52256" w:rsidRPr="007A7F2B">
        <w:t>model based on the free-energy scheme of Cas9,</w:t>
      </w:r>
      <w:r w:rsidR="001F38DC" w:rsidRPr="007A7F2B">
        <w:t xml:space="preserve"> of which they </w:t>
      </w:r>
      <w:r w:rsidR="00D52256" w:rsidRPr="007A7F2B">
        <w:t xml:space="preserve">hope that </w:t>
      </w:r>
      <w:r w:rsidR="001F38DC" w:rsidRPr="007A7F2B">
        <w:t xml:space="preserve">it </w:t>
      </w:r>
      <w:r w:rsidR="00D52256" w:rsidRPr="007A7F2B">
        <w:t xml:space="preserve">will be transferable to other </w:t>
      </w:r>
      <w:r w:rsidR="001F38DC" w:rsidRPr="007A7F2B">
        <w:t xml:space="preserve">Cas </w:t>
      </w:r>
      <w:r w:rsidR="00C36AAB">
        <w:t>proteins</w:t>
      </w:r>
      <w:r w:rsidR="00D52256" w:rsidRPr="007A7F2B">
        <w:t xml:space="preserve"> as well</w:t>
      </w:r>
      <w:r w:rsidR="001F38DC" w:rsidRPr="007A7F2B">
        <w:t>, since it is based on solely physics</w:t>
      </w:r>
      <w:r w:rsidR="00D52256" w:rsidRPr="007A7F2B">
        <w:t>.</w:t>
      </w:r>
      <w:r w:rsidR="00E27D46" w:rsidRPr="007A7F2B">
        <w:t xml:space="preserve"> </w:t>
      </w:r>
      <w:r w:rsidRPr="007A7F2B">
        <w:t xml:space="preserve">So far, no generally accepted model exists. </w:t>
      </w:r>
    </w:p>
    <w:p w14:paraId="468E856C" w14:textId="5020E3EA" w:rsidR="00F84523" w:rsidRPr="007A7F2B" w:rsidRDefault="00D52256" w:rsidP="00F84523">
      <w:pPr>
        <w:spacing w:after="0"/>
      </w:pPr>
      <w:r w:rsidRPr="007A7F2B">
        <w:t>Building a model for CRISPR-Cas</w:t>
      </w:r>
      <w:r w:rsidR="00377C9C" w:rsidRPr="007A7F2B">
        <w:t xml:space="preserve"> is what the group of Martin </w:t>
      </w:r>
      <w:proofErr w:type="spellStart"/>
      <w:r w:rsidR="00377C9C" w:rsidRPr="007A7F2B">
        <w:t>Depken</w:t>
      </w:r>
      <w:proofErr w:type="spellEnd"/>
      <w:r w:rsidR="00377C9C" w:rsidRPr="007A7F2B">
        <w:t xml:space="preserve"> at TU Delft is trying to do as well. We are building a kinetic model</w:t>
      </w:r>
      <w:r w:rsidR="00F84523" w:rsidRPr="007A7F2B">
        <w:t xml:space="preserve">, based on the amount of free energy, </w:t>
      </w:r>
      <w:r w:rsidR="00377C9C" w:rsidRPr="007A7F2B">
        <w:t xml:space="preserve">in </w:t>
      </w:r>
      <w:r w:rsidR="007A7F2B">
        <w:t>the</w:t>
      </w:r>
      <w:r w:rsidR="00377C9C" w:rsidRPr="007A7F2B">
        <w:t xml:space="preserve"> hope to be able to predict the probability of binding to an off-target sequence.</w:t>
      </w:r>
      <w:r w:rsidRPr="007A7F2B">
        <w:t xml:space="preserve"> </w:t>
      </w:r>
      <w:r w:rsidRPr="007A7F2B">
        <w:rPr>
          <w:highlight w:val="yellow"/>
        </w:rPr>
        <w:t xml:space="preserve">This approach is in some ways similar to the approach of Zhang et al. </w:t>
      </w:r>
      <w:r w:rsidRPr="007A7F2B">
        <w:rPr>
          <w:highlight w:val="yellow"/>
        </w:rPr>
        <w:fldChar w:fldCharType="begin" w:fldLock="1"/>
      </w:r>
      <w:r w:rsidR="002E5DD7">
        <w:rPr>
          <w:highlight w:val="yellow"/>
        </w:rPr>
        <w:instrText>ADDIN CSL_CITATION {"citationItems":[{"id":"ITEM-1","itemData":{"DOI":"10.1073/pnas.1820523116","ISSN":"0027-8424","abstract":"While CRISPR/Cas9 is a powerful tool in genome engineering, the on-target activity and off-target effects of the system widely vary because of the differences in guide RNA (gRNA) sequences and genomic environments. Traditional approaches rely on separate models and parameters to treat on- and off-target cleavage activities. Here, we demonstrate that a free-energy scheme dominates the Cas9 editing efficacy and delineate a method that simultaneously considers on-target activities and off-target effects. While data-driven machine-learning approaches learn rules to model particular datasets, they may not be as transferrable to new systems or capable of producing new mechanistic insights as principled physical approaches. By integrating the energetics of R-loop formation under Cas9 binding, the effect of the protospacer adjacent motif sequence, and the folding stability of the whole single guide RNA, we devised a unified, physical model that can apply to any cleavage-activity dataset. This unified framework improves predictions for both on-target activities and off-target efficiencies of spCas9 and may be readily transferred to other systems with different guide RNAs or Cas9 ortholog proteins.","author":[{"dropping-particle":"","family":"Zhang","given":"Dong","non-dropping-particle":"","parse-names":false,"suffix":""},{"dropping-particle":"","family":"Hurst","given":"Travis","non-dropping-particle":"","parse-names":false,"suffix":""},{"dropping-particle":"","family":"Duan","given":"Dongsheng","non-dropping-particle":"","parse-names":false,"suffix":""},{"dropping-particle":"","family":"Chen","given":"Shi-Jie","non-dropping-particle":"","parse-names":false,"suffix":""}],"container-title":"Proceedings of the National Academy of Sciences","id":"ITEM-1","issue":"18","issued":{"date-parts":[["2019"]]},"page":"201820523","title":"Unified energetics analysis unravels SpCas9 cleavage activity for optimal gRNA design","type":"article-journal","volume":"116"},"uris":["http://www.mendeley.com/documents/?uuid=074de4bf-ee48-4080-a231-e836f2061f08"]}],"mendeley":{"formattedCitation":"(31)","plainTextFormattedCitation":"(31)","previouslyFormattedCitation":"(32)"},"properties":{"noteIndex":0},"schema":"https://github.com/citation-style-language/schema/raw/master/csl-citation.json"}</w:instrText>
      </w:r>
      <w:r w:rsidRPr="007A7F2B">
        <w:rPr>
          <w:highlight w:val="yellow"/>
        </w:rPr>
        <w:fldChar w:fldCharType="separate"/>
      </w:r>
      <w:r w:rsidR="002E5DD7" w:rsidRPr="002E5DD7">
        <w:rPr>
          <w:noProof/>
          <w:highlight w:val="yellow"/>
        </w:rPr>
        <w:t>(31)</w:t>
      </w:r>
      <w:r w:rsidRPr="007A7F2B">
        <w:rPr>
          <w:highlight w:val="yellow"/>
        </w:rPr>
        <w:fldChar w:fldCharType="end"/>
      </w:r>
      <w:r w:rsidRPr="007A7F2B">
        <w:rPr>
          <w:highlight w:val="yellow"/>
        </w:rPr>
        <w:t xml:space="preserve">, but </w:t>
      </w:r>
      <w:r w:rsidR="001F38DC" w:rsidRPr="007A7F2B">
        <w:rPr>
          <w:highlight w:val="yellow"/>
        </w:rPr>
        <w:t xml:space="preserve">we </w:t>
      </w:r>
      <w:r w:rsidR="00277EDA" w:rsidRPr="007A7F2B">
        <w:rPr>
          <w:highlight w:val="yellow"/>
        </w:rPr>
        <w:t>use a different ‘general model concept’</w:t>
      </w:r>
      <w:r w:rsidR="00A328B1" w:rsidRPr="007A7F2B">
        <w:rPr>
          <w:highlight w:val="yellow"/>
        </w:rPr>
        <w:t xml:space="preserve"> and are able to distract more features of Cas9</w:t>
      </w:r>
      <w:r w:rsidR="00F84523" w:rsidRPr="007A7F2B">
        <w:rPr>
          <w:highlight w:val="yellow"/>
        </w:rPr>
        <w:t>.</w:t>
      </w:r>
      <w:r w:rsidR="00F84523" w:rsidRPr="007A7F2B">
        <w:t xml:space="preserve"> The advantage of having a physical model instead of a bioinformatics/machine learning one, is the following:</w:t>
      </w:r>
    </w:p>
    <w:p w14:paraId="3543EED0" w14:textId="14FAB373" w:rsidR="00F84523" w:rsidRPr="007A7F2B" w:rsidRDefault="00F84523" w:rsidP="00F84523">
      <w:pPr>
        <w:pStyle w:val="ListParagraph"/>
        <w:numPr>
          <w:ilvl w:val="0"/>
          <w:numId w:val="10"/>
        </w:numPr>
        <w:spacing w:after="0"/>
      </w:pPr>
      <w:r w:rsidRPr="007A7F2B">
        <w:t xml:space="preserve">You start from a basic concept and try to add more and more parts </w:t>
      </w:r>
      <w:proofErr w:type="spellStart"/>
      <w:r w:rsidR="000671EF">
        <w:t>un</w:t>
      </w:r>
      <w:r w:rsidRPr="007A7F2B">
        <w:t>till</w:t>
      </w:r>
      <w:proofErr w:type="spellEnd"/>
      <w:r w:rsidRPr="007A7F2B">
        <w:t xml:space="preserve"> you get a ‘good’ model. This provides you with a lot of understanding about important features of the system, since you will discover which information will add predictive power to your model and what will not.</w:t>
      </w:r>
    </w:p>
    <w:p w14:paraId="0E2BAAAD" w14:textId="0BD81F6F" w:rsidR="00F84523" w:rsidRPr="007A7F2B" w:rsidRDefault="00F84523" w:rsidP="00F84523">
      <w:pPr>
        <w:pStyle w:val="ListParagraph"/>
        <w:numPr>
          <w:ilvl w:val="0"/>
          <w:numId w:val="10"/>
        </w:numPr>
      </w:pPr>
      <w:r w:rsidRPr="007A7F2B">
        <w:t>A physical model is not molecule specific and therefore also applicable to other molecules.</w:t>
      </w:r>
    </w:p>
    <w:p w14:paraId="55ABCCD7" w14:textId="0BCC75A5" w:rsidR="00377C9C" w:rsidRPr="007A7F2B" w:rsidRDefault="007A7F2B" w:rsidP="002C0C44">
      <w:r>
        <w:t>Our group</w:t>
      </w:r>
      <w:r w:rsidR="00377C9C" w:rsidRPr="007A7F2B">
        <w:t xml:space="preserve"> already succeeded in building </w:t>
      </w:r>
      <w:r w:rsidR="006507D0" w:rsidRPr="007A7F2B">
        <w:t xml:space="preserve">such </w:t>
      </w:r>
      <w:r w:rsidR="00377C9C" w:rsidRPr="007A7F2B">
        <w:t>a model that describes general features of CRISPR-Cas9 and it can be used to predict the off-target binding</w:t>
      </w:r>
      <w:r w:rsidR="002A61B0" w:rsidRPr="007A7F2B">
        <w:t xml:space="preserve"> </w:t>
      </w:r>
      <w:r w:rsidR="002A61B0" w:rsidRPr="007A7F2B">
        <w:fldChar w:fldCharType="begin" w:fldLock="1"/>
      </w:r>
      <w:r w:rsidR="002E5DD7">
        <w:instrText>ADDIN CSL_CITATION {"citationItems":[{"id":"ITEM-1","itemData":{"DOI":"10.1016/j.celrep.2018.01.045","ISSN":"22111247","abstract":"Due to their specificity, efficiency, and ease of programming, CRISPR-associated nucleases are popular tools for genome editing. On the genomic scale, these nucleases still show considerable off-target activity though, posing a serious obstacle to the development of therapies. Off targeting is often minimized by choosing especially high-specificity guide sequences, based on algorithms that codify empirically determined off-targeting rules. A lack of mechanistic understanding of these rules has so far necessitated their ad hoc implementation, likely contributing to the limited precision of present algorithms. To understand the targeting rules, we kinetically model the physics of guide-target hybrid formation. Using only four parameters, our model elucidates the kinetic origin of the experimentally observed off-targeting rules, thereby rationalizing the results from both binding and cleavage assays. We favorably compare our model to published data from CRISPR-Cas9, CRISPR-Cpf1, CRISPR-Cascade, as well as the human Argonaute 2 system. Predicting potential off targets forms an important part of any gene-editing technology intended for therapeutic use. By constructing a kinetic model for target recognition by RNA-guided nucleases, Klein et al. explain experimentally observed off-targeting rules as a direct consequence of guide-target hybridization dynamics.","author":[{"dropping-particle":"","family":"Klein","given":"Misha","non-dropping-particle":"","parse-names":false,"suffix":""},{"dropping-particle":"","family":"Eslami-Mossallam","given":"Behrouz","non-dropping-particle":"","parse-names":false,"suffix":""},{"dropping-particle":"","family":"Arroyo","given":"Dylan Gonzalez","non-dropping-particle":"","parse-names":false,"suffix":""},{"dropping-particle":"","family":"Depken","given":"Martin","non-dropping-particle":"","parse-names":false,"suffix":""}],"container-title":"Cell Reports","id":"ITEM-1","issue":"6","issued":{"date-parts":[["2018"]]},"page":"1413-1423","publisher":"ElsevierCompany.","title":"Hybridization Kinetics Explains CRISPR-Cas Off-Targeting Rules","type":"article-journal","volume":"22"},"uris":["http://www.mendeley.com/documents/?uuid=f6d97e96-f4fa-4904-8690-fea302d9ab19"]}],"mendeley":{"formattedCitation":"(32)","plainTextFormattedCitation":"(32)","previouslyFormattedCitation":"(33)"},"properties":{"noteIndex":0},"schema":"https://github.com/citation-style-language/schema/raw/master/csl-citation.json"}</w:instrText>
      </w:r>
      <w:r w:rsidR="002A61B0" w:rsidRPr="007A7F2B">
        <w:fldChar w:fldCharType="separate"/>
      </w:r>
      <w:r w:rsidR="002E5DD7" w:rsidRPr="002E5DD7">
        <w:rPr>
          <w:noProof/>
        </w:rPr>
        <w:t>(32)</w:t>
      </w:r>
      <w:r w:rsidR="002A61B0" w:rsidRPr="007A7F2B">
        <w:fldChar w:fldCharType="end"/>
      </w:r>
      <w:r w:rsidR="00377C9C" w:rsidRPr="007A7F2B">
        <w:t xml:space="preserve">. </w:t>
      </w:r>
      <w:r w:rsidR="006507D0" w:rsidRPr="007A7F2B">
        <w:t xml:space="preserve">This model is </w:t>
      </w:r>
      <w:r>
        <w:t>t</w:t>
      </w:r>
      <w:r w:rsidR="00EF61B7">
        <w:t xml:space="preserve">rained </w:t>
      </w:r>
      <w:r w:rsidR="006507D0" w:rsidRPr="007A7F2B">
        <w:t xml:space="preserve">on the experimental data of Boyle et al. </w:t>
      </w:r>
      <w:r w:rsidR="006507D0" w:rsidRPr="007A7F2B">
        <w:fldChar w:fldCharType="begin" w:fldLock="1"/>
      </w:r>
      <w:r w:rsidR="002E5DD7">
        <w:instrText>ADDIN CSL_CITATION {"citationItems":[{"id":"ITEM-1","itemData":{"DOI":"10.1073/pnas.1700557114","ISBN":"1700557114","ISSN":"0027-8424","abstract":"A five-year old, spayed female, Bearded Collie was presented with a 24-hour history of non-weight-bearing lameness of the right thoracic limb after sustaining vehicular trauma. Radiographs revealed a craniolateral scapulohumeral luxation and a distally and medially displaced fracture of the lesser tubercle of the humerus. Open reduction and internal fixation of the fracture was achieved with lag screw fixation and an anti-rotational Kirschner wire. Surgical repair resulted in compression across the fracture line, anatomic reduction of the articular surface, and a stable scapulohumeral joint following reduction of the humeral head in the glenoid. Six weeks postoperatively, the patient exhibited no evidence of pain or lameness on the right thoracic limb and radiographs revealed complete healing of the fracture and normal articulation of the scapulohumeral joint. This is the first report of a lesser tubercle fracture associated with a craniolateral shoulder luxation. Surgical intervention resulted in the return of full shoulder joint function in this dog.","author":[{"dropping-particle":"","family":"Boyle","given":"Evan A.","non-dropping-particle":"","parse-names":false,"suffix":""},{"dropping-particle":"","family":"Andreasson","given":"Johan O. L.","non-dropping-particle":"","parse-names":false,"suffix":""},{"dropping-particle":"","family":"Chircus","given":"Lauren M.","non-dropping-particle":"","parse-names":false,"suffix":""},{"dropping-particle":"","family":"Sternberg","given":"Samuel H.","non-dropping-particle":"","parse-names":false,"suffix":""},{"dropping-particle":"","family":"Wu","given":"Michelle J.","non-dropping-particle":"","parse-names":false,"suffix":""},{"dropping-particle":"","family":"Guegler","given":"Chantal K.","non-dropping-particle":"","parse-names":false,"suffix":""},{"dropping-particle":"","family":"Doudna","given":"Jennifer A.","non-dropping-particle":"","parse-names":false,"suffix":""},{"dropping-particle":"","family":"Greenleaf","given":"William J.","non-dropping-particle":"","parse-names":false,"suffix":""}],"container-title":"Proceedings of the National Academy of Sciences","id":"ITEM-1","issue":"21","issued":{"date-parts":[["2017"]]},"page":"5461-5466","title":"High-throughput biochemical profiling reveals sequence determinants of dCas9 off-target binding and unbinding","type":"article-journal","volume":"114"},"uris":["http://www.mendeley.com/documents/?uuid=5d3bd9c9-c3d5-4909-940e-4419508f06a1"]}],"mendeley":{"formattedCitation":"(25)","plainTextFormattedCitation":"(25)","previouslyFormattedCitation":"(26)"},"properties":{"noteIndex":0},"schema":"https://github.com/citation-style-language/schema/raw/master/csl-citation.json"}</w:instrText>
      </w:r>
      <w:r w:rsidR="006507D0" w:rsidRPr="007A7F2B">
        <w:fldChar w:fldCharType="separate"/>
      </w:r>
      <w:r w:rsidR="002E5DD7" w:rsidRPr="002E5DD7">
        <w:rPr>
          <w:noProof/>
        </w:rPr>
        <w:t>(25)</w:t>
      </w:r>
      <w:r w:rsidR="006507D0" w:rsidRPr="007A7F2B">
        <w:fldChar w:fldCharType="end"/>
      </w:r>
      <w:r w:rsidR="006507D0" w:rsidRPr="007A7F2B">
        <w:t xml:space="preserve"> and so far only looks at the binding dynamics, under the assumption that the binding is sequence dependent and cleavage will </w:t>
      </w:r>
      <w:r w:rsidR="00EA66B2" w:rsidRPr="007A7F2B">
        <w:t>only</w:t>
      </w:r>
      <w:r w:rsidR="006507D0" w:rsidRPr="007A7F2B">
        <w:t xml:space="preserve"> happen if CRISPR-Cas</w:t>
      </w:r>
      <w:r w:rsidR="0092615D" w:rsidRPr="007A7F2B">
        <w:t>9</w:t>
      </w:r>
      <w:r w:rsidR="006507D0" w:rsidRPr="007A7F2B">
        <w:t xml:space="preserve"> is fully bound. </w:t>
      </w:r>
    </w:p>
    <w:p w14:paraId="3718619E" w14:textId="77777777" w:rsidR="009841D4" w:rsidRDefault="009841D4">
      <w:pPr>
        <w:rPr>
          <w:smallCaps/>
          <w:spacing w:val="5"/>
          <w:sz w:val="32"/>
          <w:szCs w:val="32"/>
        </w:rPr>
      </w:pPr>
      <w:r>
        <w:br w:type="page"/>
      </w:r>
    </w:p>
    <w:p w14:paraId="6AF31256" w14:textId="329FCA15" w:rsidR="004B4170" w:rsidRPr="007A7F2B" w:rsidRDefault="004B4170" w:rsidP="004B4170">
      <w:pPr>
        <w:pStyle w:val="Heading1"/>
      </w:pPr>
      <w:bookmarkStart w:id="6" w:name="_Toc10029729"/>
      <w:r w:rsidRPr="007A7F2B">
        <w:lastRenderedPageBreak/>
        <w:t>The focus of this thesis</w:t>
      </w:r>
      <w:bookmarkEnd w:id="6"/>
    </w:p>
    <w:p w14:paraId="5E49F7EE" w14:textId="10A6222C" w:rsidR="00F87CAB" w:rsidRPr="007A7F2B" w:rsidRDefault="00F87CAB" w:rsidP="002C0C44">
      <w:r w:rsidRPr="007A7F2B">
        <w:t xml:space="preserve">For this thesis we want to apply the same model to a different dataset from a different type of experiment. The experiment is from Finkelstein et al. </w:t>
      </w:r>
      <w:r w:rsidRPr="007A7F2B">
        <w:fldChar w:fldCharType="begin" w:fldLock="1"/>
      </w:r>
      <w:r w:rsidR="002E5DD7">
        <w:instrText xml:space="preserve">ADDIN CSL_CITATION {"citationItems":[{"id":"ITEM-1","itemData":{"DOI":"10.1016/j.cell.2017.05.044","ISSN":"10974172","abstract":"CRISPR-Cas nucleoproteins target foreign DNA via base pairing with a crRNA. However, a quantitative description of protein binding and nuclease activation at off-target DNA sequences remains elusive. Here, we describe a chip-hybridized association-mapping platform (CHAMP) that repurposes next-generation sequencing chips to simultaneously measure the interactions between proteins and </w:instrText>
      </w:r>
      <w:r w:rsidR="002E5DD7">
        <w:rPr>
          <w:rFonts w:ascii="Cambria Math" w:hAnsi="Cambria Math" w:cs="Cambria Math"/>
        </w:rPr>
        <w:instrText>∼</w:instrText>
      </w:r>
      <w:r w:rsidR="002E5DD7">
        <w:instrText>107 unique DNA sequences. Using CHAMP, we provide the first comprehensive survey of DNA recognition by a type I-E CRISPR-Cas (Cascade) complex and Cas3 nuclease. Analysis of mutated target sequences and human genomic DNA reveal that Cascade recognizes an extended protospacer adjacent motif (PAM). Cascade recognizes DNA with a surprising 3-nt periodicity. The identity of the PAM and the PAM-proximal nucleotides control Cas3 recruitment by releasing the Cse1 subunit. These findings are used to develop a model for the biophysical constraints governing off-target DNA binding. CHAMP provides a framework for high-throughput, quantitative analysis of protein-DNA interactions on synthetic and genomic DNA. PaperClip [Figure presented]","author":[{"dropping-particle":"","family":"Jung","given":"Cheulhee","non-dropping-particle":"","parse-names":false,"suffix":""},{"dropping-particle":"","family":"Hawkins","given":"John A.","non-dropping-particle":"","parse-names":false,"suffix":""},{"dropping-particle":"","family":"Jones","given":"Stephen K.","non-dropping-particle":"","parse-names":false,"suffix":""},{"dropping-particle":"","family":"Xiao","given":"Yibei","non-dropping-particle":"","parse-names":false,"suffix":""},{"dropping-particle":"","family":"Rybarski","given":"James R.","non-dropping-particle":"","parse-names":false,"suffix":""},{"dropping-particle":"","family":"Dillard","given":"Kaylee E.","non-dropping-particle":"","parse-names":false,"suffix":""},{"dropping-particle":"","family":"Hussmann","given":"Jeffrey","non-dropping-particle":"","parse-names":false,"suffix":""},{"dropping-particle":"","family":"Saifuddin","given":"Fatema A.","non-dropping-particle":"","parse-names":false,"suffix":""},{"dropping-particle":"","family":"Savran","given":"Cagri A.","non-dropping-particle":"","parse-names":false,"suffix":""},{"dropping-particle":"","family":"Ellington","given":"Andrew D.","non-dropping-particle":"","parse-names":false,"suffix":""},{"dropping-particle":"","family":"Ke","given":"Ailong","non-dropping-particle":"","parse-names":false,"suffix":""},{"dropping-particle":"","family":"Press","given":"William H.","non-dropping-particle":"","parse-names":false,"suffix":""},{"dropping-particle":"","family":"Finkelstein","given":"Ilya J.","non-dropping-particle":"","parse-names":false,"suffix":""}],"container-title":"Cell","id":"ITEM-1","issue":"1","issued":{"date-parts":[["2017"]]},"page":"35-47.e13","publisher":"Elsevier","title":"Massively Parallel Biophysical Analysis of CRISPR-Cas Complexes on Next Generation Sequencing Chips","type":"article-journal","volume":"170"},"uris":["http://www.mendeley.com/documents/?uuid=353b09e7-244b-48a1-8a5b-7c5ce688fe97"]}],"mendeley":{"formattedCitation":"(26)","plainTextFormattedCitation":"(26)","previouslyFormattedCitation":"(27)"},"properties":{"noteIndex":0},"schema":"https://github.com/citation-style-language/schema/raw/master/csl-citation.json"}</w:instrText>
      </w:r>
      <w:r w:rsidRPr="007A7F2B">
        <w:fldChar w:fldCharType="separate"/>
      </w:r>
      <w:r w:rsidR="002E5DD7" w:rsidRPr="002E5DD7">
        <w:rPr>
          <w:noProof/>
        </w:rPr>
        <w:t>(26)</w:t>
      </w:r>
      <w:r w:rsidRPr="007A7F2B">
        <w:fldChar w:fldCharType="end"/>
      </w:r>
      <w:r w:rsidRPr="007A7F2B">
        <w:t xml:space="preserve"> and this experiment is done for not only Cas9, but for a lot of other Cas </w:t>
      </w:r>
      <w:r w:rsidR="00C36AAB">
        <w:t>proteins</w:t>
      </w:r>
      <w:r w:rsidRPr="007A7F2B">
        <w:t xml:space="preserve"> as well. Therefore we can first check if we </w:t>
      </w:r>
      <w:r w:rsidR="009841D4">
        <w:t>can apply the</w:t>
      </w:r>
      <w:r w:rsidRPr="007A7F2B">
        <w:t xml:space="preserve"> model </w:t>
      </w:r>
      <w:r w:rsidR="009841D4">
        <w:t xml:space="preserve">on this </w:t>
      </w:r>
      <w:r w:rsidRPr="007A7F2B">
        <w:t xml:space="preserve">type of data, by comparing </w:t>
      </w:r>
      <w:r w:rsidR="004B4170" w:rsidRPr="007A7F2B">
        <w:t>the result</w:t>
      </w:r>
      <w:r w:rsidR="009841D4">
        <w:t>ed energy landscape</w:t>
      </w:r>
      <w:r w:rsidR="004B4170" w:rsidRPr="007A7F2B">
        <w:t xml:space="preserve"> for Cas9</w:t>
      </w:r>
      <w:r w:rsidR="009841D4">
        <w:t>,</w:t>
      </w:r>
      <w:r w:rsidRPr="007A7F2B">
        <w:t xml:space="preserve"> to the result from </w:t>
      </w:r>
      <w:r w:rsidR="002A61B0" w:rsidRPr="007A7F2B">
        <w:t xml:space="preserve">the </w:t>
      </w:r>
      <w:r w:rsidRPr="007A7F2B">
        <w:t xml:space="preserve">model </w:t>
      </w:r>
      <w:r w:rsidR="009841D4">
        <w:t xml:space="preserve">with </w:t>
      </w:r>
      <w:r w:rsidRPr="007A7F2B">
        <w:t>the data of Boyle et al.</w:t>
      </w:r>
      <w:r w:rsidR="0092615D" w:rsidRPr="007A7F2B">
        <w:t xml:space="preserve"> </w:t>
      </w:r>
      <w:r w:rsidR="0092615D" w:rsidRPr="007A7F2B">
        <w:fldChar w:fldCharType="begin" w:fldLock="1"/>
      </w:r>
      <w:r w:rsidR="002E5DD7">
        <w:instrText>ADDIN CSL_CITATION {"citationItems":[{"id":"ITEM-1","itemData":{"DOI":"10.1073/pnas.1700557114","ISBN":"1700557114","ISSN":"0027-8424","abstract":"A five-year old, spayed female, Bearded Collie was presented with a 24-hour history of non-weight-bearing lameness of the right thoracic limb after sustaining vehicular trauma. Radiographs revealed a craniolateral scapulohumeral luxation and a distally and medially displaced fracture of the lesser tubercle of the humerus. Open reduction and internal fixation of the fracture was achieved with lag screw fixation and an anti-rotational Kirschner wire. Surgical repair resulted in compression across the fracture line, anatomic reduction of the articular surface, and a stable scapulohumeral joint following reduction of the humeral head in the glenoid. Six weeks postoperatively, the patient exhibited no evidence of pain or lameness on the right thoracic limb and radiographs revealed complete healing of the fracture and normal articulation of the scapulohumeral joint. This is the first report of a lesser tubercle fracture associated with a craniolateral shoulder luxation. Surgical intervention resulted in the return of full shoulder joint function in this dog.","author":[{"dropping-particle":"","family":"Boyle","given":"Evan A.","non-dropping-particle":"","parse-names":false,"suffix":""},{"dropping-particle":"","family":"Andreasson","given":"Johan O. L.","non-dropping-particle":"","parse-names":false,"suffix":""},{"dropping-particle":"","family":"Chircus","given":"Lauren M.","non-dropping-particle":"","parse-names":false,"suffix":""},{"dropping-particle":"","family":"Sternberg","given":"Samuel H.","non-dropping-particle":"","parse-names":false,"suffix":""},{"dropping-particle":"","family":"Wu","given":"Michelle J.","non-dropping-particle":"","parse-names":false,"suffix":""},{"dropping-particle":"","family":"Guegler","given":"Chantal K.","non-dropping-particle":"","parse-names":false,"suffix":""},{"dropping-particle":"","family":"Doudna","given":"Jennifer A.","non-dropping-particle":"","parse-names":false,"suffix":""},{"dropping-particle":"","family":"Greenleaf","given":"William J.","non-dropping-particle":"","parse-names":false,"suffix":""}],"container-title":"Proceedings of the National Academy of Sciences","id":"ITEM-1","issue":"21","issued":{"date-parts":[["2017"]]},"page":"5461-5466","title":"High-throughput biochemical profiling reveals sequence determinants of dCas9 off-target binding and unbinding","type":"article-journal","volume":"114"},"uris":["http://www.mendeley.com/documents/?uuid=5d3bd9c9-c3d5-4909-940e-4419508f06a1"]}],"mendeley":{"formattedCitation":"(25)","plainTextFormattedCitation":"(25)","previouslyFormattedCitation":"(26)"},"properties":{"noteIndex":0},"schema":"https://github.com/citation-style-language/schema/raw/master/csl-citation.json"}</w:instrText>
      </w:r>
      <w:r w:rsidR="0092615D" w:rsidRPr="007A7F2B">
        <w:fldChar w:fldCharType="separate"/>
      </w:r>
      <w:r w:rsidR="002E5DD7" w:rsidRPr="002E5DD7">
        <w:rPr>
          <w:noProof/>
        </w:rPr>
        <w:t>(25)</w:t>
      </w:r>
      <w:r w:rsidR="0092615D" w:rsidRPr="007A7F2B">
        <w:fldChar w:fldCharType="end"/>
      </w:r>
      <w:r w:rsidRPr="007A7F2B">
        <w:t xml:space="preserve">. If this will </w:t>
      </w:r>
      <w:r w:rsidR="009841D4">
        <w:t>give indeed the same energy landscape,</w:t>
      </w:r>
      <w:r w:rsidRPr="007A7F2B">
        <w:t xml:space="preserve"> we can</w:t>
      </w:r>
      <w:r w:rsidR="009841D4">
        <w:t xml:space="preserve"> </w:t>
      </w:r>
      <w:r w:rsidRPr="007A7F2B">
        <w:t>use th</w:t>
      </w:r>
      <w:r w:rsidR="009841D4">
        <w:t>e</w:t>
      </w:r>
      <w:r w:rsidRPr="007A7F2B">
        <w:t xml:space="preserve"> same model for </w:t>
      </w:r>
      <w:r w:rsidR="009841D4">
        <w:t>other Cas proteins a</w:t>
      </w:r>
      <w:r w:rsidRPr="007A7F2B">
        <w:t xml:space="preserve">nd get a better understanding of </w:t>
      </w:r>
      <w:r w:rsidR="002A61B0" w:rsidRPr="007A7F2B">
        <w:t>their features.</w:t>
      </w:r>
      <w:r w:rsidR="009841D4">
        <w:t xml:space="preserve"> In this thesis we will take a look at Cas12.</w:t>
      </w:r>
    </w:p>
    <w:p w14:paraId="031FA29E" w14:textId="7CC3F720" w:rsidR="0092615D" w:rsidRPr="007A7F2B" w:rsidRDefault="0092615D" w:rsidP="0092615D">
      <w:r w:rsidRPr="007A7F2B">
        <w:t xml:space="preserve">We do expect that this model is applicable to other Cas </w:t>
      </w:r>
      <w:r w:rsidR="00C36AAB">
        <w:t>proteins</w:t>
      </w:r>
      <w:r w:rsidRPr="007A7F2B">
        <w:t xml:space="preserve"> since it is based on pure kinetics and the only information it takes in is the guide RNA, nothing about the </w:t>
      </w:r>
      <w:r w:rsidR="00C36AAB">
        <w:t>protein</w:t>
      </w:r>
      <w:r w:rsidRPr="007A7F2B">
        <w:t xml:space="preserve"> itself. The only problem that could appear is </w:t>
      </w:r>
      <w:r w:rsidR="009841D4">
        <w:t xml:space="preserve">that the model is not applicable to this type of data, in other words: </w:t>
      </w:r>
      <w:r w:rsidRPr="007A7F2B">
        <w:t xml:space="preserve">that there is important information missing in the experiments from Finkelstein et al. In that case we want to identify which information is missing. </w:t>
      </w:r>
    </w:p>
    <w:p w14:paraId="6380ABA8" w14:textId="77777777" w:rsidR="004B4170" w:rsidRPr="007A7F2B" w:rsidRDefault="004B4170" w:rsidP="004B4170">
      <w:pPr>
        <w:spacing w:after="0"/>
      </w:pPr>
      <w:r w:rsidRPr="007A7F2B">
        <w:t xml:space="preserve">So the main question for this thesis: </w:t>
      </w:r>
    </w:p>
    <w:p w14:paraId="2D26FD8C" w14:textId="53D3290E" w:rsidR="004B4170" w:rsidRPr="007A7F2B" w:rsidRDefault="004B4170" w:rsidP="0092615D">
      <w:pPr>
        <w:rPr>
          <w:rStyle w:val="BookTitle"/>
        </w:rPr>
      </w:pPr>
      <w:r w:rsidRPr="007A7F2B">
        <w:rPr>
          <w:rStyle w:val="BookTitle"/>
        </w:rPr>
        <w:t xml:space="preserve">“Do the experiments from Finkelstein et al. </w:t>
      </w:r>
      <w:r w:rsidR="001F38DC" w:rsidRPr="007A7F2B">
        <w:rPr>
          <w:rStyle w:val="BookTitle"/>
        </w:rPr>
        <w:t>provide</w:t>
      </w:r>
      <w:r w:rsidRPr="007A7F2B">
        <w:rPr>
          <w:rStyle w:val="BookTitle"/>
        </w:rPr>
        <w:t xml:space="preserve"> enough information to make ou</w:t>
      </w:r>
      <w:r w:rsidR="009841D4">
        <w:rPr>
          <w:rStyle w:val="BookTitle"/>
        </w:rPr>
        <w:t>r</w:t>
      </w:r>
      <w:r w:rsidRPr="007A7F2B">
        <w:rPr>
          <w:rStyle w:val="BookTitle"/>
        </w:rPr>
        <w:t xml:space="preserve"> model work? If not, what information is missing? If so, what can we tell about </w:t>
      </w:r>
      <w:r w:rsidR="009841D4">
        <w:rPr>
          <w:rStyle w:val="BookTitle"/>
        </w:rPr>
        <w:t>Cas12</w:t>
      </w:r>
      <w:r w:rsidRPr="007A7F2B">
        <w:rPr>
          <w:rStyle w:val="BookTitle"/>
        </w:rPr>
        <w:t>?”</w:t>
      </w:r>
    </w:p>
    <w:p w14:paraId="6D331503" w14:textId="23E49511" w:rsidR="00F84523" w:rsidRPr="007A7F2B" w:rsidRDefault="004B4170" w:rsidP="002C0C44">
      <w:r w:rsidRPr="00C66E83">
        <w:rPr>
          <w:highlight w:val="yellow"/>
        </w:rPr>
        <w:t>We will first take a look at the differences between the two experiments from Boyle et al. and Finkelstein et al. in chapter … . Then we will take a look into the general concept of the model in chapter … . Thereafter we will take a look at the results from the fit based on the data from Finkelstein et al.  …..</w:t>
      </w:r>
    </w:p>
    <w:p w14:paraId="13377CAE" w14:textId="77777777" w:rsidR="00F84523" w:rsidRPr="007A7F2B" w:rsidRDefault="00F84523">
      <w:r w:rsidRPr="007A7F2B">
        <w:br w:type="page"/>
      </w:r>
    </w:p>
    <w:p w14:paraId="66CD0D77" w14:textId="67CA5963" w:rsidR="00784677" w:rsidRPr="007A7F2B" w:rsidRDefault="00784677" w:rsidP="00BA2D49">
      <w:pPr>
        <w:pStyle w:val="Title"/>
      </w:pPr>
      <w:bookmarkStart w:id="7" w:name="_Toc10029730"/>
      <w:r w:rsidRPr="007A7F2B">
        <w:lastRenderedPageBreak/>
        <w:t>Explanation of the model</w:t>
      </w:r>
      <w:bookmarkEnd w:id="7"/>
    </w:p>
    <w:p w14:paraId="638A73C2" w14:textId="23EE8EC0" w:rsidR="00784677" w:rsidRPr="007A7F2B" w:rsidRDefault="003A40F2" w:rsidP="00784677">
      <w:r>
        <w:t>Th</w:t>
      </w:r>
      <w:r w:rsidR="00F12DAD" w:rsidRPr="007A7F2B">
        <w:t xml:space="preserve">e off-target activity of CRISPR-Cas forms a big problem for using it as a tool to modify DNA. Misha Klein and Behrouz </w:t>
      </w:r>
      <w:proofErr w:type="spellStart"/>
      <w:r w:rsidR="00F12DAD" w:rsidRPr="007A7F2B">
        <w:t>Eslami-Mossallam</w:t>
      </w:r>
      <w:proofErr w:type="spellEnd"/>
      <w:r w:rsidR="00F12DAD" w:rsidRPr="007A7F2B">
        <w:t xml:space="preserve"> from the Martin </w:t>
      </w:r>
      <w:proofErr w:type="spellStart"/>
      <w:r w:rsidR="00F12DAD" w:rsidRPr="007A7F2B">
        <w:t>Depken</w:t>
      </w:r>
      <w:proofErr w:type="spellEnd"/>
      <w:r w:rsidR="00F12DAD" w:rsidRPr="007A7F2B">
        <w:t xml:space="preserve"> group at TU Delft started building a model, to gain mechanistic understanding of the targeting rules, by kinetically modelling the physics of guide-target hybrid formation</w:t>
      </w:r>
      <w:r w:rsidR="00972396" w:rsidRPr="007A7F2B">
        <w:t xml:space="preserve"> </w:t>
      </w:r>
      <w:r w:rsidR="00972396" w:rsidRPr="007A7F2B">
        <w:fldChar w:fldCharType="begin" w:fldLock="1"/>
      </w:r>
      <w:r w:rsidR="002E5DD7">
        <w:instrText>ADDIN CSL_CITATION {"citationItems":[{"id":"ITEM-1","itemData":{"DOI":"10.1016/j.celrep.2018.01.045","ISSN":"22111247","abstract":"Due to their specificity, efficiency, and ease of programming, CRISPR-associated nucleases are popular tools for genome editing. On the genomic scale, these nucleases still show considerable off-target activity though, posing a serious obstacle to the development of therapies. Off targeting is often minimized by choosing especially high-specificity guide sequences, based on algorithms that codify empirically determined off-targeting rules. A lack of mechanistic understanding of these rules has so far necessitated their ad hoc implementation, likely contributing to the limited precision of present algorithms. To understand the targeting rules, we kinetically model the physics of guide-target hybrid formation. Using only four parameters, our model elucidates the kinetic origin of the experimentally observed off-targeting rules, thereby rationalizing the results from both binding and cleavage assays. We favorably compare our model to published data from CRISPR-Cas9, CRISPR-Cpf1, CRISPR-Cascade, as well as the human Argonaute 2 system. Predicting potential off targets forms an important part of any gene-editing technology intended for therapeutic use. By constructing a kinetic model for target recognition by RNA-guided nucleases, Klein et al. explain experimentally observed off-targeting rules as a direct consequence of guide-target hybridization dynamics.","author":[{"dropping-particle":"","family":"Klein","given":"Misha","non-dropping-particle":"","parse-names":false,"suffix":""},{"dropping-particle":"","family":"Eslami-Mossallam","given":"Behrouz","non-dropping-particle":"","parse-names":false,"suffix":""},{"dropping-particle":"","family":"Arroyo","given":"Dylan Gonzalez","non-dropping-particle":"","parse-names":false,"suffix":""},{"dropping-particle":"","family":"Depken","given":"Martin","non-dropping-particle":"","parse-names":false,"suffix":""}],"container-title":"Cell Reports","id":"ITEM-1","issue":"6","issued":{"date-parts":[["2018"]]},"page":"1413-1423","publisher":"ElsevierCompany.","title":"Hybridization Kinetics Explains CRISPR-Cas Off-Targeting Rules","type":"article-journal","volume":"22"},"uris":["http://www.mendeley.com/documents/?uuid=f6d97e96-f4fa-4904-8690-fea302d9ab19"]}],"mendeley":{"formattedCitation":"(32)","plainTextFormattedCitation":"(32)","previouslyFormattedCitation":"(33)"},"properties":{"noteIndex":0},"schema":"https://github.com/citation-style-language/schema/raw/master/csl-citation.json"}</w:instrText>
      </w:r>
      <w:r w:rsidR="00972396" w:rsidRPr="007A7F2B">
        <w:fldChar w:fldCharType="separate"/>
      </w:r>
      <w:r w:rsidR="002E5DD7" w:rsidRPr="002E5DD7">
        <w:rPr>
          <w:noProof/>
        </w:rPr>
        <w:t>(32)</w:t>
      </w:r>
      <w:r w:rsidR="00972396" w:rsidRPr="007A7F2B">
        <w:fldChar w:fldCharType="end"/>
      </w:r>
      <w:r w:rsidR="00972396" w:rsidRPr="007A7F2B">
        <w:t>.</w:t>
      </w:r>
      <w:r w:rsidR="00F12DAD" w:rsidRPr="007A7F2B">
        <w:t xml:space="preserve"> The main idea: </w:t>
      </w:r>
      <w:r>
        <w:t>View the hybrid formation between the guide RNA and target DNA as a random walk through a free-energy landscape</w:t>
      </w:r>
      <w:r w:rsidR="00021A92" w:rsidRPr="007A7F2B">
        <w:t>. A match between the guide RNA and DNA will result in a lower free energy, a mismatch in a higher one. T</w:t>
      </w:r>
      <w:r w:rsidR="00F12DAD" w:rsidRPr="007A7F2B">
        <w:t xml:space="preserve">he thing that will happen (cleavage or unbinding) gets determined by the surrounding energy barriers. The difference in heights </w:t>
      </w:r>
      <w:r w:rsidR="0084482A" w:rsidRPr="007A7F2B">
        <w:t>form</w:t>
      </w:r>
      <w:r w:rsidR="00F12DAD" w:rsidRPr="007A7F2B">
        <w:t xml:space="preserve"> the kinetic biases.</w:t>
      </w:r>
      <w:r w:rsidR="0084482A" w:rsidRPr="007A7F2B">
        <w:t xml:space="preserve"> They use the r</w:t>
      </w:r>
      <w:r w:rsidR="00F12DAD" w:rsidRPr="007A7F2B">
        <w:t>ule of thumb</w:t>
      </w:r>
      <w:r w:rsidR="0084482A" w:rsidRPr="007A7F2B">
        <w:t>, that</w:t>
      </w:r>
      <w:r w:rsidR="00F12DAD" w:rsidRPr="007A7F2B">
        <w:t xml:space="preserve"> after binding</w:t>
      </w:r>
      <w:r w:rsidR="0084482A" w:rsidRPr="007A7F2B">
        <w:t xml:space="preserve"> to</w:t>
      </w:r>
      <w:r w:rsidR="00F12DAD" w:rsidRPr="007A7F2B">
        <w:t xml:space="preserve"> the PAM, unbinding before cleavage is likely if</w:t>
      </w:r>
      <w:r w:rsidR="0084482A" w:rsidRPr="007A7F2B">
        <w:t xml:space="preserve"> the</w:t>
      </w:r>
      <w:r w:rsidR="00F12DAD" w:rsidRPr="007A7F2B">
        <w:t xml:space="preserve"> highest barrier to cleavage is greater than highest barrier to unbinding</w:t>
      </w:r>
      <w:r w:rsidR="0084482A" w:rsidRPr="007A7F2B">
        <w:t>, a</w:t>
      </w:r>
      <w:r w:rsidR="00F12DAD" w:rsidRPr="007A7F2B">
        <w:t xml:space="preserve">nd </w:t>
      </w:r>
      <w:proofErr w:type="spellStart"/>
      <w:r w:rsidR="00F12DAD" w:rsidRPr="007A7F2B">
        <w:t>visa</w:t>
      </w:r>
      <w:proofErr w:type="spellEnd"/>
      <w:r w:rsidR="00F12DAD" w:rsidRPr="007A7F2B">
        <w:t xml:space="preserve"> versa.</w:t>
      </w:r>
    </w:p>
    <w:p w14:paraId="3D7B151F" w14:textId="5A2EE986" w:rsidR="00B30051" w:rsidRPr="007A7F2B" w:rsidRDefault="00B30051" w:rsidP="00784677">
      <w:r w:rsidRPr="007A7F2B">
        <w:t>In this section I will first explain the general concept of the model. After that we will take a deeper look into the</w:t>
      </w:r>
      <w:r w:rsidR="00F270C9" w:rsidRPr="007A7F2B">
        <w:t xml:space="preserve"> kinetics, to understand the way we modelled this general concept. In the end we will take a look into the</w:t>
      </w:r>
      <w:r w:rsidRPr="007A7F2B">
        <w:t xml:space="preserve"> assumptions behind this model and try to justify them as far as possible. </w:t>
      </w:r>
    </w:p>
    <w:p w14:paraId="5ED2F328" w14:textId="386FE2D4" w:rsidR="00B30051" w:rsidRPr="007A7F2B" w:rsidRDefault="00B30051" w:rsidP="00B30051">
      <w:pPr>
        <w:pStyle w:val="Heading1"/>
      </w:pPr>
      <w:bookmarkStart w:id="8" w:name="_Toc10029731"/>
      <w:r w:rsidRPr="007A7F2B">
        <w:t>The general concept</w:t>
      </w:r>
      <w:bookmarkEnd w:id="8"/>
    </w:p>
    <w:p w14:paraId="375DB9D4" w14:textId="50EFFD15" w:rsidR="00B30051" w:rsidRPr="007A7F2B" w:rsidRDefault="00EB0800" w:rsidP="00B30051">
      <w:r w:rsidRPr="007A7F2B">
        <w:t>Since the main goal is to understand the off-targeting activity of CRISPR-Cas9, we start the model only with what we already know and try to build from there, according to the laws of statistical physics. We know from experiments …(</w:t>
      </w:r>
      <w:r w:rsidRPr="007A7F2B">
        <w:rPr>
          <w:highlight w:val="yellow"/>
        </w:rPr>
        <w:t>ref</w:t>
      </w:r>
      <w:r w:rsidRPr="007A7F2B">
        <w:t>)… that Cas9 first needs to bind to the PAM region, then bind to all the other 20 nucleotides in the guide RNA, before it can finally cut. All those  parts can be seen as chain of</w:t>
      </w:r>
      <w:r w:rsidR="00114B80" w:rsidRPr="007A7F2B">
        <w:t xml:space="preserve"> 23</w:t>
      </w:r>
      <w:r w:rsidRPr="007A7F2B">
        <w:t xml:space="preserve"> different states</w:t>
      </w:r>
      <w:r w:rsidR="00114B80" w:rsidRPr="007A7F2B">
        <w:t xml:space="preserve">. The first one would be defined as the state where CRISPR-Cas9 is in solution, the second as CRISPR-Cas9 bound to PAM, the 3th till the 22th as binding to every next base pair and the last state would be the state where CRISPR-Cas9 cuts the DNA (see </w:t>
      </w:r>
      <w:fldSimple w:instr=" REF _Ref8723279 ">
        <w:r w:rsidR="00C16253" w:rsidRPr="007A7F2B">
          <w:t xml:space="preserve">Figure </w:t>
        </w:r>
        <w:r w:rsidR="00C16253">
          <w:rPr>
            <w:noProof/>
          </w:rPr>
          <w:t>3</w:t>
        </w:r>
      </w:fldSimple>
      <w:r w:rsidR="00114B80" w:rsidRPr="007A7F2B">
        <w:t xml:space="preserve">). </w:t>
      </w:r>
      <w:r w:rsidR="002506B1" w:rsidRPr="007A7F2B">
        <w:t xml:space="preserve"> So what we get is a model with 23 states, where you can switch between the states (back and forward) with certain rates. To cut you have to go through all the states, </w:t>
      </w:r>
      <w:r w:rsidR="000671EF">
        <w:t>un</w:t>
      </w:r>
      <w:r w:rsidR="000671EF" w:rsidRPr="007A7F2B">
        <w:t>til</w:t>
      </w:r>
      <w:r w:rsidR="002506B1" w:rsidRPr="007A7F2B">
        <w:t xml:space="preserve"> the last one where you cut</w:t>
      </w:r>
      <w:r w:rsidR="00D31ADB" w:rsidRPr="007A7F2B">
        <w:t xml:space="preserve">, from which you cannot come back anymore. </w:t>
      </w:r>
    </w:p>
    <w:p w14:paraId="0FEB6884" w14:textId="77777777" w:rsidR="00006B8E" w:rsidRPr="007A7F2B" w:rsidRDefault="008B7DC9" w:rsidP="00006B8E">
      <w:pPr>
        <w:keepNext/>
      </w:pPr>
      <w:r w:rsidRPr="007A7F2B">
        <w:rPr>
          <w:noProof/>
        </w:rPr>
        <w:drawing>
          <wp:inline distT="0" distB="0" distL="0" distR="0" wp14:anchorId="2B9CD5E1" wp14:editId="0848CFC2">
            <wp:extent cx="5760720" cy="1332230"/>
            <wp:effectExtent l="0" t="0" r="0" b="127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CB5B9.tmp"/>
                    <pic:cNvPicPr/>
                  </pic:nvPicPr>
                  <pic:blipFill>
                    <a:blip r:embed="rId10">
                      <a:extLst>
                        <a:ext uri="{28A0092B-C50C-407E-A947-70E740481C1C}">
                          <a14:useLocalDpi xmlns:a14="http://schemas.microsoft.com/office/drawing/2010/main" val="0"/>
                        </a:ext>
                      </a:extLst>
                    </a:blip>
                    <a:stretch>
                      <a:fillRect/>
                    </a:stretch>
                  </pic:blipFill>
                  <pic:spPr>
                    <a:xfrm>
                      <a:off x="0" y="0"/>
                      <a:ext cx="5760720" cy="1332230"/>
                    </a:xfrm>
                    <a:prstGeom prst="rect">
                      <a:avLst/>
                    </a:prstGeom>
                  </pic:spPr>
                </pic:pic>
              </a:graphicData>
            </a:graphic>
          </wp:inline>
        </w:drawing>
      </w:r>
    </w:p>
    <w:p w14:paraId="03366DED" w14:textId="11F826B1" w:rsidR="004B32B9" w:rsidRPr="007A7F2B" w:rsidRDefault="00006B8E" w:rsidP="00006B8E">
      <w:pPr>
        <w:pStyle w:val="Caption"/>
      </w:pPr>
      <w:bookmarkStart w:id="9" w:name="_Ref8723279"/>
      <w:r w:rsidRPr="007A7F2B">
        <w:t xml:space="preserve">Figure </w:t>
      </w:r>
      <w:fldSimple w:instr=" SEQ Figure \* ARABIC ">
        <w:r w:rsidR="00C16253">
          <w:rPr>
            <w:noProof/>
          </w:rPr>
          <w:t>3</w:t>
        </w:r>
      </w:fldSimple>
      <w:bookmarkEnd w:id="9"/>
      <w:r w:rsidRPr="007A7F2B">
        <w:t xml:space="preserve">: A graphical representation of the model </w:t>
      </w:r>
    </w:p>
    <w:p w14:paraId="33025529" w14:textId="19C6C278" w:rsidR="006A0822" w:rsidRPr="007A7F2B" w:rsidRDefault="006A0822" w:rsidP="006A0822">
      <w:pPr>
        <w:pStyle w:val="Heading1"/>
      </w:pPr>
      <w:bookmarkStart w:id="10" w:name="_Toc10029732"/>
      <w:r w:rsidRPr="007A7F2B">
        <w:t>The kinetics</w:t>
      </w:r>
      <w:bookmarkEnd w:id="10"/>
    </w:p>
    <w:p w14:paraId="45C2F366" w14:textId="27CCE1DE" w:rsidR="00C40B54" w:rsidRPr="007A7F2B" w:rsidRDefault="006A0822" w:rsidP="006A0822">
      <w:r w:rsidRPr="007A7F2B">
        <w:t xml:space="preserve">To understand how we modelled these 23 states with their rates, let us take a look at a simpler, but comparable, system. In this system we only distinguish 3 states: in solution, bound and cleaved. In </w:t>
      </w:r>
      <w:fldSimple w:instr=" REF _Ref8723337 ">
        <w:r w:rsidR="00C16253" w:rsidRPr="007A7F2B">
          <w:t xml:space="preserve">Figure </w:t>
        </w:r>
        <w:r w:rsidR="00C16253">
          <w:rPr>
            <w:noProof/>
          </w:rPr>
          <w:t>4</w:t>
        </w:r>
      </w:fldSimple>
      <w:r w:rsidRPr="007A7F2B">
        <w:t xml:space="preserve"> this model is depicted, as well as its free energy landscape. The states are the minima in this landscape and the rates (k) represent how easy you can go to the adjacent state. In general terms, it is </w:t>
      </w:r>
      <w:r w:rsidR="00C40B54" w:rsidRPr="007A7F2B">
        <w:t xml:space="preserve">most likely to go to the adjacent state with the lowest free energy level. </w:t>
      </w:r>
      <w:r w:rsidRPr="007A7F2B">
        <w:t xml:space="preserve">The free energy is defined as: </w:t>
      </w:r>
      <m:oMath>
        <m:r>
          <w:rPr>
            <w:rFonts w:ascii="Cambria Math" w:hAnsi="Cambria Math"/>
          </w:rPr>
          <m:t>F=E-TS</m:t>
        </m:r>
      </m:oMath>
      <w:r w:rsidRPr="007A7F2B">
        <w:t xml:space="preserve">. </w:t>
      </w:r>
      <w:r w:rsidR="00C40B54" w:rsidRPr="007A7F2B">
        <w:t>E is the internal energ</w:t>
      </w:r>
      <w:r w:rsidR="00B17EB9" w:rsidRPr="007A7F2B">
        <w:t>y and</w:t>
      </w:r>
      <w:r w:rsidR="00C40B54" w:rsidRPr="007A7F2B">
        <w:t xml:space="preserve"> S the conformational entropy at a fixed temperature T.</w:t>
      </w:r>
    </w:p>
    <w:p w14:paraId="21C68D6D" w14:textId="77777777" w:rsidR="00BD794C" w:rsidRPr="007A7F2B" w:rsidRDefault="00BD794C" w:rsidP="006A0822"/>
    <w:p w14:paraId="5409B38D" w14:textId="77777777" w:rsidR="00006B8E" w:rsidRPr="007A7F2B" w:rsidRDefault="00F270C9" w:rsidP="00006B8E">
      <w:pPr>
        <w:keepNext/>
        <w:jc w:val="center"/>
      </w:pPr>
      <w:r w:rsidRPr="007A7F2B">
        <w:rPr>
          <w:noProof/>
        </w:rPr>
        <w:lastRenderedPageBreak/>
        <w:drawing>
          <wp:inline distT="0" distB="0" distL="0" distR="0" wp14:anchorId="3EDB34B0" wp14:editId="2FAEC95E">
            <wp:extent cx="3702050" cy="2055260"/>
            <wp:effectExtent l="0" t="0" r="0" b="2540"/>
            <wp:docPr id="3" name="Picture 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CD6A7.tmp"/>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77636" cy="2097223"/>
                    </a:xfrm>
                    <a:prstGeom prst="rect">
                      <a:avLst/>
                    </a:prstGeom>
                  </pic:spPr>
                </pic:pic>
              </a:graphicData>
            </a:graphic>
          </wp:inline>
        </w:drawing>
      </w:r>
    </w:p>
    <w:p w14:paraId="0EDC06E8" w14:textId="6BCB76A0" w:rsidR="00F270C9" w:rsidRPr="007A7F2B" w:rsidRDefault="00006B8E" w:rsidP="00006B8E">
      <w:pPr>
        <w:pStyle w:val="Caption"/>
        <w:jc w:val="center"/>
      </w:pPr>
      <w:bookmarkStart w:id="11" w:name="_Ref8723337"/>
      <w:r w:rsidRPr="007A7F2B">
        <w:t xml:space="preserve">Figure </w:t>
      </w:r>
      <w:fldSimple w:instr=" SEQ Figure \* ARABIC ">
        <w:r w:rsidR="00C16253">
          <w:rPr>
            <w:noProof/>
          </w:rPr>
          <w:t>4</w:t>
        </w:r>
      </w:fldSimple>
      <w:bookmarkEnd w:id="11"/>
      <w:r w:rsidRPr="007A7F2B">
        <w:t xml:space="preserve">: … </w:t>
      </w:r>
      <w:r w:rsidRPr="007A7F2B">
        <w:fldChar w:fldCharType="begin" w:fldLock="1"/>
      </w:r>
      <w:r w:rsidR="002E5DD7">
        <w:instrText>ADDIN CSL_CITATION {"citationItems":[{"id":"ITEM-1","itemData":{"DOI":"10.1016/j.celrep.2018.01.045","ISSN":"22111247","abstract":"Due to their specificity, efficiency, and ease of programming, CRISPR-associated nucleases are popular tools for genome editing. On the genomic scale, these nucleases still show considerable off-target activity though, posing a serious obstacle to the development of therapies. Off targeting is often minimized by choosing especially high-specificity guide sequences, based on algorithms that codify empirically determined off-targeting rules. A lack of mechanistic understanding of these rules has so far necessitated their ad hoc implementation, likely contributing to the limited precision of present algorithms. To understand the targeting rules, we kinetically model the physics of guide-target hybrid formation. Using only four parameters, our model elucidates the kinetic origin of the experimentally observed off-targeting rules, thereby rationalizing the results from both binding and cleavage assays. We favorably compare our model to published data from CRISPR-Cas9, CRISPR-Cpf1, CRISPR-Cascade, as well as the human Argonaute 2 system. Predicting potential off targets forms an important part of any gene-editing technology intended for therapeutic use. By constructing a kinetic model for target recognition by RNA-guided nucleases, Klein et al. explain experimentally observed off-targeting rules as a direct consequence of guide-target hybridization dynamics.","author":[{"dropping-particle":"","family":"Klein","given":"Misha","non-dropping-particle":"","parse-names":false,"suffix":""},{"dropping-particle":"","family":"Eslami-Mossallam","given":"Behrouz","non-dropping-particle":"","parse-names":false,"suffix":""},{"dropping-particle":"","family":"Arroyo","given":"Dylan Gonzalez","non-dropping-particle":"","parse-names":false,"suffix":""},{"dropping-particle":"","family":"Depken","given":"Martin","non-dropping-particle":"","parse-names":false,"suffix":""}],"container-title":"Cell Reports","id":"ITEM-1","issue":"6","issued":{"date-parts":[["2018"]]},"page":"1413-1423","publisher":"ElsevierCompany.","title":"Hybridization Kinetics Explains CRISPR-Cas Off-Targeting Rules","type":"article-journal","volume":"22"},"uris":["http://www.mendeley.com/documents/?uuid=f6d97e96-f4fa-4904-8690-fea302d9ab19"]}],"mendeley":{"formattedCitation":"(32)","plainTextFormattedCitation":"(32)","previouslyFormattedCitation":"(33)"},"properties":{"noteIndex":0},"schema":"https://github.com/citation-style-language/schema/raw/master/csl-citation.json"}</w:instrText>
      </w:r>
      <w:r w:rsidRPr="007A7F2B">
        <w:fldChar w:fldCharType="separate"/>
      </w:r>
      <w:r w:rsidR="002E5DD7" w:rsidRPr="002E5DD7">
        <w:rPr>
          <w:b w:val="0"/>
          <w:noProof/>
        </w:rPr>
        <w:t>(32)</w:t>
      </w:r>
      <w:r w:rsidRPr="007A7F2B">
        <w:fldChar w:fldCharType="end"/>
      </w:r>
    </w:p>
    <w:p w14:paraId="47B6EFB8" w14:textId="560515F0" w:rsidR="006A0822" w:rsidRPr="007A7F2B" w:rsidRDefault="00B17EB9" w:rsidP="006A0822">
      <w:r w:rsidRPr="007A7F2B">
        <w:t xml:space="preserve">We use kinetic modelling, so we assume that </w:t>
      </w:r>
      <m:oMath>
        <m:r>
          <w:rPr>
            <w:rFonts w:ascii="Cambria Math" w:hAnsi="Cambria Math"/>
          </w:rPr>
          <m:t>t</m:t>
        </m:r>
      </m:oMath>
      <w:r w:rsidRPr="007A7F2B">
        <w:t xml:space="preserve"> for any single reaction to get completed is exponentially distributed. Therefore</w:t>
      </w:r>
      <w:r w:rsidR="003A40F2">
        <w:t>,</w:t>
      </w:r>
      <w:r w:rsidRPr="007A7F2B">
        <w:t xml:space="preserve"> the probability density for the reaction time </w:t>
      </w:r>
      <w:r w:rsidR="009F629B" w:rsidRPr="007A7F2B">
        <w:t>of</w:t>
      </w:r>
      <w:r w:rsidRPr="007A7F2B">
        <w:t xml:space="preserve"> individual reactions can be described as:</w:t>
      </w:r>
    </w:p>
    <w:p w14:paraId="37DC8D1C" w14:textId="556B9141" w:rsidR="006A0822" w:rsidRPr="007A7F2B" w:rsidRDefault="00B17EB9" w:rsidP="006A0822">
      <m:oMathPara>
        <m:oMath>
          <m:r>
            <w:rPr>
              <w:rFonts w:ascii="Cambria Math" w:hAnsi="Cambria Math"/>
            </w:rPr>
            <m:t>ϕ</m:t>
          </m:r>
          <m:d>
            <m:dPr>
              <m:ctrlPr>
                <w:rPr>
                  <w:rFonts w:ascii="Cambria Math" w:hAnsi="Cambria Math"/>
                  <w:i/>
                </w:rPr>
              </m:ctrlPr>
            </m:dPr>
            <m:e>
              <m:r>
                <w:rPr>
                  <w:rFonts w:ascii="Cambria Math" w:hAnsi="Cambria Math"/>
                </w:rPr>
                <m:t>t</m:t>
              </m:r>
            </m:e>
          </m:d>
          <m:r>
            <w:rPr>
              <w:rFonts w:ascii="Cambria Math" w:hAnsi="Cambria Math"/>
            </w:rPr>
            <m:t xml:space="preserve">=k </m:t>
          </m:r>
          <m:sSup>
            <m:sSupPr>
              <m:ctrlPr>
                <w:rPr>
                  <w:rFonts w:ascii="Cambria Math" w:hAnsi="Cambria Math"/>
                  <w:i/>
                </w:rPr>
              </m:ctrlPr>
            </m:sSupPr>
            <m:e>
              <m:r>
                <w:rPr>
                  <w:rFonts w:ascii="Cambria Math" w:hAnsi="Cambria Math"/>
                </w:rPr>
                <m:t>e</m:t>
              </m:r>
            </m:e>
            <m:sup>
              <m:r>
                <w:rPr>
                  <w:rFonts w:ascii="Cambria Math" w:hAnsi="Cambria Math"/>
                </w:rPr>
                <m:t>-kt</m:t>
              </m:r>
            </m:sup>
          </m:sSup>
        </m:oMath>
      </m:oMathPara>
    </w:p>
    <w:p w14:paraId="1AB04FA8" w14:textId="61C56EA9" w:rsidR="001E2C08" w:rsidRPr="007A7F2B" w:rsidRDefault="00297C97" w:rsidP="006A0822">
      <w:r w:rsidRPr="007A7F2B">
        <w:t xml:space="preserve">In this equation, </w:t>
      </w:r>
      <m:oMath>
        <m:r>
          <w:rPr>
            <w:rFonts w:ascii="Cambria Math" w:hAnsi="Cambria Math"/>
          </w:rPr>
          <m:t>ϕ</m:t>
        </m:r>
      </m:oMath>
      <w:r w:rsidRPr="007A7F2B">
        <w:t xml:space="preserve"> is the </w:t>
      </w:r>
      <w:r w:rsidR="003A40F2">
        <w:t>probability</w:t>
      </w:r>
      <w:r w:rsidRPr="007A7F2B">
        <w:t xml:space="preserve"> to</w:t>
      </w:r>
      <w:r w:rsidR="009F629B" w:rsidRPr="007A7F2B">
        <w:t xml:space="preserve"> complete the switching to a next state at time </w:t>
      </w:r>
      <m:oMath>
        <m:r>
          <w:rPr>
            <w:rFonts w:ascii="Cambria Math" w:hAnsi="Cambria Math"/>
          </w:rPr>
          <m:t>t</m:t>
        </m:r>
      </m:oMath>
      <w:r w:rsidR="009F629B" w:rsidRPr="007A7F2B">
        <w:t xml:space="preserve"> and </w:t>
      </w:r>
      <m:oMath>
        <m:r>
          <w:rPr>
            <w:rFonts w:ascii="Cambria Math" w:hAnsi="Cambria Math"/>
          </w:rPr>
          <m:t>k</m:t>
        </m:r>
      </m:oMath>
      <w:r w:rsidR="009F629B" w:rsidRPr="007A7F2B">
        <w:t xml:space="preserve"> is the rate to get into that state. </w:t>
      </w:r>
      <w:r w:rsidR="001E2C08" w:rsidRPr="007A7F2B">
        <w:t>From this the chance to be in a specific state (</w:t>
      </w:r>
      <m:oMath>
        <m:r>
          <w:rPr>
            <w:rFonts w:ascii="Cambria Math" w:hAnsi="Cambria Math"/>
          </w:rPr>
          <m:t>p</m:t>
        </m:r>
      </m:oMath>
      <w:r w:rsidR="001E2C08" w:rsidRPr="007A7F2B">
        <w:t>) can be derived:</w:t>
      </w:r>
    </w:p>
    <w:p w14:paraId="57B47DD2" w14:textId="7C6ABD75" w:rsidR="00021A92" w:rsidRPr="007A7F2B" w:rsidRDefault="00021A92" w:rsidP="006A0822">
      <m:oMathPara>
        <m:oMath>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=1-</m:t>
          </m:r>
          <m:nary>
            <m:naryP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ϕ</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-kt</m:t>
              </m:r>
            </m:sup>
          </m:sSup>
        </m:oMath>
      </m:oMathPara>
    </w:p>
    <w:p w14:paraId="72DFFAB7" w14:textId="03DCF44A" w:rsidR="001E2C08" w:rsidRPr="007A7F2B" w:rsidRDefault="00846B30" w:rsidP="006A0822">
      <w:pPr>
        <w:rPr>
          <w:color w:val="FF0000"/>
        </w:rPr>
      </w:pPr>
      <m:oMathPara>
        <m:oMath>
          <m:f>
            <m:fPr>
              <m:ctrlPr>
                <w:rPr>
                  <w:rFonts w:ascii="Cambria Math" w:hAnsi="Cambria Math"/>
                  <w:i/>
                </w:rPr>
              </m:ctrlPr>
            </m:fPr>
            <m:num>
              <m:r>
                <w:rPr>
                  <w:rFonts w:ascii="Cambria Math" w:hAnsi="Cambria Math"/>
                </w:rPr>
                <m:t>dp</m:t>
              </m:r>
            </m:num>
            <m:den>
              <m:r>
                <w:rPr>
                  <w:rFonts w:ascii="Cambria Math" w:hAnsi="Cambria Math"/>
                </w:rPr>
                <m:t>dt</m:t>
              </m:r>
            </m:den>
          </m:f>
          <m:r>
            <w:rPr>
              <w:rFonts w:ascii="Cambria Math" w:hAnsi="Cambria Math"/>
            </w:rPr>
            <m:t>=kp</m:t>
          </m:r>
          <m:d>
            <m:dPr>
              <m:ctrlPr>
                <w:rPr>
                  <w:rFonts w:ascii="Cambria Math" w:hAnsi="Cambria Math"/>
                  <w:i/>
                </w:rPr>
              </m:ctrlPr>
            </m:dPr>
            <m:e>
              <m:r>
                <w:rPr>
                  <w:rFonts w:ascii="Cambria Math" w:hAnsi="Cambria Math"/>
                </w:rPr>
                <m:t>t</m:t>
              </m:r>
            </m:e>
          </m:d>
          <m:r>
            <w:rPr>
              <w:rFonts w:ascii="Cambria Math" w:hAnsi="Cambria Math"/>
            </w:rPr>
            <m:t xml:space="preserve">  </m:t>
          </m:r>
        </m:oMath>
      </m:oMathPara>
    </w:p>
    <w:p w14:paraId="6E332620" w14:textId="34FFD3C2" w:rsidR="006A0822" w:rsidRPr="007A7F2B" w:rsidRDefault="001E2C08" w:rsidP="006A0822">
      <w:r w:rsidRPr="007A7F2B">
        <w:t xml:space="preserve">In these equations, </w:t>
      </w:r>
      <w:r w:rsidR="00B17EB9" w:rsidRPr="007A7F2B">
        <w:t xml:space="preserve">the reaction rate </w:t>
      </w:r>
      <m:oMath>
        <m:r>
          <w:rPr>
            <w:rFonts w:ascii="Cambria Math" w:hAnsi="Cambria Math"/>
          </w:rPr>
          <m:t>k</m:t>
        </m:r>
      </m:oMath>
      <w:r w:rsidR="00B17EB9" w:rsidRPr="007A7F2B">
        <w:t xml:space="preserve"> is related to the free-energy barrier that has to be overcome for the reaction. This relation is described by the Arrhenius equation: </w:t>
      </w:r>
    </w:p>
    <w:p w14:paraId="6C7AA4B3" w14:textId="249B204E" w:rsidR="00B17EB9" w:rsidRPr="007A7F2B" w:rsidRDefault="00B17EB9" w:rsidP="006A0822">
      <m:oMathPara>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r>
                <m:rPr>
                  <m:sty m:val="p"/>
                </m:rPr>
                <w:rPr>
                  <w:rFonts w:ascii="Cambria Math" w:hAnsi="Cambria Math"/>
                </w:rPr>
                <m:t>Δ</m:t>
              </m:r>
              <m:r>
                <w:rPr>
                  <w:rFonts w:ascii="Cambria Math" w:hAnsi="Cambria Math"/>
                </w:rPr>
                <m:t>F</m:t>
              </m:r>
            </m:sup>
          </m:sSup>
        </m:oMath>
      </m:oMathPara>
    </w:p>
    <w:p w14:paraId="725F9748" w14:textId="2EF6FAB0" w:rsidR="00D31ADB" w:rsidRPr="007A7F2B" w:rsidRDefault="00D31ADB" w:rsidP="006A0822">
      <w:r w:rsidRPr="007A7F2B">
        <w:t>This also shows that the lower the energy barrier, the larger the rate</w:t>
      </w:r>
      <w:r w:rsidR="007A4C98" w:rsidRPr="007A7F2B">
        <w:t>, so</w:t>
      </w:r>
      <w:r w:rsidRPr="007A7F2B">
        <w:t xml:space="preserve"> the higher the change is to proceed in that direction</w:t>
      </w:r>
      <w:r w:rsidR="006A0822" w:rsidRPr="007A7F2B">
        <w:t>.</w:t>
      </w:r>
    </w:p>
    <w:p w14:paraId="5DD07257" w14:textId="4AFB4372" w:rsidR="00D31ADB" w:rsidRPr="007A7F2B" w:rsidRDefault="00F270C9" w:rsidP="00F270C9">
      <w:r w:rsidRPr="007A7F2B">
        <w:t>Now we know how the rates between the states relate to the free energy landscape. But we can also say something about the chance to be in one of the states. The probability that a CRISPR</w:t>
      </w:r>
      <w:r w:rsidR="00C36AAB">
        <w:t>-Cas system</w:t>
      </w:r>
      <w:r w:rsidRPr="007A7F2B">
        <w:t xml:space="preserve"> belongs to one of the states over time can vary, but we always know that it must be in one of the states</w:t>
      </w:r>
      <w:r w:rsidR="00600F6E">
        <w:t xml:space="preserve"> (</w:t>
      </w:r>
      <w:proofErr w:type="spellStart"/>
      <w:r w:rsidR="00600F6E">
        <w:t>eq</w:t>
      </w:r>
      <w:proofErr w:type="spellEnd"/>
      <w:r w:rsidR="00600F6E">
        <w:t xml:space="preserve"> …). </w:t>
      </w:r>
    </w:p>
    <w:p w14:paraId="22C08AB4" w14:textId="4092A6EC" w:rsidR="00B17EB9" w:rsidRPr="007A7F2B" w:rsidRDefault="00846B30" w:rsidP="00D31ADB">
      <w:pPr>
        <w:pStyle w:val="ListParagraph"/>
      </w:pPr>
      <m:oMathPara>
        <m:oMath>
          <m:nary>
            <m:naryPr>
              <m:chr m:val="∑"/>
              <m:supHide m:val="1"/>
              <m:ctrlPr>
                <w:rPr>
                  <w:rFonts w:ascii="Cambria Math" w:hAnsi="Cambria Math"/>
                  <w:i/>
                </w:rPr>
              </m:ctrlPr>
            </m:naryPr>
            <m:sub>
              <m:r>
                <w:rPr>
                  <w:rFonts w:ascii="Cambria Math" w:hAnsi="Cambria Math"/>
                </w:rPr>
                <m:t>all states</m:t>
              </m:r>
            </m:sub>
            <m:sup/>
            <m:e>
              <m:sSub>
                <m:sSubPr>
                  <m:ctrlPr>
                    <w:rPr>
                      <w:rFonts w:ascii="Cambria Math" w:hAnsi="Cambria Math"/>
                      <w:i/>
                    </w:rPr>
                  </m:ctrlPr>
                </m:sSubPr>
                <m:e>
                  <m:r>
                    <w:rPr>
                      <w:rFonts w:ascii="Cambria Math" w:hAnsi="Cambria Math"/>
                    </w:rPr>
                    <m:t>p</m:t>
                  </m:r>
                </m:e>
                <m:sub>
                  <m:r>
                    <w:rPr>
                      <w:rFonts w:ascii="Cambria Math" w:hAnsi="Cambria Math"/>
                    </w:rPr>
                    <m:t>state</m:t>
                  </m:r>
                </m:sub>
              </m:sSub>
              <m:d>
                <m:dPr>
                  <m:ctrlPr>
                    <w:rPr>
                      <w:rFonts w:ascii="Cambria Math" w:hAnsi="Cambria Math"/>
                      <w:i/>
                    </w:rPr>
                  </m:ctrlPr>
                </m:dPr>
                <m:e>
                  <m:r>
                    <w:rPr>
                      <w:rFonts w:ascii="Cambria Math" w:hAnsi="Cambria Math"/>
                    </w:rPr>
                    <m:t>t</m:t>
                  </m:r>
                </m:e>
              </m:d>
            </m:e>
          </m:nary>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bnd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clv</m:t>
              </m:r>
            </m:sub>
          </m:sSub>
          <m:d>
            <m:dPr>
              <m:ctrlPr>
                <w:rPr>
                  <w:rFonts w:ascii="Cambria Math" w:hAnsi="Cambria Math"/>
                  <w:i/>
                </w:rPr>
              </m:ctrlPr>
            </m:dPr>
            <m:e>
              <m:r>
                <w:rPr>
                  <w:rFonts w:ascii="Cambria Math" w:hAnsi="Cambria Math"/>
                </w:rPr>
                <m:t>t</m:t>
              </m:r>
            </m:e>
          </m:d>
          <m:r>
            <w:rPr>
              <w:rFonts w:ascii="Cambria Math" w:hAnsi="Cambria Math"/>
            </w:rPr>
            <m:t>=1</m:t>
          </m:r>
        </m:oMath>
      </m:oMathPara>
    </w:p>
    <w:p w14:paraId="551A88DF" w14:textId="45AC0573" w:rsidR="00F270C9" w:rsidRPr="007A7F2B" w:rsidRDefault="00994F0B" w:rsidP="00F270C9">
      <w:r w:rsidRPr="007A7F2B">
        <w:t>Moreover, we can say something about how the probability</w:t>
      </w:r>
      <w:r w:rsidR="00600F6E">
        <w:t xml:space="preserve"> changes for </w:t>
      </w:r>
      <w:r w:rsidRPr="007A7F2B">
        <w:t xml:space="preserve">being in one of the states. For example </w:t>
      </w:r>
      <w:r w:rsidR="003A40F2">
        <w:t>the amount of unbound molecules</w:t>
      </w:r>
      <w:r w:rsidRPr="007A7F2B">
        <w:t xml:space="preserve"> decrease</w:t>
      </w:r>
      <w:r w:rsidR="003A40F2">
        <w:t>s</w:t>
      </w:r>
      <w:r w:rsidRPr="007A7F2B">
        <w:t xml:space="preserve"> by the amount that will bind to the DNA and increase</w:t>
      </w:r>
      <w:r w:rsidR="003A40F2">
        <w:t>s</w:t>
      </w:r>
      <w:r w:rsidRPr="007A7F2B">
        <w:t xml:space="preserve"> by the amount that unbinds from the DNA. </w:t>
      </w:r>
    </w:p>
    <w:p w14:paraId="3F51E23D" w14:textId="2C17A54D" w:rsidR="00994F0B" w:rsidRPr="007A7F2B" w:rsidRDefault="00846B30" w:rsidP="00994F0B">
      <w:pPr>
        <w:spacing w:after="0"/>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ub</m:t>
                  </m:r>
                </m:sub>
              </m:sSub>
            </m:num>
            <m:den>
              <m:r>
                <w:rPr>
                  <w:rFonts w:ascii="Cambria Math" w:hAnsi="Cambria Math"/>
                </w:rPr>
                <m:t>dt</m:t>
              </m:r>
            </m:den>
          </m:f>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on</m:t>
              </m:r>
            </m:sub>
          </m:sSub>
          <m:sSub>
            <m:sSubPr>
              <m:ctrlPr>
                <w:rPr>
                  <w:rFonts w:ascii="Cambria Math" w:hAnsi="Cambria Math"/>
                  <w:i/>
                </w:rPr>
              </m:ctrlPr>
            </m:sSubPr>
            <m:e>
              <m:r>
                <w:rPr>
                  <w:rFonts w:ascii="Cambria Math" w:hAnsi="Cambria Math"/>
                </w:rPr>
                <m:t>p</m:t>
              </m:r>
            </m:e>
            <m:sub>
              <m:r>
                <w:rPr>
                  <w:rFonts w:ascii="Cambria Math" w:hAnsi="Cambria Math"/>
                </w:rPr>
                <m:t>ub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off</m:t>
              </m:r>
            </m:sub>
          </m:sSub>
          <m:sSub>
            <m:sSubPr>
              <m:ctrlPr>
                <w:rPr>
                  <w:rFonts w:ascii="Cambria Math" w:hAnsi="Cambria Math"/>
                  <w:i/>
                </w:rPr>
              </m:ctrlPr>
            </m:sSubPr>
            <m:e>
              <m:r>
                <w:rPr>
                  <w:rFonts w:ascii="Cambria Math" w:hAnsi="Cambria Math"/>
                </w:rPr>
                <m:t>p</m:t>
              </m:r>
            </m:e>
            <m:sub>
              <m:r>
                <w:rPr>
                  <w:rFonts w:ascii="Cambria Math" w:hAnsi="Cambria Math"/>
                </w:rPr>
                <m:t>bnd</m:t>
              </m:r>
            </m:sub>
          </m:sSub>
          <m:d>
            <m:dPr>
              <m:ctrlPr>
                <w:rPr>
                  <w:rFonts w:ascii="Cambria Math" w:hAnsi="Cambria Math"/>
                  <w:i/>
                </w:rPr>
              </m:ctrlPr>
            </m:dPr>
            <m:e>
              <m:r>
                <w:rPr>
                  <w:rFonts w:ascii="Cambria Math" w:hAnsi="Cambria Math"/>
                </w:rPr>
                <m:t>t</m:t>
              </m:r>
            </m:e>
          </m:d>
        </m:oMath>
      </m:oMathPara>
    </w:p>
    <w:p w14:paraId="6C080426" w14:textId="5FCF3B02" w:rsidR="00994F0B" w:rsidRPr="007A7F2B" w:rsidRDefault="00846B30" w:rsidP="00994F0B">
      <w:pPr>
        <w:spacing w:after="0"/>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bnd</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 xml:space="preserve"> k</m:t>
              </m:r>
            </m:e>
            <m:sub>
              <m:r>
                <w:rPr>
                  <w:rFonts w:ascii="Cambria Math" w:hAnsi="Cambria Math"/>
                </w:rPr>
                <m:t>on</m:t>
              </m:r>
            </m:sub>
          </m:sSub>
          <m:sSub>
            <m:sSubPr>
              <m:ctrlPr>
                <w:rPr>
                  <w:rFonts w:ascii="Cambria Math" w:hAnsi="Cambria Math"/>
                  <w:i/>
                </w:rPr>
              </m:ctrlPr>
            </m:sSubPr>
            <m:e>
              <m:r>
                <w:rPr>
                  <w:rFonts w:ascii="Cambria Math" w:hAnsi="Cambria Math"/>
                </w:rPr>
                <m:t>p</m:t>
              </m:r>
            </m:e>
            <m:sub>
              <m:r>
                <w:rPr>
                  <w:rFonts w:ascii="Cambria Math" w:hAnsi="Cambria Math"/>
                </w:rPr>
                <m:t>ub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clv</m:t>
                  </m:r>
                </m:sub>
              </m:sSub>
            </m:e>
          </m:d>
          <m:sSub>
            <m:sSubPr>
              <m:ctrlPr>
                <w:rPr>
                  <w:rFonts w:ascii="Cambria Math" w:hAnsi="Cambria Math"/>
                  <w:i/>
                </w:rPr>
              </m:ctrlPr>
            </m:sSubPr>
            <m:e>
              <m:r>
                <w:rPr>
                  <w:rFonts w:ascii="Cambria Math" w:hAnsi="Cambria Math"/>
                </w:rPr>
                <m:t>p</m:t>
              </m:r>
            </m:e>
            <m:sub>
              <m:r>
                <w:rPr>
                  <w:rFonts w:ascii="Cambria Math" w:hAnsi="Cambria Math"/>
                </w:rPr>
                <m:t>bnd</m:t>
              </m:r>
            </m:sub>
          </m:sSub>
          <m:d>
            <m:dPr>
              <m:ctrlPr>
                <w:rPr>
                  <w:rFonts w:ascii="Cambria Math" w:hAnsi="Cambria Math"/>
                  <w:i/>
                </w:rPr>
              </m:ctrlPr>
            </m:dPr>
            <m:e>
              <m:r>
                <w:rPr>
                  <w:rFonts w:ascii="Cambria Math" w:hAnsi="Cambria Math"/>
                </w:rPr>
                <m:t>t</m:t>
              </m:r>
            </m:e>
          </m:d>
        </m:oMath>
      </m:oMathPara>
    </w:p>
    <w:p w14:paraId="5789E852" w14:textId="66993A03" w:rsidR="00994F0B" w:rsidRPr="007A7F2B" w:rsidRDefault="00846B30" w:rsidP="00F270C9">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clv</m:t>
                  </m:r>
                </m:sub>
              </m:sSub>
            </m:num>
            <m:den>
              <m:r>
                <w:rPr>
                  <w:rFonts w:ascii="Cambria Math" w:hAnsi="Cambria Math"/>
                </w:rPr>
                <m:t>dt</m:t>
              </m:r>
            </m:den>
          </m:f>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clv</m:t>
              </m:r>
            </m:sub>
          </m:sSub>
          <m:sSub>
            <m:sSubPr>
              <m:ctrlPr>
                <w:rPr>
                  <w:rFonts w:ascii="Cambria Math" w:hAnsi="Cambria Math"/>
                  <w:i/>
                </w:rPr>
              </m:ctrlPr>
            </m:sSubPr>
            <m:e>
              <m:r>
                <w:rPr>
                  <w:rFonts w:ascii="Cambria Math" w:hAnsi="Cambria Math"/>
                </w:rPr>
                <m:t>p</m:t>
              </m:r>
            </m:e>
            <m:sub>
              <m:r>
                <w:rPr>
                  <w:rFonts w:ascii="Cambria Math" w:hAnsi="Cambria Math"/>
                </w:rPr>
                <m:t>bnd</m:t>
              </m:r>
            </m:sub>
          </m:sSub>
          <m:r>
            <w:rPr>
              <w:rFonts w:ascii="Cambria Math" w:hAnsi="Cambria Math"/>
            </w:rPr>
            <m:t>(t)</m:t>
          </m:r>
        </m:oMath>
      </m:oMathPara>
    </w:p>
    <w:p w14:paraId="58D4A562" w14:textId="77777777" w:rsidR="00600F6E" w:rsidRDefault="00600F6E" w:rsidP="00F270C9"/>
    <w:p w14:paraId="1F536C91" w14:textId="7359D887" w:rsidR="00994F0B" w:rsidRPr="007A7F2B" w:rsidRDefault="00994F0B" w:rsidP="00F270C9">
      <w:bookmarkStart w:id="12" w:name="_GoBack"/>
      <w:bookmarkEnd w:id="12"/>
      <w:r w:rsidRPr="007A7F2B">
        <w:t>This can be rewritten in a matrix-vector form (</w:t>
      </w:r>
      <m:oMath>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bnd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clv</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Pr="007A7F2B">
        <w:t>):</w:t>
      </w:r>
    </w:p>
    <w:p w14:paraId="68633AB4" w14:textId="369D12BE" w:rsidR="00994F0B" w:rsidRPr="007A7F2B" w:rsidRDefault="00846B30" w:rsidP="00F270C9">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P</m:t>
                  </m:r>
                </m:e>
              </m:acc>
            </m:num>
            <m:den>
              <m:r>
                <w:rPr>
                  <w:rFonts w:ascii="Cambria Math" w:hAnsi="Cambria Math"/>
                </w:rPr>
                <m:t>dt</m:t>
              </m:r>
            </m:den>
          </m:f>
          <m:r>
            <w:rPr>
              <w:rFonts w:ascii="Cambria Math" w:hAnsi="Cambria Math"/>
            </w:rPr>
            <m:t>=M</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r>
                <w:rPr>
                  <w:rFonts w:ascii="Cambria Math" w:hAnsi="Cambria Math"/>
                </w:rPr>
                <m:t>t</m:t>
              </m:r>
            </m:e>
          </m:d>
          <m:r>
            <w:rPr>
              <w:rFonts w:ascii="Cambria Math" w:hAnsi="Cambria Math"/>
            </w:rPr>
            <m:t>,  M=</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on</m:t>
                        </m:r>
                      </m:sub>
                    </m:sSub>
                  </m:e>
                  <m:e>
                    <m:sSub>
                      <m:sSubPr>
                        <m:ctrlPr>
                          <w:rPr>
                            <w:rFonts w:ascii="Cambria Math" w:hAnsi="Cambria Math"/>
                            <w:i/>
                          </w:rPr>
                        </m:ctrlPr>
                      </m:sSubPr>
                      <m:e>
                        <m:r>
                          <w:rPr>
                            <w:rFonts w:ascii="Cambria Math" w:hAnsi="Cambria Math"/>
                          </w:rPr>
                          <m:t>k</m:t>
                        </m:r>
                      </m:e>
                      <m:sub>
                        <m:r>
                          <w:rPr>
                            <w:rFonts w:ascii="Cambria Math" w:hAnsi="Cambria Math"/>
                          </w:rPr>
                          <m:t>off</m:t>
                        </m:r>
                      </m:sub>
                    </m:sSub>
                  </m:e>
                  <m:e>
                    <m:r>
                      <w:rPr>
                        <w:rFonts w:ascii="Cambria Math" w:hAnsi="Cambria Math"/>
                      </w:rPr>
                      <m:t>0</m:t>
                    </m:r>
                  </m:e>
                </m:mr>
                <m:mr>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on</m:t>
                        </m:r>
                      </m:sub>
                    </m:sSub>
                  </m:e>
                  <m:e>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clv</m:t>
                        </m:r>
                      </m:sub>
                    </m:sSub>
                    <m:r>
                      <w:rPr>
                        <w:rFonts w:ascii="Cambria Math" w:hAnsi="Cambria Math"/>
                      </w:rPr>
                      <m:t>)</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k</m:t>
                        </m:r>
                      </m:e>
                      <m:sub>
                        <m:r>
                          <w:rPr>
                            <w:rFonts w:ascii="Cambria Math" w:hAnsi="Cambria Math"/>
                          </w:rPr>
                          <m:t>clv</m:t>
                        </m:r>
                      </m:sub>
                    </m:sSub>
                  </m:e>
                  <m:e>
                    <m:r>
                      <w:rPr>
                        <w:rFonts w:ascii="Cambria Math" w:hAnsi="Cambria Math"/>
                      </w:rPr>
                      <m:t>0</m:t>
                    </m:r>
                  </m:e>
                </m:mr>
              </m:m>
            </m:e>
          </m:d>
        </m:oMath>
      </m:oMathPara>
    </w:p>
    <w:p w14:paraId="42E4D645" w14:textId="0F4A2BBD" w:rsidR="00994F0B" w:rsidRPr="007A7F2B" w:rsidRDefault="00994F0B" w:rsidP="00F270C9">
      <w:r w:rsidRPr="007A7F2B">
        <w:t xml:space="preserve">This equation we call the Master equation. Solving it gives all the concentrations of reactants and products for any particular reaction pathway. For this model it is plotted in </w:t>
      </w:r>
      <w:r w:rsidR="00297C97" w:rsidRPr="007A7F2B">
        <w:fldChar w:fldCharType="begin"/>
      </w:r>
      <w:r w:rsidR="00297C97" w:rsidRPr="007A7F2B">
        <w:instrText xml:space="preserve"> REF _Ref8723337 \h </w:instrText>
      </w:r>
      <w:r w:rsidR="00297C97" w:rsidRPr="007A7F2B">
        <w:fldChar w:fldCharType="separate"/>
      </w:r>
      <w:r w:rsidR="00C16253" w:rsidRPr="007A7F2B">
        <w:t xml:space="preserve">Figure </w:t>
      </w:r>
      <w:r w:rsidR="00C16253">
        <w:rPr>
          <w:noProof/>
        </w:rPr>
        <w:t>4</w:t>
      </w:r>
      <w:r w:rsidR="00297C97" w:rsidRPr="007A7F2B">
        <w:fldChar w:fldCharType="end"/>
      </w:r>
      <w:r w:rsidRPr="007A7F2B">
        <w:t xml:space="preserve"> . </w:t>
      </w:r>
      <w:r w:rsidR="006E29F5" w:rsidRPr="007A7F2B">
        <w:t xml:space="preserve">This principle of looking at the states and the switching rates between them is exactly what we use in our model with 23 states as well. </w:t>
      </w:r>
    </w:p>
    <w:p w14:paraId="01EA0F9A" w14:textId="199C1ADF" w:rsidR="006E29F5" w:rsidRPr="007A7F2B" w:rsidRDefault="00823B8A" w:rsidP="006E29F5">
      <w:pPr>
        <w:pStyle w:val="Heading1"/>
      </w:pPr>
      <w:bookmarkStart w:id="13" w:name="_Toc10029733"/>
      <w:r w:rsidRPr="007A7F2B">
        <w:t>Enforcing</w:t>
      </w:r>
      <w:r w:rsidR="00CE66AD" w:rsidRPr="007A7F2B">
        <w:t xml:space="preserve"> a</w:t>
      </w:r>
      <w:r w:rsidR="006E29F5" w:rsidRPr="007A7F2B">
        <w:t xml:space="preserve"> binding equilibrium</w:t>
      </w:r>
      <w:bookmarkEnd w:id="13"/>
    </w:p>
    <w:p w14:paraId="55925EF2" w14:textId="5B7B4D15" w:rsidR="00823B8A" w:rsidRPr="007A7F2B" w:rsidRDefault="00D31ADB" w:rsidP="00823B8A">
      <w:r w:rsidRPr="007A7F2B">
        <w:t>For this thesis we work with dCas9</w:t>
      </w:r>
      <w:r w:rsidR="00A328B1" w:rsidRPr="007A7F2B">
        <w:t xml:space="preserve"> and dCas12</w:t>
      </w:r>
      <w:r w:rsidRPr="007A7F2B">
        <w:t>, which lost its ability to cut</w:t>
      </w:r>
      <w:r w:rsidR="00834BDD" w:rsidRPr="007A7F2B">
        <w:t xml:space="preserve"> and</w:t>
      </w:r>
      <w:r w:rsidRPr="007A7F2B">
        <w:t xml:space="preserve"> </w:t>
      </w:r>
      <w:r w:rsidR="00834BDD" w:rsidRPr="007A7F2B">
        <w:t>t</w:t>
      </w:r>
      <w:r w:rsidRPr="007A7F2B">
        <w:t xml:space="preserve">herefore we </w:t>
      </w:r>
      <w:r w:rsidR="00834BDD" w:rsidRPr="007A7F2B">
        <w:t xml:space="preserve">ignore </w:t>
      </w:r>
      <w:r w:rsidRPr="007A7F2B">
        <w:t>the last state.</w:t>
      </w:r>
      <w:r w:rsidR="00491182" w:rsidRPr="007A7F2B">
        <w:t xml:space="preserve"> </w:t>
      </w:r>
      <w:r w:rsidRPr="007A7F2B">
        <w:t>This results in the fact that we get</w:t>
      </w:r>
      <w:r w:rsidR="00491182" w:rsidRPr="007A7F2B">
        <w:t xml:space="preserve"> a closed system in which </w:t>
      </w:r>
      <w:r w:rsidRPr="007A7F2B">
        <w:t xml:space="preserve">a binding equilibrium </w:t>
      </w:r>
      <w:r w:rsidR="00491182" w:rsidRPr="007A7F2B">
        <w:t xml:space="preserve">will form </w:t>
      </w:r>
      <w:r w:rsidRPr="007A7F2B">
        <w:t xml:space="preserve">between the </w:t>
      </w:r>
      <w:r w:rsidR="00491182" w:rsidRPr="007A7F2B">
        <w:t>un</w:t>
      </w:r>
      <w:r w:rsidRPr="007A7F2B">
        <w:t>bound and bound states</w:t>
      </w:r>
      <w:r w:rsidR="00491182" w:rsidRPr="007A7F2B">
        <w:t xml:space="preserve"> as </w:t>
      </w:r>
      <m:oMath>
        <m:r>
          <w:rPr>
            <w:rFonts w:ascii="Cambria Math" w:hAnsi="Cambria Math"/>
          </w:rPr>
          <m:t>t→∞</m:t>
        </m:r>
      </m:oMath>
      <w:r w:rsidR="00474EA3" w:rsidRPr="007A7F2B">
        <w:t xml:space="preserve">. </w:t>
      </w:r>
      <w:r w:rsidR="00823B8A" w:rsidRPr="007A7F2B">
        <w:t xml:space="preserve">The goal is that in </w:t>
      </w:r>
      <w:r w:rsidR="00491182" w:rsidRPr="007A7F2B">
        <w:t xml:space="preserve">this </w:t>
      </w:r>
      <w:r w:rsidR="00201028">
        <w:t xml:space="preserve">binding </w:t>
      </w:r>
      <w:r w:rsidR="00491182" w:rsidRPr="007A7F2B">
        <w:t>equilibrium the occupancy will start to follow the Boltzmann distribution as shown in equation …</w:t>
      </w:r>
      <w:r w:rsidR="00823B8A" w:rsidRPr="007A7F2B">
        <w:t xml:space="preserve">. We want to achieve this goal, since this allows us to relate the energy of a specific state to the probability of being in that state. In other words: to relate the measurements (which measures the occupancy) to the energy landscape that we want to form. </w:t>
      </w:r>
    </w:p>
    <w:p w14:paraId="1E5F9416" w14:textId="5B58478F" w:rsidR="00D31ADB" w:rsidRPr="007A7F2B" w:rsidRDefault="00846B30" w:rsidP="006E29F5">
      <m:oMathPara>
        <m:oMath>
          <m:sSubSup>
            <m:sSubSupPr>
              <m:ctrlPr>
                <w:rPr>
                  <w:rFonts w:ascii="Cambria Math" w:hAnsi="Cambria Math"/>
                  <w:i/>
                </w:rPr>
              </m:ctrlPr>
            </m:sSubSupPr>
            <m:e>
              <m:r>
                <w:rPr>
                  <w:rFonts w:ascii="Cambria Math" w:hAnsi="Cambria Math"/>
                </w:rPr>
                <m:t>p</m:t>
              </m:r>
            </m:e>
            <m:sub>
              <m:r>
                <w:rPr>
                  <w:rFonts w:ascii="Cambria Math" w:hAnsi="Cambria Math"/>
                </w:rPr>
                <m:t>ub,b</m:t>
              </m:r>
            </m:sub>
            <m:sup>
              <m:r>
                <w:rPr>
                  <w:rFonts w:ascii="Cambria Math" w:hAnsi="Cambria Math"/>
                </w:rPr>
                <m:t>EQ</m:t>
              </m:r>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ub,b</m:t>
                      </m:r>
                    </m:sub>
                  </m:sSub>
                </m:sup>
              </m:sSup>
            </m:num>
            <m:den>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ub</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sup>
              </m:sSup>
            </m:num>
            <m:den>
              <m:r>
                <w:rPr>
                  <w:rFonts w:ascii="Cambria Math" w:hAnsi="Cambria Math"/>
                </w:rPr>
                <m:t>Z</m:t>
              </m:r>
            </m:den>
          </m:f>
        </m:oMath>
      </m:oMathPara>
    </w:p>
    <w:p w14:paraId="7D039B5A" w14:textId="6F8082E3" w:rsidR="00823B8A" w:rsidRPr="007A7F2B" w:rsidRDefault="00823B8A" w:rsidP="006E29F5">
      <w:r w:rsidRPr="007A7F2B">
        <w:t>Here</w:t>
      </w:r>
      <w:r w:rsidR="00474EA3" w:rsidRPr="007A7F2B">
        <w:t xml:space="preserve"> Z is the systems partition function</w:t>
      </w:r>
      <w:r w:rsidRPr="007A7F2B">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7A7F2B">
        <w:t xml:space="preserve"> is the free energy for that state</w:t>
      </w:r>
      <w:r w:rsidR="00474EA3" w:rsidRPr="007A7F2B">
        <w:t>.</w:t>
      </w:r>
      <w:r w:rsidR="006E29F5" w:rsidRPr="007A7F2B">
        <w:t xml:space="preserve"> </w:t>
      </w:r>
    </w:p>
    <w:p w14:paraId="635A9652" w14:textId="6A66E947" w:rsidR="00834BDD" w:rsidRPr="007A7F2B" w:rsidRDefault="00201028" w:rsidP="006E29F5">
      <w:r>
        <w:t>I</w:t>
      </w:r>
      <w:r w:rsidR="00823B8A" w:rsidRPr="007A7F2B">
        <w:t xml:space="preserve">n order to get this binding equilibrium for </w:t>
      </w:r>
      <m:oMath>
        <m:r>
          <w:rPr>
            <w:rFonts w:ascii="Cambria Math" w:hAnsi="Cambria Math"/>
          </w:rPr>
          <m:t>t→∞</m:t>
        </m:r>
      </m:oMath>
      <w:r>
        <w:t xml:space="preserve"> (it might never occur during the whole experiment),</w:t>
      </w:r>
      <w:r w:rsidR="00834BDD" w:rsidRPr="007A7F2B">
        <w:t xml:space="preserve"> we impose a detailed balance condition as stated in equation … . This is obtained by saying that the occupancy over time should not change if there is a binding equilibrium (see equation .. and ...). </w:t>
      </w:r>
    </w:p>
    <w:p w14:paraId="7C4EE151" w14:textId="37804A61" w:rsidR="006E29F5" w:rsidRPr="007A7F2B" w:rsidRDefault="00846B30" w:rsidP="006E29F5">
      <m:oMathPara>
        <m:oMath>
          <m:f>
            <m:fPr>
              <m:ctrlPr>
                <w:rPr>
                  <w:rFonts w:ascii="Cambria Math" w:hAnsi="Cambria Math"/>
                  <w:i/>
                </w:rPr>
              </m:ctrlPr>
            </m:fPr>
            <m:num>
              <m:r>
                <w:rPr>
                  <w:rFonts w:ascii="Cambria Math" w:hAnsi="Cambria Math"/>
                </w:rPr>
                <m:t>d</m:t>
              </m:r>
              <m:sSubSup>
                <m:sSubSupPr>
                  <m:ctrlPr>
                    <w:rPr>
                      <w:rFonts w:ascii="Cambria Math" w:hAnsi="Cambria Math"/>
                      <w:i/>
                    </w:rPr>
                  </m:ctrlPr>
                </m:sSubSupPr>
                <m:e>
                  <m:r>
                    <w:rPr>
                      <w:rFonts w:ascii="Cambria Math" w:hAnsi="Cambria Math"/>
                    </w:rPr>
                    <m:t>p</m:t>
                  </m:r>
                </m:e>
                <m:sub>
                  <m:r>
                    <w:rPr>
                      <w:rFonts w:ascii="Cambria Math" w:hAnsi="Cambria Math"/>
                    </w:rPr>
                    <m:t>ub</m:t>
                  </m:r>
                </m:sub>
                <m:sup>
                  <m:r>
                    <w:rPr>
                      <w:rFonts w:ascii="Cambria Math" w:hAnsi="Cambria Math"/>
                    </w:rPr>
                    <m:t>EQ</m:t>
                  </m:r>
                </m:sup>
              </m:sSubSup>
            </m:num>
            <m:den>
              <m:r>
                <w:rPr>
                  <w:rFonts w:ascii="Cambria Math" w:hAnsi="Cambria Math"/>
                </w:rPr>
                <m:t>dt</m:t>
              </m:r>
            </m:den>
          </m:f>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on</m:t>
              </m:r>
            </m:sub>
          </m:sSub>
          <m:sSubSup>
            <m:sSubSupPr>
              <m:ctrlPr>
                <w:rPr>
                  <w:rFonts w:ascii="Cambria Math" w:hAnsi="Cambria Math"/>
                  <w:i/>
                </w:rPr>
              </m:ctrlPr>
            </m:sSubSupPr>
            <m:e>
              <m:r>
                <w:rPr>
                  <w:rFonts w:ascii="Cambria Math" w:hAnsi="Cambria Math"/>
                </w:rPr>
                <m:t>p</m:t>
              </m:r>
            </m:e>
            <m:sub>
              <m:r>
                <w:rPr>
                  <w:rFonts w:ascii="Cambria Math" w:hAnsi="Cambria Math"/>
                </w:rPr>
                <m:t>ub</m:t>
              </m:r>
            </m:sub>
            <m:sup>
              <m:r>
                <w:rPr>
                  <w:rFonts w:ascii="Cambria Math" w:hAnsi="Cambria Math"/>
                </w:rPr>
                <m:t>EQ</m:t>
              </m:r>
            </m:sup>
          </m:sSub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off</m:t>
              </m:r>
            </m:sub>
          </m:sSub>
          <m:sSubSup>
            <m:sSubSupPr>
              <m:ctrlPr>
                <w:rPr>
                  <w:rFonts w:ascii="Cambria Math" w:hAnsi="Cambria Math"/>
                  <w:i/>
                </w:rPr>
              </m:ctrlPr>
            </m:sSubSupPr>
            <m:e>
              <m:r>
                <w:rPr>
                  <w:rFonts w:ascii="Cambria Math" w:hAnsi="Cambria Math"/>
                </w:rPr>
                <m:t>p</m:t>
              </m:r>
            </m:e>
            <m:sub>
              <m:r>
                <w:rPr>
                  <w:rFonts w:ascii="Cambria Math" w:hAnsi="Cambria Math"/>
                </w:rPr>
                <m:t>bnd</m:t>
              </m:r>
            </m:sub>
            <m:sup>
              <m:r>
                <w:rPr>
                  <w:rFonts w:ascii="Cambria Math" w:hAnsi="Cambria Math"/>
                </w:rPr>
                <m:t>EQ</m:t>
              </m:r>
            </m:sup>
          </m:sSubSup>
          <m:r>
            <w:rPr>
              <w:rFonts w:ascii="Cambria Math" w:hAnsi="Cambria Math"/>
            </w:rPr>
            <m:t>=0</m:t>
          </m:r>
        </m:oMath>
      </m:oMathPara>
    </w:p>
    <w:p w14:paraId="241EA73F" w14:textId="31A499B2" w:rsidR="006E29F5" w:rsidRPr="007A7F2B" w:rsidRDefault="00846B30" w:rsidP="006E29F5">
      <m:oMathPara>
        <m:oMath>
          <m:sSub>
            <m:sSubPr>
              <m:ctrlPr>
                <w:rPr>
                  <w:rFonts w:ascii="Cambria Math" w:hAnsi="Cambria Math"/>
                  <w:i/>
                </w:rPr>
              </m:ctrlPr>
            </m:sSubPr>
            <m:e>
              <m:r>
                <w:rPr>
                  <w:rFonts w:ascii="Cambria Math" w:hAnsi="Cambria Math"/>
                </w:rPr>
                <m:t>k</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on</m:t>
              </m:r>
            </m:sub>
          </m:sSub>
          <m:f>
            <m:fPr>
              <m:ctrlPr>
                <w:rPr>
                  <w:rFonts w:ascii="Cambria Math" w:hAnsi="Cambria Math"/>
                  <w:i/>
                </w:rPr>
              </m:ctrlPr>
            </m:fPr>
            <m:num>
              <m:sSubSup>
                <m:sSubSupPr>
                  <m:ctrlPr>
                    <w:rPr>
                      <w:rFonts w:ascii="Cambria Math" w:hAnsi="Cambria Math"/>
                      <w:i/>
                    </w:rPr>
                  </m:ctrlPr>
                </m:sSubSupPr>
                <m:e>
                  <m:r>
                    <w:rPr>
                      <w:rFonts w:ascii="Cambria Math" w:hAnsi="Cambria Math"/>
                    </w:rPr>
                    <m:t>p</m:t>
                  </m:r>
                </m:e>
                <m:sub>
                  <m:r>
                    <w:rPr>
                      <w:rFonts w:ascii="Cambria Math" w:hAnsi="Cambria Math"/>
                    </w:rPr>
                    <m:t>ub</m:t>
                  </m:r>
                </m:sub>
                <m:sup>
                  <m:r>
                    <w:rPr>
                      <w:rFonts w:ascii="Cambria Math" w:hAnsi="Cambria Math"/>
                    </w:rPr>
                    <m:t>EQ</m:t>
                  </m:r>
                </m:sup>
              </m:sSubSup>
            </m:num>
            <m:den>
              <m:sSubSup>
                <m:sSubSupPr>
                  <m:ctrlPr>
                    <w:rPr>
                      <w:rFonts w:ascii="Cambria Math" w:hAnsi="Cambria Math"/>
                      <w:i/>
                    </w:rPr>
                  </m:ctrlPr>
                </m:sSubSupPr>
                <m:e>
                  <m:r>
                    <w:rPr>
                      <w:rFonts w:ascii="Cambria Math" w:hAnsi="Cambria Math"/>
                    </w:rPr>
                    <m:t>p</m:t>
                  </m:r>
                </m:e>
                <m:sub>
                  <m:r>
                    <w:rPr>
                      <w:rFonts w:ascii="Cambria Math" w:hAnsi="Cambria Math"/>
                    </w:rPr>
                    <m:t>bnd</m:t>
                  </m:r>
                </m:sub>
                <m:sup>
                  <m:r>
                    <w:rPr>
                      <w:rFonts w:ascii="Cambria Math" w:hAnsi="Cambria Math"/>
                    </w:rPr>
                    <m:t>EQ</m:t>
                  </m:r>
                </m:sup>
              </m:sSubSup>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on</m:t>
              </m:r>
            </m:sub>
          </m:sSub>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ub</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m:t>
                  </m:r>
                </m:sub>
              </m:sSub>
              <m:r>
                <w:rPr>
                  <w:rFonts w:ascii="Cambria Math" w:hAnsi="Cambria Math"/>
                </w:rPr>
                <m:t>)</m:t>
              </m:r>
            </m:sup>
          </m:sSup>
        </m:oMath>
      </m:oMathPara>
    </w:p>
    <w:p w14:paraId="12A9081A" w14:textId="4C53E316" w:rsidR="006E29F5" w:rsidRPr="007A7F2B" w:rsidRDefault="006E29F5" w:rsidP="006E29F5">
      <w:r w:rsidRPr="007A7F2B">
        <w:t xml:space="preserve">To generalise </w:t>
      </w:r>
      <w:r w:rsidR="00834BDD" w:rsidRPr="007A7F2B">
        <w:t>this detailed balance condition</w:t>
      </w:r>
      <w:r w:rsidRPr="007A7F2B">
        <w:t xml:space="preserve"> to every state in our 23 state model with adjacent states </w:t>
      </w:r>
      <m:oMath>
        <m:r>
          <w:rPr>
            <w:rFonts w:ascii="Cambria Math" w:hAnsi="Cambria Math"/>
          </w:rPr>
          <m:t>i</m:t>
        </m:r>
      </m:oMath>
      <w:r w:rsidRPr="007A7F2B">
        <w:t xml:space="preserve"> and </w:t>
      </w:r>
      <m:oMath>
        <m:r>
          <w:rPr>
            <w:rFonts w:ascii="Cambria Math" w:hAnsi="Cambria Math"/>
          </w:rPr>
          <m:t>j</m:t>
        </m:r>
      </m:oMath>
      <w:r w:rsidRPr="007A7F2B">
        <w:t>:</w:t>
      </w:r>
    </w:p>
    <w:p w14:paraId="08DE8D84" w14:textId="4594E766" w:rsidR="006E29F5" w:rsidRPr="007A7F2B" w:rsidRDefault="00846B30" w:rsidP="006E29F5">
      <m:oMathPara>
        <m:oMath>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i→j</m:t>
                  </m:r>
                </m:sub>
              </m:sSub>
            </m:num>
            <m:den>
              <m:sSub>
                <m:sSubPr>
                  <m:ctrlPr>
                    <w:rPr>
                      <w:rFonts w:ascii="Cambria Math" w:hAnsi="Cambria Math"/>
                      <w:i/>
                    </w:rPr>
                  </m:ctrlPr>
                </m:sSubPr>
                <m:e>
                  <m:r>
                    <w:rPr>
                      <w:rFonts w:ascii="Cambria Math" w:hAnsi="Cambria Math"/>
                    </w:rPr>
                    <m:t>k</m:t>
                  </m:r>
                </m:e>
                <m:sub>
                  <m:r>
                    <w:rPr>
                      <w:rFonts w:ascii="Cambria Math" w:hAnsi="Cambria Math"/>
                    </w:rPr>
                    <m:t>j→i</m:t>
                  </m:r>
                </m:sub>
              </m:sSub>
            </m:den>
          </m:f>
          <m:r>
            <w:rPr>
              <w:rFonts w:ascii="Cambria Math" w:hAnsi="Cambria Math"/>
            </w:rPr>
            <m:t>=</m:t>
          </m:r>
          <m:sSup>
            <m:sSupPr>
              <m:ctrlPr>
                <w:rPr>
                  <w:rFonts w:ascii="Cambria Math" w:hAnsi="Cambria Math"/>
                  <w:i/>
                </w:rPr>
              </m:ctrlPr>
            </m:sSupPr>
            <m:e>
              <m:r>
                <w:rPr>
                  <w:rFonts w:ascii="Cambria Math" w:hAnsi="Cambria Math"/>
                </w:rPr>
                <m:t>e</m:t>
              </m:r>
            </m:e>
            <m:sup>
              <m:r>
                <m:rPr>
                  <m:sty m:val="p"/>
                </m:rPr>
                <w:rPr>
                  <w:rFonts w:ascii="Cambria Math" w:hAnsi="Cambria Math"/>
                </w:rPr>
                <m:t>Δ</m:t>
              </m:r>
              <m:sSub>
                <m:sSubPr>
                  <m:ctrlPr>
                    <w:rPr>
                      <w:rFonts w:ascii="Cambria Math" w:hAnsi="Cambria Math"/>
                      <w:i/>
                    </w:rPr>
                  </m:ctrlPr>
                </m:sSubPr>
                <m:e>
                  <m:r>
                    <w:rPr>
                      <w:rFonts w:ascii="Cambria Math" w:hAnsi="Cambria Math"/>
                    </w:rPr>
                    <m:t>F</m:t>
                  </m:r>
                </m:e>
                <m:sub>
                  <m:r>
                    <w:rPr>
                      <w:rFonts w:ascii="Cambria Math" w:hAnsi="Cambria Math"/>
                    </w:rPr>
                    <m:t>ij</m:t>
                  </m:r>
                </m:sub>
              </m:sSub>
            </m:sup>
          </m:sSup>
        </m:oMath>
      </m:oMathPara>
    </w:p>
    <w:p w14:paraId="4048AB7F" w14:textId="1BC444E0" w:rsidR="006E29F5" w:rsidRPr="007A7F2B" w:rsidRDefault="00021A92" w:rsidP="00021A92">
      <w:pPr>
        <w:pStyle w:val="Heading1"/>
      </w:pPr>
      <w:bookmarkStart w:id="14" w:name="_Toc10029734"/>
      <w:r w:rsidRPr="007A7F2B">
        <w:t>Other assumptions</w:t>
      </w:r>
      <w:bookmarkEnd w:id="14"/>
    </w:p>
    <w:p w14:paraId="09597D49" w14:textId="0CB3B34F" w:rsidR="00B17EB9" w:rsidRPr="007A7F2B" w:rsidRDefault="00B17EB9" w:rsidP="006E29F5">
      <w:r w:rsidRPr="007A7F2B">
        <w:t xml:space="preserve">The rate from solution to PAM is </w:t>
      </w:r>
      <w:r w:rsidR="00834BDD" w:rsidRPr="007A7F2B">
        <w:t xml:space="preserve">linearly </w:t>
      </w:r>
      <w:r w:rsidRPr="007A7F2B">
        <w:t>dependent on the concentration of CRISPR-Cas9</w:t>
      </w:r>
    </w:p>
    <w:p w14:paraId="1E24D2B0" w14:textId="755E877E" w:rsidR="00021A92" w:rsidRPr="007A7F2B" w:rsidRDefault="00021A92" w:rsidP="006E29F5">
      <w:r w:rsidRPr="007A7F2B">
        <w:t>All the internal forward rates are equal, the backward rate is determined by the relation as described above. So they depend on the energy landscape</w:t>
      </w:r>
    </w:p>
    <w:p w14:paraId="36F2F6F1" w14:textId="1106E516" w:rsidR="00D61F2C" w:rsidRPr="007A7F2B" w:rsidRDefault="00D61F2C" w:rsidP="006E29F5">
      <w:r w:rsidRPr="007A7F2B">
        <w:t>……………………………..</w:t>
      </w:r>
    </w:p>
    <w:p w14:paraId="6DAFB41A" w14:textId="77777777" w:rsidR="00287719" w:rsidRDefault="00287719"/>
    <w:p w14:paraId="4E0A101F" w14:textId="77777777" w:rsidR="00201028" w:rsidRDefault="00201028">
      <w:pPr>
        <w:rPr>
          <w:smallCaps/>
          <w:color w:val="262626" w:themeColor="text1" w:themeTint="D9"/>
          <w:sz w:val="48"/>
          <w:szCs w:val="52"/>
        </w:rPr>
      </w:pPr>
      <w:bookmarkStart w:id="15" w:name="_Toc10029735"/>
      <w:r>
        <w:rPr>
          <w:sz w:val="48"/>
        </w:rPr>
        <w:br w:type="page"/>
      </w:r>
    </w:p>
    <w:p w14:paraId="089D338C" w14:textId="09103691" w:rsidR="00287719" w:rsidRPr="007A7F2B" w:rsidRDefault="00287719" w:rsidP="00287719">
      <w:pPr>
        <w:pStyle w:val="Title"/>
        <w:rPr>
          <w:sz w:val="48"/>
        </w:rPr>
      </w:pPr>
      <w:r w:rsidRPr="007A7F2B">
        <w:rPr>
          <w:sz w:val="48"/>
        </w:rPr>
        <w:lastRenderedPageBreak/>
        <w:t>Description of the different experimental set-ups</w:t>
      </w:r>
      <w:bookmarkEnd w:id="15"/>
    </w:p>
    <w:p w14:paraId="11CF48AB" w14:textId="745D9B37" w:rsidR="00287719" w:rsidRDefault="00287719" w:rsidP="00287719">
      <w:r w:rsidRPr="007A7F2B">
        <w:t xml:space="preserve">The physical model of CRISPR-Cas from Klein et al. </w:t>
      </w:r>
      <w:r w:rsidRPr="007A7F2B">
        <w:fldChar w:fldCharType="begin" w:fldLock="1"/>
      </w:r>
      <w:r w:rsidR="002E5DD7">
        <w:instrText>ADDIN CSL_CITATION {"citationItems":[{"id":"ITEM-1","itemData":{"DOI":"10.1016/j.celrep.2018.01.045","ISSN":"22111247","abstract":"Due to their specificity, efficiency, and ease of programming, CRISPR-associated nucleases are popular tools for genome editing. On the genomic scale, these nucleases still show considerable off-target activity though, posing a serious obstacle to the development of therapies. Off targeting is often minimized by choosing especially high-specificity guide sequences, based on algorithms that codify empirically determined off-targeting rules. A lack of mechanistic understanding of these rules has so far necessitated their ad hoc implementation, likely contributing to the limited precision of present algorithms. To understand the targeting rules, we kinetically model the physics of guide-target hybrid formation. Using only four parameters, our model elucidates the kinetic origin of the experimentally observed off-targeting rules, thereby rationalizing the results from both binding and cleavage assays. We favorably compare our model to published data from CRISPR-Cas9, CRISPR-Cpf1, CRISPR-Cascade, as well as the human Argonaute 2 system. Predicting potential off targets forms an important part of any gene-editing technology intended for therapeutic use. By constructing a kinetic model for target recognition by RNA-guided nucleases, Klein et al. explain experimentally observed off-targeting rules as a direct consequence of guide-target hybridization dynamics.","author":[{"dropping-particle":"","family":"Klein","given":"Misha","non-dropping-particle":"","parse-names":false,"suffix":""},{"dropping-particle":"","family":"Eslami-Mossallam","given":"Behrouz","non-dropping-particle":"","parse-names":false,"suffix":""},{"dropping-particle":"","family":"Arroyo","given":"Dylan Gonzalez","non-dropping-particle":"","parse-names":false,"suffix":""},{"dropping-particle":"","family":"Depken","given":"Martin","non-dropping-particle":"","parse-names":false,"suffix":""}],"container-title":"Cell Reports","id":"ITEM-1","issue":"6","issued":{"date-parts":[["2018"]]},"page":"1413-1423","publisher":"ElsevierCompany.","title":"Hybridization Kinetics Explains CRISPR-Cas Off-Targeting Rules","type":"article-journal","volume":"22"},"uris":["http://www.mendeley.com/documents/?uuid=f6d97e96-f4fa-4904-8690-fea302d9ab19"]}],"mendeley":{"formattedCitation":"(32)","plainTextFormattedCitation":"(32)","previouslyFormattedCitation":"(33)"},"properties":{"noteIndex":0},"schema":"https://github.com/citation-style-language/schema/raw/master/csl-citation.json"}</w:instrText>
      </w:r>
      <w:r w:rsidRPr="007A7F2B">
        <w:fldChar w:fldCharType="separate"/>
      </w:r>
      <w:r w:rsidR="002E5DD7" w:rsidRPr="002E5DD7">
        <w:rPr>
          <w:noProof/>
        </w:rPr>
        <w:t>(32)</w:t>
      </w:r>
      <w:r w:rsidRPr="007A7F2B">
        <w:fldChar w:fldCharType="end"/>
      </w:r>
      <w:r w:rsidRPr="007A7F2B">
        <w:t xml:space="preserve"> is </w:t>
      </w:r>
      <w:r>
        <w:t xml:space="preserve">trained </w:t>
      </w:r>
      <w:r w:rsidRPr="007A7F2B">
        <w:t xml:space="preserve">on the experimental data of Boyle et al. </w:t>
      </w:r>
      <w:r w:rsidRPr="007A7F2B">
        <w:fldChar w:fldCharType="begin" w:fldLock="1"/>
      </w:r>
      <w:r w:rsidR="002E5DD7">
        <w:instrText>ADDIN CSL_CITATION {"citationItems":[{"id":"ITEM-1","itemData":{"DOI":"10.1073/pnas.1700557114","ISBN":"1700557114","ISSN":"0027-8424","abstract":"A five-year old, spayed female, Bearded Collie was presented with a 24-hour history of non-weight-bearing lameness of the right thoracic limb after sustaining vehicular trauma. Radiographs revealed a craniolateral scapulohumeral luxation and a distally and medially displaced fracture of the lesser tubercle of the humerus. Open reduction and internal fixation of the fracture was achieved with lag screw fixation and an anti-rotational Kirschner wire. Surgical repair resulted in compression across the fracture line, anatomic reduction of the articular surface, and a stable scapulohumeral joint following reduction of the humeral head in the glenoid. Six weeks postoperatively, the patient exhibited no evidence of pain or lameness on the right thoracic limb and radiographs revealed complete healing of the fracture and normal articulation of the scapulohumeral joint. This is the first report of a lesser tubercle fracture associated with a craniolateral shoulder luxation. Surgical intervention resulted in the return of full shoulder joint function in this dog.","author":[{"dropping-particle":"","family":"Boyle","given":"Evan A.","non-dropping-particle":"","parse-names":false,"suffix":""},{"dropping-particle":"","family":"Andreasson","given":"Johan O. L.","non-dropping-particle":"","parse-names":false,"suffix":""},{"dropping-particle":"","family":"Chircus","given":"Lauren M.","non-dropping-particle":"","parse-names":false,"suffix":""},{"dropping-particle":"","family":"Sternberg","given":"Samuel H.","non-dropping-particle":"","parse-names":false,"suffix":""},{"dropping-particle":"","family":"Wu","given":"Michelle J.","non-dropping-particle":"","parse-names":false,"suffix":""},{"dropping-particle":"","family":"Guegler","given":"Chantal K.","non-dropping-particle":"","parse-names":false,"suffix":""},{"dropping-particle":"","family":"Doudna","given":"Jennifer A.","non-dropping-particle":"","parse-names":false,"suffix":""},{"dropping-particle":"","family":"Greenleaf","given":"William J.","non-dropping-particle":"","parse-names":false,"suffix":""}],"container-title":"Proceedings of the National Academy of Sciences","id":"ITEM-1","issue":"21","issued":{"date-parts":[["2017"]]},"page":"5461-5466","title":"High-throughput biochemical profiling reveals sequence determinants of dCas9 off-target binding and unbinding","type":"article-journal","volume":"114"},"uris":["http://www.mendeley.com/documents/?uuid=5d3bd9c9-c3d5-4909-940e-4419508f06a1"]}],"mendeley":{"formattedCitation":"(25)","plainTextFormattedCitation":"(25)","previouslyFormattedCitation":"(26)"},"properties":{"noteIndex":0},"schema":"https://github.com/citation-style-language/schema/raw/master/csl-citation.json"}</w:instrText>
      </w:r>
      <w:r w:rsidRPr="007A7F2B">
        <w:fldChar w:fldCharType="separate"/>
      </w:r>
      <w:r w:rsidR="002E5DD7" w:rsidRPr="002E5DD7">
        <w:rPr>
          <w:noProof/>
        </w:rPr>
        <w:t>(25)</w:t>
      </w:r>
      <w:r w:rsidRPr="007A7F2B">
        <w:fldChar w:fldCharType="end"/>
      </w:r>
      <w:r w:rsidRPr="007A7F2B">
        <w:t xml:space="preserve">. </w:t>
      </w:r>
      <w:r>
        <w:t xml:space="preserve">This data was used since by only looking at the data you could already see certain patterns, indicating that you can actually subtract some features and are not only looking at noise. </w:t>
      </w:r>
      <w:r w:rsidRPr="007A7F2B">
        <w:t>Using their data had 3 main advantages. At first, the measurements included the</w:t>
      </w:r>
      <w:r>
        <w:t xml:space="preserve"> occupancy in</w:t>
      </w:r>
      <w:r w:rsidRPr="007A7F2B">
        <w:t xml:space="preserve"> binding equilibrium and the effective on- and off-rates, which </w:t>
      </w:r>
      <w:r>
        <w:t>are parameters and variables Klein et al. also use in their model</w:t>
      </w:r>
      <w:r w:rsidRPr="007A7F2B">
        <w:t xml:space="preserve">. Secondly, their data included all single and double mismatch sequences. Thirdly, not only the mismatch type, but also the exact mismatch base that occurred was recorded. Although this last point is not yet included in the model, it could be used in the future. </w:t>
      </w:r>
    </w:p>
    <w:p w14:paraId="4B8CD990" w14:textId="423B2828" w:rsidR="002E5DD7" w:rsidRDefault="002E5DD7" w:rsidP="00287719">
      <w:r>
        <w:t xml:space="preserve">Now we want to be able to train the model on the data of Finkelstein et al. </w:t>
      </w:r>
      <w:r>
        <w:fldChar w:fldCharType="begin" w:fldLock="1"/>
      </w:r>
      <w:r>
        <w:instrText xml:space="preserve">ADDIN CSL_CITATION {"citationItems":[{"id":"ITEM-1","itemData":{"DOI":"10.1016/j.cell.2017.05.044","ISSN":"10974172","abstract":"CRISPR-Cas nucleoproteins target foreign DNA via base pairing with a crRNA. However, a quantitative description of protein binding and nuclease activation at off-target DNA sequences remains elusive. Here, we describe a chip-hybridized association-mapping platform (CHAMP) that repurposes next-generation sequencing chips to simultaneously measure the interactions between proteins and </w:instrText>
      </w:r>
      <w:r>
        <w:rPr>
          <w:rFonts w:ascii="Cambria Math" w:hAnsi="Cambria Math" w:cs="Cambria Math"/>
        </w:rPr>
        <w:instrText>∼</w:instrText>
      </w:r>
      <w:r>
        <w:instrText>107 unique DNA sequences. Using CHAMP, we provide the first comprehensive survey of DNA recognition by a type I-E CRISPR-Cas (Cascade) complex and Cas3 nuclease. Analysis of mutated target sequences and human genomic DNA reveal that Cascade recognizes an extended protospacer adjacent motif (PAM). Cascade recognizes DNA with a surprising 3-nt periodicity. The identity of the PAM and the PAM-proximal nucleotides control Cas3 recruitment by releasing the Cse1 subunit. These findings are used to develop a model for the biophysical constraints governing off-target DNA binding. CHAMP provides a framework for high-throughput, quantitative analysis of protein-DNA interactions on synthetic and genomic DNA. PaperClip [Figure presented]","author":[{"dropping-particle":"","family":"Jung","given":"Cheulhee","non-dropping-particle":"","parse-names":false,"suffix":""},{"dropping-particle":"","family":"Hawkins","given":"John A.","non-dropping-particle":"","parse-names":false,"suffix":""},{"dropping-particle":"","family":"Jones","given":"Stephen K.","non-dropping-particle":"","parse-names":false,"suffix":""},{"dropping-particle":"","family":"Xiao","given":"Yibei","non-dropping-particle":"","parse-names":false,"suffix":""},{"dropping-particle":"","family":"Rybarski","given":"James R.","non-dropping-particle":"","parse-names":false,"suffix":""},{"dropping-particle":"","family":"Dillard","given":"Kaylee E.","non-dropping-particle":"","parse-names":false,"suffix":""},{"dropping-particle":"","family":"Hussmann","given":"Jeffrey","non-dropping-particle":"","parse-names":false,"suffix":""},{"dropping-particle":"","family":"Saifuddin","given":"Fatema A.","non-dropping-particle":"","parse-names":false,"suffix":""},{"dropping-particle":"","family":"Savran","given":"Cagri A.","non-dropping-particle":"","parse-names":false,"suffix":""},{"dropping-particle":"","family":"Ellington","given":"Andrew D.","non-dropping-particle":"","parse-names":false,"suffix":""},{"dropping-particle":"","family":"Ke","given":"Ailong","non-dropping-particle":"","parse-names":false,"suffix":""},{"dropping-particle":"","family":"Press","given":"William H.","non-dropping-particle":"","parse-names":false,"suffix":""},{"dropping-particle":"","family":"Finkelstein","given":"Ilya J.","non-dropping-particle":"","parse-names":false,"suffix":""}],"container-title":"Cell","id":"ITEM-1","issue":"1","issued":{"date-parts":[["2017"]]},"page":"35-47.e13","publisher":"Elsevier","title":"Massively Parallel Biophysical Analysis of CRISPR-Cas Complexes on Next Generation Sequencing Chips","type":"article-journal","volume":"170"},"uris":["http://www.mendeley.com/documents/?uuid=353b09e7-244b-48a1-8a5b-7c5ce688fe97"]}],"mendeley":{"formattedCitation":"(26)","plainTextFormattedCitation":"(26)"},"properties":{"noteIndex":0},"schema":"https://github.com/citation-style-language/schema/raw/master/csl-citation.json"}</w:instrText>
      </w:r>
      <w:r>
        <w:fldChar w:fldCharType="separate"/>
      </w:r>
      <w:r w:rsidRPr="002E5DD7">
        <w:rPr>
          <w:noProof/>
        </w:rPr>
        <w:t>(26)</w:t>
      </w:r>
      <w:r>
        <w:fldChar w:fldCharType="end"/>
      </w:r>
      <w:r>
        <w:t xml:space="preserve"> in order to be able to switch to other Cas proteins. This data only contains the occupancy after 10 minutes for different concentrations and therefore does not include any information about time(constants)</w:t>
      </w:r>
      <w:r w:rsidR="009605A9">
        <w:t xml:space="preserve">, while the data of Boyle et al. did. For this thesis we want to enable to model to train on this data as well. </w:t>
      </w:r>
    </w:p>
    <w:p w14:paraId="567E330E" w14:textId="77777777" w:rsidR="002E5DD7" w:rsidRPr="007A7F2B" w:rsidRDefault="002E5DD7" w:rsidP="002E5DD7">
      <w:pPr>
        <w:pStyle w:val="Heading1"/>
      </w:pPr>
      <w:bookmarkStart w:id="16" w:name="_Toc10029736"/>
      <w:r w:rsidRPr="007A7F2B">
        <w:t>Finkelstein et al.:</w:t>
      </w:r>
      <w:bookmarkEnd w:id="16"/>
    </w:p>
    <w:p w14:paraId="427995CC" w14:textId="445F38D3" w:rsidR="002E5DD7" w:rsidRPr="007A7F2B" w:rsidRDefault="002E5DD7" w:rsidP="002E5DD7">
      <w:r w:rsidRPr="007A7F2B">
        <w:t xml:space="preserve">Finkelstein et al. </w:t>
      </w:r>
      <w:r w:rsidRPr="007A7F2B">
        <w:fldChar w:fldCharType="begin" w:fldLock="1"/>
      </w:r>
      <w:r>
        <w:instrText xml:space="preserve">ADDIN CSL_CITATION {"citationItems":[{"id":"ITEM-1","itemData":{"DOI":"10.1016/j.cell.2017.05.044","ISSN":"10974172","abstract":"CRISPR-Cas nucleoproteins target foreign DNA via base pairing with a crRNA. However, a quantitative description of protein binding and nuclease activation at off-target DNA sequences remains elusive. Here, we describe a chip-hybridized association-mapping platform (CHAMP) that repurposes next-generation sequencing chips to simultaneously measure the interactions between proteins and </w:instrText>
      </w:r>
      <w:r>
        <w:rPr>
          <w:rFonts w:ascii="Cambria Math" w:hAnsi="Cambria Math" w:cs="Cambria Math"/>
        </w:rPr>
        <w:instrText>∼</w:instrText>
      </w:r>
      <w:r>
        <w:instrText>107 unique DNA sequences. Using CHAMP, we provide the first comprehensive survey of DNA recognition by a type I-E CRISPR-Cas (Cascade) complex and Cas3 nuclease. Analysis of mutated target sequences and human genomic DNA reveal that Cascade recognizes an extended protospacer adjacent motif (PAM). Cascade recognizes DNA with a surprising 3-nt periodicity. The identity of the PAM and the PAM-proximal nucleotides control Cas3 recruitment by releasing the Cse1 subunit. These findings are used to develop a model for the biophysical constraints governing off-target DNA binding. CHAMP provides a framework for high-throughput, quantitative analysis of protein-DNA interactions on synthetic and genomic DNA. PaperClip [Figure presented]","author":[{"dropping-particle":"","family":"Jung","given":"Cheulhee","non-dropping-particle":"","parse-names":false,"suffix":""},{"dropping-particle":"","family":"Hawkins","given":"John A.","non-dropping-particle":"","parse-names":false,"suffix":""},{"dropping-particle":"","family":"Jones","given":"Stephen K.","non-dropping-particle":"","parse-names":false,"suffix":""},{"dropping-particle":"","family":"Xiao","given":"Yibei","non-dropping-particle":"","parse-names":false,"suffix":""},{"dropping-particle":"","family":"Rybarski","given":"James R.","non-dropping-particle":"","parse-names":false,"suffix":""},{"dropping-particle":"","family":"Dillard","given":"Kaylee E.","non-dropping-particle":"","parse-names":false,"suffix":""},{"dropping-particle":"","family":"Hussmann","given":"Jeffrey","non-dropping-particle":"","parse-names":false,"suffix":""},{"dropping-particle":"","family":"Saifuddin","given":"Fatema A.","non-dropping-particle":"","parse-names":false,"suffix":""},{"dropping-particle":"","family":"Savran","given":"Cagri A.","non-dropping-particle":"","parse-names":false,"suffix":""},{"dropping-particle":"","family":"Ellington","given":"Andrew D.","non-dropping-particle":"","parse-names":false,"suffix":""},{"dropping-particle":"","family":"Ke","given":"Ailong","non-dropping-particle":"","parse-names":false,"suffix":""},{"dropping-particle":"","family":"Press","given":"William H.","non-dropping-particle":"","parse-names":false,"suffix":""},{"dropping-particle":"","family":"Finkelstein","given":"Ilya J.","non-dropping-particle":"","parse-names":false,"suffix":""}],"container-title":"Cell","id":"ITEM-1","issue":"1","issued":{"date-parts":[["2017"]]},"page":"35-47.e13","publisher":"Elsevier","title":"Massively Parallel Biophysical Analysis of CRISPR-Cas Complexes on Next Generation Sequencing Chips","type":"article-journal","volume":"170"},"uris":["http://www.mendeley.com/documents/?uuid=353b09e7-244b-48a1-8a5b-7c5ce688fe97"]}],"mendeley":{"formattedCitation":"(26)","plainTextFormattedCitation":"(26)","previouslyFormattedCitation":"(27)"},"properties":{"noteIndex":0},"schema":"https://github.com/citation-style-language/schema/raw/master/csl-citation.json"}</w:instrText>
      </w:r>
      <w:r w:rsidRPr="007A7F2B">
        <w:fldChar w:fldCharType="separate"/>
      </w:r>
      <w:r w:rsidRPr="002E5DD7">
        <w:rPr>
          <w:noProof/>
        </w:rPr>
        <w:t>(26)</w:t>
      </w:r>
      <w:r w:rsidRPr="007A7F2B">
        <w:fldChar w:fldCharType="end"/>
      </w:r>
      <w:r w:rsidRPr="007A7F2B">
        <w:t xml:space="preserve"> developed chip-hybridized association mapping platform (CHAMP) that combines sequencing with mapping the interaction between proteins and ~10</w:t>
      </w:r>
      <w:r w:rsidRPr="007A7F2B">
        <w:rPr>
          <w:vertAlign w:val="superscript"/>
        </w:rPr>
        <w:t>7</w:t>
      </w:r>
      <w:r w:rsidRPr="007A7F2B">
        <w:t xml:space="preserve"> unique DNA clusters, equally spaced over the chip (See </w:t>
      </w:r>
      <w:fldSimple w:instr=" REF _Ref8723177 ">
        <w:r w:rsidR="00C16253" w:rsidRPr="007A7F2B">
          <w:t xml:space="preserve">Figure </w:t>
        </w:r>
        <w:r w:rsidR="00C16253">
          <w:rPr>
            <w:noProof/>
          </w:rPr>
          <w:t>5</w:t>
        </w:r>
      </w:fldSimple>
      <w:r w:rsidRPr="007A7F2B">
        <w:t xml:space="preserve">).  All of the equally spaced DNA clusters will first be regenerated, in order to remove any fluorescent nucleotides that would otherwise confound imaging. After that, half of the clusters will be labelled with a fluorescent protein to be able to determine the position. They let the fluorescent labelled proteins flow through. Using high-throughput fluorescence imaging (done with TIRF) they can measure the association between fluorescently labelled protein complexes and each DNA cluster. They analyse the images using the CHAMP software pipeline, which maps each fluorescent cluster to the underlying DNA sequence. </w:t>
      </w:r>
    </w:p>
    <w:p w14:paraId="4D749AA9" w14:textId="77777777" w:rsidR="002E5DD7" w:rsidRPr="007A7F2B" w:rsidRDefault="002E5DD7" w:rsidP="002E5DD7">
      <w:pPr>
        <w:keepNext/>
      </w:pPr>
      <w:r w:rsidRPr="007A7F2B">
        <w:rPr>
          <w:noProof/>
        </w:rPr>
        <w:drawing>
          <wp:inline distT="0" distB="0" distL="0" distR="0" wp14:anchorId="37150222" wp14:editId="3BFFA78C">
            <wp:extent cx="5435879" cy="1663786"/>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DCC6E3.tmp"/>
                    <pic:cNvPicPr/>
                  </pic:nvPicPr>
                  <pic:blipFill>
                    <a:blip r:embed="rId12">
                      <a:extLst>
                        <a:ext uri="{28A0092B-C50C-407E-A947-70E740481C1C}">
                          <a14:useLocalDpi xmlns:a14="http://schemas.microsoft.com/office/drawing/2010/main" val="0"/>
                        </a:ext>
                      </a:extLst>
                    </a:blip>
                    <a:stretch>
                      <a:fillRect/>
                    </a:stretch>
                  </pic:blipFill>
                  <pic:spPr>
                    <a:xfrm>
                      <a:off x="0" y="0"/>
                      <a:ext cx="5435879" cy="1663786"/>
                    </a:xfrm>
                    <a:prstGeom prst="rect">
                      <a:avLst/>
                    </a:prstGeom>
                  </pic:spPr>
                </pic:pic>
              </a:graphicData>
            </a:graphic>
          </wp:inline>
        </w:drawing>
      </w:r>
    </w:p>
    <w:p w14:paraId="0D5E2049" w14:textId="7420079A" w:rsidR="002E5DD7" w:rsidRPr="007A7F2B" w:rsidRDefault="002E5DD7" w:rsidP="002E5DD7">
      <w:pPr>
        <w:pStyle w:val="Caption"/>
      </w:pPr>
      <w:bookmarkStart w:id="17" w:name="_Ref8723177"/>
      <w:r w:rsidRPr="007A7F2B">
        <w:t xml:space="preserve">Figure </w:t>
      </w:r>
      <w:fldSimple w:instr=" SEQ Figure \* ARABIC ">
        <w:r w:rsidR="00C16253">
          <w:rPr>
            <w:noProof/>
          </w:rPr>
          <w:t>5</w:t>
        </w:r>
      </w:fldSimple>
      <w:bookmarkEnd w:id="17"/>
      <w:r w:rsidRPr="007A7F2B">
        <w:t xml:space="preserve">: Overview of the CHAMP workflow </w:t>
      </w:r>
      <w:r w:rsidRPr="007A7F2B">
        <w:fldChar w:fldCharType="begin" w:fldLock="1"/>
      </w:r>
      <w:r>
        <w:instrText xml:space="preserve">ADDIN CSL_CITATION {"citationItems":[{"id":"ITEM-1","itemData":{"DOI":"10.1016/j.cell.2017.05.044","ISSN":"10974172","abstract":"CRISPR-Cas nucleoproteins target foreign DNA via base pairing with a crRNA. However, a quantitative description of protein binding and nuclease activation at off-target DNA sequences remains elusive. Here, we describe a chip-hybridized association-mapping platform (CHAMP) that repurposes next-generation sequencing chips to simultaneously measure the interactions between proteins and </w:instrText>
      </w:r>
      <w:r>
        <w:rPr>
          <w:rFonts w:ascii="Cambria Math" w:hAnsi="Cambria Math" w:cs="Cambria Math"/>
        </w:rPr>
        <w:instrText>∼</w:instrText>
      </w:r>
      <w:r>
        <w:instrText>107 unique DNA sequences. Using CHAMP, we provide the first comprehensive survey of DNA recognition by a type I-E CRISPR-Cas (Cascade) complex and Cas3 nuclease. Analysis of mutated target sequences and human genomic DNA reveal that Cascade recognizes an extended protospacer adjacent motif (PAM). Cascade recognizes DNA with a surprising 3-nt periodicity. The identity of the PAM and the PAM-proximal nucleotides control Cas3 recruitment by releasing the Cse1 subunit. These findings are used to develop a model for the biophysical constraints governing off-target DNA binding. CHAMP provides a framework for high-throughput, quantitative analysis of protein-DNA interactions on synthetic and genomic DNA. PaperClip [Figure presented]","author":[{"dropping-particle":"","family":"Jung","given":"Cheulhee","non-dropping-particle":"","parse-names":false,"suffix":""},{"dropping-particle":"","family":"Hawkins","given":"John A.","non-dropping-particle":"","parse-names":false,"suffix":""},{"dropping-particle":"","family":"Jones","given":"Stephen K.","non-dropping-particle":"","parse-names":false,"suffix":""},{"dropping-particle":"","family":"Xiao","given":"Yibei","non-dropping-particle":"","parse-names":false,"suffix":""},{"dropping-particle":"","family":"Rybarski","given":"James R.","non-dropping-particle":"","parse-names":false,"suffix":""},{"dropping-particle":"","family":"Dillard","given":"Kaylee E.","non-dropping-particle":"","parse-names":false,"suffix":""},{"dropping-particle":"","family":"Hussmann","given":"Jeffrey","non-dropping-particle":"","parse-names":false,"suffix":""},{"dropping-particle":"","family":"Saifuddin","given":"Fatema A.","non-dropping-particle":"","parse-names":false,"suffix":""},{"dropping-particle":"","family":"Savran","given":"Cagri A.","non-dropping-particle":"","parse-names":false,"suffix":""},{"dropping-particle":"","family":"Ellington","given":"Andrew D.","non-dropping-particle":"","parse-names":false,"suffix":""},{"dropping-particle":"","family":"Ke","given":"Ailong","non-dropping-particle":"","parse-names":false,"suffix":""},{"dropping-particle":"","family":"Press","given":"William H.","non-dropping-particle":"","parse-names":false,"suffix":""},{"dropping-particle":"","family":"Finkelstein","given":"Ilya J.","non-dropping-particle":"","parse-names":false,"suffix":""}],"container-title":"Cell","id":"ITEM-1","issue":"1","issued":{"date-parts":[["2017"]]},"page":"35-47.e13","publisher":"Elsevier","title":"Massively Parallel Biophysical Analysis of CRISPR-Cas Complexes on Next Generation Sequencing Chips","type":"article-journal","volume":"170"},"uris":["http://www.mendeley.com/documents/?uuid=353b09e7-244b-48a1-8a5b-7c5ce688fe97"]}],"mendeley":{"formattedCitation":"(26)","plainTextFormattedCitation":"(26)","previouslyFormattedCitation":"(27)"},"properties":{"noteIndex":0},"schema":"https://github.com/citation-style-language/schema/raw/master/csl-citation.json"}</w:instrText>
      </w:r>
      <w:r w:rsidRPr="007A7F2B">
        <w:fldChar w:fldCharType="separate"/>
      </w:r>
      <w:r w:rsidRPr="002E5DD7">
        <w:rPr>
          <w:b w:val="0"/>
          <w:noProof/>
        </w:rPr>
        <w:t>(26)</w:t>
      </w:r>
      <w:r w:rsidRPr="007A7F2B">
        <w:fldChar w:fldCharType="end"/>
      </w:r>
      <w:r w:rsidRPr="007A7F2B">
        <w:t xml:space="preserve"> </w:t>
      </w:r>
    </w:p>
    <w:p w14:paraId="6F0950A8" w14:textId="49DAD6FA" w:rsidR="002E5DD7" w:rsidRPr="007A7F2B" w:rsidRDefault="002E5DD7" w:rsidP="002E5DD7">
      <w:r w:rsidRPr="007A7F2B">
        <w:t xml:space="preserve">The data they produced for Cas9 is not published yet. They measured the fluorescence </w:t>
      </w:r>
      <w:r w:rsidR="001E44A8">
        <w:t>for a library of</w:t>
      </w:r>
      <w:r w:rsidRPr="007A7F2B">
        <w:t xml:space="preserve"> DNA strands/clusters </w:t>
      </w:r>
      <w:r w:rsidR="001E44A8">
        <w:t xml:space="preserve">(the same </w:t>
      </w:r>
      <w:r w:rsidRPr="007A7F2B">
        <w:t>as Boyle et al.</w:t>
      </w:r>
      <w:r w:rsidR="001E44A8">
        <w:t>) with all possible single and double mismatch configurations. They measured</w:t>
      </w:r>
      <w:r w:rsidR="007D3EFB">
        <w:t xml:space="preserve"> this</w:t>
      </w:r>
      <w:r w:rsidR="001E44A8">
        <w:t xml:space="preserve"> </w:t>
      </w:r>
      <w:r w:rsidRPr="007A7F2B">
        <w:t xml:space="preserve">after 10 minutes, for 9 different concentrations (0 </w:t>
      </w:r>
      <w:proofErr w:type="spellStart"/>
      <w:r w:rsidRPr="007A7F2B">
        <w:t>nM</w:t>
      </w:r>
      <w:proofErr w:type="spellEnd"/>
      <w:r w:rsidRPr="007A7F2B">
        <w:t xml:space="preserve">, 0.1 </w:t>
      </w:r>
      <w:proofErr w:type="spellStart"/>
      <w:r w:rsidRPr="007A7F2B">
        <w:t>nM</w:t>
      </w:r>
      <w:proofErr w:type="spellEnd"/>
      <w:r w:rsidRPr="007A7F2B">
        <w:t xml:space="preserve">, 0.3 </w:t>
      </w:r>
      <w:proofErr w:type="spellStart"/>
      <w:r w:rsidRPr="007A7F2B">
        <w:t>nM</w:t>
      </w:r>
      <w:proofErr w:type="spellEnd"/>
      <w:r w:rsidRPr="007A7F2B">
        <w:t xml:space="preserve">, 1 </w:t>
      </w:r>
      <w:proofErr w:type="spellStart"/>
      <w:r w:rsidRPr="007A7F2B">
        <w:t>nM</w:t>
      </w:r>
      <w:proofErr w:type="spellEnd"/>
      <w:r w:rsidRPr="007A7F2B">
        <w:t xml:space="preserve">, 3 </w:t>
      </w:r>
      <w:proofErr w:type="spellStart"/>
      <w:r w:rsidRPr="007A7F2B">
        <w:t>nM</w:t>
      </w:r>
      <w:proofErr w:type="spellEnd"/>
      <w:r w:rsidRPr="007A7F2B">
        <w:t xml:space="preserve">, 10 </w:t>
      </w:r>
      <w:proofErr w:type="spellStart"/>
      <w:r w:rsidRPr="007A7F2B">
        <w:t>nM</w:t>
      </w:r>
      <w:proofErr w:type="spellEnd"/>
      <w:r w:rsidRPr="007A7F2B">
        <w:t xml:space="preserve">, 30 </w:t>
      </w:r>
      <w:proofErr w:type="spellStart"/>
      <w:r w:rsidRPr="007A7F2B">
        <w:t>nM</w:t>
      </w:r>
      <w:proofErr w:type="spellEnd"/>
      <w:r w:rsidRPr="007A7F2B">
        <w:t xml:space="preserve">, 100 </w:t>
      </w:r>
      <w:proofErr w:type="spellStart"/>
      <w:r w:rsidRPr="007A7F2B">
        <w:t>nM</w:t>
      </w:r>
      <w:proofErr w:type="spellEnd"/>
      <w:r w:rsidRPr="007A7F2B">
        <w:t xml:space="preserve">, 300 </w:t>
      </w:r>
      <w:proofErr w:type="spellStart"/>
      <w:r w:rsidRPr="007A7F2B">
        <w:t>nM</w:t>
      </w:r>
      <w:proofErr w:type="spellEnd"/>
      <w:r w:rsidRPr="007A7F2B">
        <w:t xml:space="preserve">). </w:t>
      </w:r>
    </w:p>
    <w:p w14:paraId="53682974" w14:textId="65CE2A76" w:rsidR="002E5DD7" w:rsidRPr="007A7F2B" w:rsidRDefault="002E5DD7" w:rsidP="002E5DD7">
      <w:r w:rsidRPr="007A7F2B">
        <w:t>The following assumption should be taken into account:</w:t>
      </w:r>
    </w:p>
    <w:p w14:paraId="5E0B1AAF" w14:textId="1B35C6DA" w:rsidR="002E5DD7" w:rsidRPr="007A7F2B" w:rsidRDefault="002E5DD7" w:rsidP="002E5DD7">
      <w:pPr>
        <w:pStyle w:val="ListParagraph"/>
        <w:numPr>
          <w:ilvl w:val="0"/>
          <w:numId w:val="5"/>
        </w:numPr>
      </w:pPr>
      <w:r w:rsidRPr="007A7F2B">
        <w:t>The measurements are done after 10 minutes. Finkelstein et al. assumed that this was enough time to reach equilibrium. But there was no confirmation or justification of this assumption</w:t>
      </w:r>
      <w:r w:rsidR="00A7072F">
        <w:t xml:space="preserve">. If equilibrium is not reached yet, we will only be able to say something about the first part of the landscape. The second part will simply be undefined because </w:t>
      </w:r>
      <w:r w:rsidR="007D3EFB">
        <w:t>CRISPR-Cas did not have enough time yet to bind so many nucleotides.</w:t>
      </w:r>
    </w:p>
    <w:p w14:paraId="6B0B99B7" w14:textId="04A26A21" w:rsidR="002E5DD7" w:rsidRDefault="002E5DD7" w:rsidP="007D3EFB">
      <w:pPr>
        <w:pStyle w:val="ListParagraph"/>
      </w:pPr>
    </w:p>
    <w:p w14:paraId="3EE5A779" w14:textId="77777777" w:rsidR="001E44A8" w:rsidRPr="007A7F2B" w:rsidRDefault="001E44A8" w:rsidP="001E44A8">
      <w:pPr>
        <w:pStyle w:val="Heading2"/>
      </w:pPr>
      <w:bookmarkStart w:id="18" w:name="_Toc10029737"/>
      <w:r w:rsidRPr="007A7F2B">
        <w:lastRenderedPageBreak/>
        <w:t>Processing of the data from Finkelstein et al.</w:t>
      </w:r>
      <w:bookmarkEnd w:id="18"/>
    </w:p>
    <w:p w14:paraId="0B5697E4" w14:textId="77777777" w:rsidR="001E44A8" w:rsidRPr="007A7F2B" w:rsidRDefault="001E44A8" w:rsidP="001E44A8">
      <w:r w:rsidRPr="007A7F2B">
        <w:t xml:space="preserve">The data we got from Finkelstein et al. is the fluorescence intensity. From this one can calculate the occupancy as described in Equation … . Here </w:t>
      </w:r>
      <m:oMath>
        <m:sSub>
          <m:sSubPr>
            <m:ctrlPr>
              <w:rPr>
                <w:rFonts w:ascii="Cambria Math" w:hAnsi="Cambria Math"/>
                <w:i/>
              </w:rPr>
            </m:ctrlPr>
          </m:sSubPr>
          <m:e>
            <m:r>
              <w:rPr>
                <w:rFonts w:ascii="Cambria Math" w:hAnsi="Cambria Math"/>
              </w:rPr>
              <m:t>I</m:t>
            </m:r>
          </m:e>
          <m:sub>
            <m:r>
              <w:rPr>
                <w:rFonts w:ascii="Cambria Math" w:hAnsi="Cambria Math"/>
              </w:rPr>
              <m:t>min</m:t>
            </m:r>
          </m:sub>
        </m:sSub>
      </m:oMath>
      <w:r w:rsidRPr="007A7F2B">
        <w:t xml:space="preserve"> is …. And </w:t>
      </w:r>
      <w:r w:rsidRPr="007A7F2B">
        <w:softHyphen/>
      </w:r>
      <w:r w:rsidRPr="007A7F2B">
        <w:softHyphen/>
      </w:r>
      <m:oMath>
        <m:sSub>
          <m:sSubPr>
            <m:ctrlPr>
              <w:rPr>
                <w:rFonts w:ascii="Cambria Math" w:hAnsi="Cambria Math"/>
                <w:i/>
              </w:rPr>
            </m:ctrlPr>
          </m:sSubPr>
          <m:e>
            <m:r>
              <w:rPr>
                <w:rFonts w:ascii="Cambria Math" w:hAnsi="Cambria Math"/>
              </w:rPr>
              <m:t>I</m:t>
            </m:r>
          </m:e>
          <m:sub>
            <m:r>
              <w:rPr>
                <w:rFonts w:ascii="Cambria Math" w:hAnsi="Cambria Math"/>
              </w:rPr>
              <m:t>max</m:t>
            </m:r>
          </m:sub>
        </m:sSub>
      </m:oMath>
      <w:r w:rsidRPr="007A7F2B">
        <w:t xml:space="preserve"> is the intensity from the on-target at 300 nM</w:t>
      </w:r>
      <w:r>
        <w:t>, thereby setting the on-target occupancy to one.</w:t>
      </w:r>
    </w:p>
    <w:p w14:paraId="140DAB85" w14:textId="5B402D90" w:rsidR="001E44A8" w:rsidRPr="007A7F2B" w:rsidRDefault="001E44A8" w:rsidP="001E44A8">
      <w:pPr>
        <w:pStyle w:val="Caption"/>
        <w:jc w:val="right"/>
      </w:pPr>
      <m:oMath>
        <m:sSub>
          <m:sSubPr>
            <m:ctrlPr>
              <w:rPr>
                <w:rFonts w:ascii="Cambria Math" w:hAnsi="Cambria Math"/>
                <w:b w:val="0"/>
                <w:i/>
                <w:sz w:val="22"/>
              </w:rPr>
            </m:ctrlPr>
          </m:sSubPr>
          <m:e>
            <m:r>
              <m:rPr>
                <m:sty m:val="bi"/>
              </m:rPr>
              <w:rPr>
                <w:rFonts w:ascii="Cambria Math" w:hAnsi="Cambria Math"/>
                <w:sz w:val="22"/>
              </w:rPr>
              <m:t>P</m:t>
            </m:r>
          </m:e>
          <m:sub>
            <m:r>
              <m:rPr>
                <m:sty m:val="bi"/>
              </m:rPr>
              <w:rPr>
                <w:rFonts w:ascii="Cambria Math" w:hAnsi="Cambria Math"/>
                <w:sz w:val="22"/>
              </w:rPr>
              <m:t>bound</m:t>
            </m:r>
          </m:sub>
        </m:sSub>
        <m:r>
          <m:rPr>
            <m:sty m:val="bi"/>
          </m:rPr>
          <w:rPr>
            <w:rFonts w:ascii="Cambria Math" w:hAnsi="Cambria Math"/>
            <w:sz w:val="22"/>
          </w:rPr>
          <m:t>=</m:t>
        </m:r>
        <m:f>
          <m:fPr>
            <m:ctrlPr>
              <w:rPr>
                <w:rFonts w:ascii="Cambria Math" w:hAnsi="Cambria Math"/>
                <w:b w:val="0"/>
                <w:i/>
                <w:sz w:val="22"/>
              </w:rPr>
            </m:ctrlPr>
          </m:fPr>
          <m:num>
            <m:r>
              <m:rPr>
                <m:sty m:val="bi"/>
              </m:rPr>
              <w:rPr>
                <w:rFonts w:ascii="Cambria Math" w:hAnsi="Cambria Math"/>
                <w:sz w:val="22"/>
              </w:rPr>
              <m:t>I-</m:t>
            </m:r>
            <m:sSub>
              <m:sSubPr>
                <m:ctrlPr>
                  <w:rPr>
                    <w:rFonts w:ascii="Cambria Math" w:hAnsi="Cambria Math"/>
                    <w:b w:val="0"/>
                    <w:i/>
                    <w:sz w:val="22"/>
                  </w:rPr>
                </m:ctrlPr>
              </m:sSubPr>
              <m:e>
                <m:r>
                  <m:rPr>
                    <m:sty m:val="bi"/>
                  </m:rPr>
                  <w:rPr>
                    <w:rFonts w:ascii="Cambria Math" w:hAnsi="Cambria Math"/>
                    <w:sz w:val="22"/>
                  </w:rPr>
                  <m:t>I</m:t>
                </m:r>
              </m:e>
              <m:sub>
                <m:r>
                  <m:rPr>
                    <m:sty m:val="bi"/>
                  </m:rPr>
                  <w:rPr>
                    <w:rFonts w:ascii="Cambria Math" w:hAnsi="Cambria Math"/>
                    <w:sz w:val="22"/>
                  </w:rPr>
                  <m:t>min</m:t>
                </m:r>
              </m:sub>
            </m:sSub>
          </m:num>
          <m:den>
            <m:sSub>
              <m:sSubPr>
                <m:ctrlPr>
                  <w:rPr>
                    <w:rFonts w:ascii="Cambria Math" w:hAnsi="Cambria Math"/>
                    <w:b w:val="0"/>
                    <w:i/>
                    <w:sz w:val="22"/>
                  </w:rPr>
                </m:ctrlPr>
              </m:sSubPr>
              <m:e>
                <m:r>
                  <m:rPr>
                    <m:sty m:val="bi"/>
                  </m:rPr>
                  <w:rPr>
                    <w:rFonts w:ascii="Cambria Math" w:hAnsi="Cambria Math"/>
                    <w:sz w:val="22"/>
                  </w:rPr>
                  <m:t>I</m:t>
                </m:r>
              </m:e>
              <m:sub>
                <m:r>
                  <m:rPr>
                    <m:sty m:val="bi"/>
                  </m:rPr>
                  <w:rPr>
                    <w:rFonts w:ascii="Cambria Math" w:hAnsi="Cambria Math"/>
                    <w:sz w:val="22"/>
                  </w:rPr>
                  <m:t>max</m:t>
                </m:r>
              </m:sub>
            </m:sSub>
            <m:r>
              <m:rPr>
                <m:sty m:val="bi"/>
              </m:rPr>
              <w:rPr>
                <w:rFonts w:ascii="Cambria Math" w:hAnsi="Cambria Math"/>
                <w:sz w:val="22"/>
              </w:rPr>
              <m:t>-</m:t>
            </m:r>
            <m:sSub>
              <m:sSubPr>
                <m:ctrlPr>
                  <w:rPr>
                    <w:rFonts w:ascii="Cambria Math" w:hAnsi="Cambria Math"/>
                    <w:b w:val="0"/>
                    <w:i/>
                    <w:sz w:val="22"/>
                  </w:rPr>
                </m:ctrlPr>
              </m:sSubPr>
              <m:e>
                <m:r>
                  <m:rPr>
                    <m:sty m:val="bi"/>
                  </m:rPr>
                  <w:rPr>
                    <w:rFonts w:ascii="Cambria Math" w:hAnsi="Cambria Math"/>
                    <w:sz w:val="22"/>
                  </w:rPr>
                  <m:t>I</m:t>
                </m:r>
              </m:e>
              <m:sub>
                <m:r>
                  <m:rPr>
                    <m:sty m:val="bi"/>
                  </m:rPr>
                  <w:rPr>
                    <w:rFonts w:ascii="Cambria Math" w:hAnsi="Cambria Math"/>
                    <w:sz w:val="22"/>
                  </w:rPr>
                  <m:t>min</m:t>
                </m:r>
              </m:sub>
            </m:sSub>
          </m:den>
        </m:f>
      </m:oMath>
      <w:r w:rsidRPr="007A7F2B">
        <w:t xml:space="preserve"> </w:t>
      </w:r>
      <w:r w:rsidRPr="007A7F2B">
        <w:tab/>
      </w:r>
      <w:r w:rsidRPr="007A7F2B">
        <w:rPr>
          <w:sz w:val="20"/>
        </w:rPr>
        <w:tab/>
      </w:r>
      <w:r w:rsidRPr="007A7F2B">
        <w:rPr>
          <w:sz w:val="20"/>
        </w:rPr>
        <w:tab/>
      </w:r>
      <w:r w:rsidRPr="007A7F2B">
        <w:rPr>
          <w:sz w:val="20"/>
        </w:rPr>
        <w:tab/>
      </w:r>
      <w:r w:rsidRPr="007A7F2B">
        <w:rPr>
          <w:sz w:val="20"/>
        </w:rPr>
        <w:tab/>
      </w:r>
      <w:r w:rsidRPr="007A7F2B">
        <w:rPr>
          <w:b w:val="0"/>
          <w:sz w:val="20"/>
        </w:rPr>
        <w:t xml:space="preserve"> (</w:t>
      </w:r>
      <w:r w:rsidRPr="007A7F2B">
        <w:rPr>
          <w:b w:val="0"/>
          <w:sz w:val="20"/>
        </w:rPr>
        <w:fldChar w:fldCharType="begin"/>
      </w:r>
      <m:oMath>
        <m:r>
          <m:rPr>
            <m:sty m:val="b"/>
          </m:rPr>
          <w:rPr>
            <w:rFonts w:ascii="Cambria Math" w:hAnsi="Cambria Math"/>
            <w:sz w:val="20"/>
          </w:rPr>
          <m:t xml:space="preserve"> SEQ Equation \* ARABIC </m:t>
        </m:r>
      </m:oMath>
      <w:r w:rsidRPr="007A7F2B">
        <w:rPr>
          <w:b w:val="0"/>
          <w:sz w:val="20"/>
        </w:rPr>
        <w:fldChar w:fldCharType="separate"/>
      </w:r>
      <m:oMath>
        <m:r>
          <m:rPr>
            <m:sty m:val="b"/>
          </m:rPr>
          <w:rPr>
            <w:rFonts w:ascii="Cambria Math" w:hAnsi="Cambria Math"/>
            <w:noProof/>
            <w:sz w:val="20"/>
          </w:rPr>
          <m:t>1</m:t>
        </m:r>
      </m:oMath>
      <w:r w:rsidRPr="007A7F2B">
        <w:rPr>
          <w:b w:val="0"/>
          <w:sz w:val="20"/>
        </w:rPr>
        <w:fldChar w:fldCharType="end"/>
      </w:r>
      <w:r w:rsidRPr="007A7F2B">
        <w:rPr>
          <w:b w:val="0"/>
          <w:sz w:val="20"/>
        </w:rPr>
        <w:t>)</w:t>
      </w:r>
    </w:p>
    <w:p w14:paraId="6B79CECD" w14:textId="2DAA7553" w:rsidR="001E44A8" w:rsidRPr="007A7F2B" w:rsidRDefault="001E44A8" w:rsidP="001E44A8">
      <w:r w:rsidRPr="007A7F2B">
        <w:t xml:space="preserve">From the </w:t>
      </w:r>
      <m:oMath>
        <m:sSub>
          <m:sSubPr>
            <m:ctrlPr>
              <w:rPr>
                <w:rFonts w:ascii="Cambria Math" w:hAnsi="Cambria Math"/>
                <w:i/>
              </w:rPr>
            </m:ctrlPr>
          </m:sSubPr>
          <m:e>
            <m:r>
              <w:rPr>
                <w:rFonts w:ascii="Cambria Math" w:hAnsi="Cambria Math"/>
              </w:rPr>
              <m:t>P</m:t>
            </m:r>
          </m:e>
          <m:sub>
            <m:r>
              <w:rPr>
                <w:rFonts w:ascii="Cambria Math" w:hAnsi="Cambria Math"/>
              </w:rPr>
              <m:t>bound</m:t>
            </m:r>
          </m:sub>
        </m:sSub>
      </m:oMath>
      <w:r w:rsidRPr="007A7F2B">
        <w:t xml:space="preserve"> one can calculate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7A7F2B">
        <w:t xml:space="preserve"> by fitting the resulting curve (of </w:t>
      </w:r>
      <m:oMath>
        <m:sSub>
          <m:sSubPr>
            <m:ctrlPr>
              <w:rPr>
                <w:rFonts w:ascii="Cambria Math" w:hAnsi="Cambria Math"/>
                <w:i/>
              </w:rPr>
            </m:ctrlPr>
          </m:sSubPr>
          <m:e>
            <m:r>
              <w:rPr>
                <w:rFonts w:ascii="Cambria Math" w:hAnsi="Cambria Math"/>
              </w:rPr>
              <m:t>P</m:t>
            </m:r>
          </m:e>
          <m:sub>
            <m:r>
              <w:rPr>
                <w:rFonts w:ascii="Cambria Math" w:hAnsi="Cambria Math"/>
              </w:rPr>
              <m:t>bound</m:t>
            </m:r>
          </m:sub>
        </m:sSub>
      </m:oMath>
      <w:r w:rsidRPr="007A7F2B">
        <w:t xml:space="preserve"> VS concentration) to the Hill-curve as depicted in Formula … . In general terms, the Hill equation describes the fraction of macromolecules saturated by ligand as a function of the ligand concentration. For the justification of the use of the Hill-equation in our model, see the derivation in section …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7A7F2B">
        <w:t xml:space="preserve"> then reflects the concentration at which </w:t>
      </w:r>
      <m:oMath>
        <m:sSub>
          <m:sSubPr>
            <m:ctrlPr>
              <w:rPr>
                <w:rFonts w:ascii="Cambria Math" w:hAnsi="Cambria Math"/>
                <w:i/>
              </w:rPr>
            </m:ctrlPr>
          </m:sSubPr>
          <m:e>
            <m:r>
              <w:rPr>
                <w:rFonts w:ascii="Cambria Math" w:hAnsi="Cambria Math"/>
              </w:rPr>
              <m:t>P</m:t>
            </m:r>
          </m:e>
          <m:sub>
            <m:r>
              <w:rPr>
                <w:rFonts w:ascii="Cambria Math" w:hAnsi="Cambria Math"/>
              </w:rPr>
              <m:t>bnd</m:t>
            </m:r>
          </m:sub>
        </m:sSub>
        <m:r>
          <w:rPr>
            <w:rFonts w:ascii="Cambria Math" w:hAnsi="Cambria Math"/>
          </w:rPr>
          <m:t>=0.5</m:t>
        </m:r>
      </m:oMath>
      <w:r w:rsidRPr="007A7F2B">
        <w:t xml:space="preserve">. (see </w:t>
      </w:r>
      <w:r w:rsidRPr="007A7F2B">
        <w:fldChar w:fldCharType="begin"/>
      </w:r>
      <w:r w:rsidRPr="007A7F2B">
        <w:instrText xml:space="preserve"> REF _Ref9844436 \h </w:instrText>
      </w:r>
      <w:r w:rsidRPr="007A7F2B">
        <w:fldChar w:fldCharType="separate"/>
      </w:r>
      <w:r w:rsidR="00C16253" w:rsidRPr="007A7F2B">
        <w:t xml:space="preserve">Figure </w:t>
      </w:r>
      <w:r w:rsidR="00C16253">
        <w:rPr>
          <w:noProof/>
        </w:rPr>
        <w:t>6</w:t>
      </w:r>
      <w:r w:rsidRPr="007A7F2B">
        <w:fldChar w:fldCharType="end"/>
      </w:r>
      <w:r w:rsidRPr="007A7F2B">
        <w:t>)</w:t>
      </w:r>
    </w:p>
    <w:p w14:paraId="3AFF853C" w14:textId="77777777" w:rsidR="001E44A8" w:rsidRPr="007A7F2B" w:rsidRDefault="001E44A8" w:rsidP="001E44A8">
      <m:oMathPara>
        <m:oMath>
          <m:sSub>
            <m:sSubPr>
              <m:ctrlPr>
                <w:rPr>
                  <w:rFonts w:ascii="Cambria Math" w:hAnsi="Cambria Math"/>
                  <w:i/>
                </w:rPr>
              </m:ctrlPr>
            </m:sSubPr>
            <m:e>
              <m:r>
                <w:rPr>
                  <w:rFonts w:ascii="Cambria Math" w:hAnsi="Cambria Math"/>
                </w:rPr>
                <m:t>P</m:t>
              </m:r>
            </m:e>
            <m:sub>
              <m:r>
                <w:rPr>
                  <w:rFonts w:ascii="Cambria Math" w:hAnsi="Cambria Math"/>
                </w:rPr>
                <m:t>bnd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r>
                    <w:rPr>
                      <w:rFonts w:ascii="Cambria Math" w:hAnsi="Cambria Math"/>
                    </w:rPr>
                    <m:t>c</m:t>
                  </m:r>
                </m:den>
              </m:f>
            </m:den>
          </m:f>
        </m:oMath>
      </m:oMathPara>
    </w:p>
    <w:p w14:paraId="77A724E3" w14:textId="77777777" w:rsidR="001E44A8" w:rsidRPr="007A7F2B" w:rsidRDefault="001E44A8" w:rsidP="001E44A8">
      <w:r w:rsidRPr="007A7F2B">
        <w:t xml:space="preserve">From this the Apparent Binding Affinity (ABA) can be calculated. This is the difference in apparent </w:t>
      </w:r>
      <m:oMath>
        <m:r>
          <m:rPr>
            <m:sty m:val="p"/>
          </m:rPr>
          <w:rPr>
            <w:rFonts w:ascii="Cambria Math" w:hAnsi="Cambria Math"/>
          </w:rPr>
          <m:t>Δ</m:t>
        </m:r>
        <m:r>
          <w:rPr>
            <w:rFonts w:ascii="Cambria Math" w:hAnsi="Cambria Math"/>
          </w:rPr>
          <m:t>G</m:t>
        </m:r>
      </m:oMath>
      <w:r w:rsidRPr="007A7F2B">
        <w:t xml:space="preserve"> (free energy) between the negative control sequence (a random DNA </w:t>
      </w:r>
      <w:r>
        <w:t>sequence that shares no complementarity</w:t>
      </w:r>
      <w:r w:rsidRPr="007A7F2B">
        <w:t xml:space="preserve"> with the RNA guide of the CRISPR) and the sequence of interest. Note the used convention: Lower values indicate stronger binding.</w:t>
      </w:r>
    </w:p>
    <w:p w14:paraId="623F0D5A" w14:textId="77777777" w:rsidR="001E44A8" w:rsidRPr="007A7F2B" w:rsidRDefault="001E44A8" w:rsidP="001E44A8">
      <m:oMathPara>
        <m:oMath>
          <m:r>
            <w:rPr>
              <w:rFonts w:ascii="Cambria Math" w:hAnsi="Cambria Math"/>
            </w:rPr>
            <m:t>ABA=</m:t>
          </m:r>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oMath>
      </m:oMathPara>
    </w:p>
    <w:p w14:paraId="27F01D53" w14:textId="77777777" w:rsidR="001E44A8" w:rsidRPr="007A7F2B" w:rsidRDefault="001E44A8" w:rsidP="001E44A8">
      <w:r w:rsidRPr="007A7F2B">
        <w:t>The ABA gives the amount of free energy for each DNA strand. Since from the experiment we also know if these strands from a match or mismatch with the guide DNA in the CRISPR-Cas9, we can now determine the amount of free energy that a mismatch on every nucleotide will add to the energy landscape and thereby obtain the energy landscape of CRISPR-cas9.</w:t>
      </w:r>
    </w:p>
    <w:p w14:paraId="41A1B4A5" w14:textId="77777777" w:rsidR="001E44A8" w:rsidRPr="007A7F2B" w:rsidRDefault="001E44A8" w:rsidP="001E44A8">
      <w:pPr>
        <w:keepNext/>
        <w:jc w:val="center"/>
      </w:pPr>
      <w:r w:rsidRPr="007A7F2B">
        <w:rPr>
          <w:noProof/>
        </w:rPr>
        <w:drawing>
          <wp:inline distT="0" distB="0" distL="0" distR="0" wp14:anchorId="22CBE871" wp14:editId="03A109A0">
            <wp:extent cx="3643532" cy="2636748"/>
            <wp:effectExtent l="0" t="0" r="0" b="0"/>
            <wp:docPr id="23" name="Picture 23" descr="C:\Users\Diewertje\AppData\Local\Microsoft\Windows\INetCache\Content.MSO\731986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iewertje\AppData\Local\Microsoft\Windows\INetCache\Content.MSO\731986FB.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51019" cy="2642166"/>
                    </a:xfrm>
                    <a:prstGeom prst="rect">
                      <a:avLst/>
                    </a:prstGeom>
                    <a:noFill/>
                    <a:ln>
                      <a:noFill/>
                    </a:ln>
                  </pic:spPr>
                </pic:pic>
              </a:graphicData>
            </a:graphic>
          </wp:inline>
        </w:drawing>
      </w:r>
    </w:p>
    <w:p w14:paraId="739C0052" w14:textId="7D5A583F" w:rsidR="001E44A8" w:rsidRPr="007A7F2B" w:rsidRDefault="001E44A8" w:rsidP="001E44A8">
      <w:pPr>
        <w:pStyle w:val="Caption"/>
        <w:jc w:val="center"/>
      </w:pPr>
      <w:bookmarkStart w:id="19" w:name="_Ref9844436"/>
      <w:r w:rsidRPr="007A7F2B">
        <w:t xml:space="preserve">Figure </w:t>
      </w:r>
      <w:fldSimple w:instr=" SEQ Figure \* ARABIC ">
        <w:r w:rsidR="00C16253">
          <w:rPr>
            <w:noProof/>
          </w:rPr>
          <w:t>6</w:t>
        </w:r>
      </w:fldSimple>
      <w:bookmarkEnd w:id="19"/>
      <w:r w:rsidRPr="007A7F2B">
        <w:t xml:space="preserve">: Based on the parameters the occupancy is predicted, through which the Hillcurve is fitted. at the concentration where the occupancy is equal to 0.5, the </w:t>
      </w:r>
      <m:oMath>
        <m:sSub>
          <m:sSubPr>
            <m:ctrlPr>
              <w:rPr>
                <w:rFonts w:ascii="Cambria Math" w:hAnsi="Cambria Math"/>
                <w:i/>
              </w:rPr>
            </m:ctrlPr>
          </m:sSubPr>
          <m:e>
            <m:r>
              <m:rPr>
                <m:sty m:val="bi"/>
              </m:rPr>
              <w:rPr>
                <w:rFonts w:ascii="Cambria Math" w:hAnsi="Cambria Math"/>
              </w:rPr>
              <m:t>k</m:t>
            </m:r>
          </m:e>
          <m:sub>
            <m:r>
              <m:rPr>
                <m:sty m:val="bi"/>
              </m:rPr>
              <w:rPr>
                <w:rFonts w:ascii="Cambria Math" w:hAnsi="Cambria Math"/>
              </w:rPr>
              <m:t>d</m:t>
            </m:r>
          </m:sub>
        </m:sSub>
      </m:oMath>
      <w:r w:rsidRPr="007A7F2B">
        <w:t xml:space="preserve"> is found.</w:t>
      </w:r>
    </w:p>
    <w:p w14:paraId="42C53696" w14:textId="017C7E2E" w:rsidR="001E44A8" w:rsidRDefault="001E44A8" w:rsidP="001E44A8">
      <w:r w:rsidRPr="007A7F2B">
        <w:br w:type="page"/>
      </w:r>
    </w:p>
    <w:p w14:paraId="20015D97" w14:textId="45FF34A1" w:rsidR="009605A9" w:rsidRDefault="009605A9" w:rsidP="001E44A8">
      <w:pPr>
        <w:rPr>
          <w:smallCaps/>
          <w:spacing w:val="5"/>
          <w:sz w:val="28"/>
          <w:szCs w:val="28"/>
        </w:rPr>
      </w:pPr>
      <w:r w:rsidRPr="009605A9">
        <w:rPr>
          <w:smallCaps/>
          <w:spacing w:val="5"/>
          <w:sz w:val="28"/>
          <w:szCs w:val="28"/>
        </w:rPr>
        <w:lastRenderedPageBreak/>
        <w:t>Derivation of the Hill equation</w:t>
      </w:r>
    </w:p>
    <w:p w14:paraId="33C30B1B" w14:textId="1CF730DB" w:rsidR="00B97F5C" w:rsidRDefault="00687972" w:rsidP="00B97F5C">
      <w:r w:rsidRPr="00687972">
        <w:t>We start this derivation w</w:t>
      </w:r>
      <w:r>
        <w:t>ith the 2</w:t>
      </w:r>
      <w:r w:rsidR="00B97F5C">
        <w:t>2</w:t>
      </w:r>
      <w:r>
        <w:t xml:space="preserve"> different states as pictured in </w:t>
      </w:r>
      <w:r>
        <w:fldChar w:fldCharType="begin"/>
      </w:r>
      <w:r>
        <w:instrText xml:space="preserve"> REF _Ref8723279 \h </w:instrText>
      </w:r>
      <w:r>
        <w:fldChar w:fldCharType="separate"/>
      </w:r>
      <w:r w:rsidRPr="007A7F2B">
        <w:t xml:space="preserve">Figure </w:t>
      </w:r>
      <w:r>
        <w:rPr>
          <w:noProof/>
        </w:rPr>
        <w:t>3</w:t>
      </w:r>
      <w:r>
        <w:fldChar w:fldCharType="end"/>
      </w:r>
      <w:r w:rsidR="00B97F5C">
        <w:t xml:space="preserve"> (without cleavage)</w:t>
      </w:r>
      <w:r>
        <w:t xml:space="preserve">. </w:t>
      </w:r>
      <w:bookmarkStart w:id="20" w:name="_Toc10029738"/>
      <w:r w:rsidR="00B97F5C">
        <w:t xml:space="preserve">These states are again: </w:t>
      </w:r>
      <w:r w:rsidR="004877CD">
        <w:t>bound to s</w:t>
      </w:r>
      <w:r w:rsidR="00B97F5C">
        <w:t>ol</w:t>
      </w:r>
      <w:r w:rsidR="004877CD">
        <w:t>ution</w:t>
      </w:r>
      <w:r w:rsidR="00B97F5C">
        <w:t>, PAM and the 20 nucleotides (</w:t>
      </w:r>
      <w:r w:rsidR="00413374">
        <w:t>N</w:t>
      </w:r>
      <w:r w:rsidR="00B97F5C">
        <w:t xml:space="preserve">). Since we enforce a binding equilibrium, we can say that the occupancy follows the Boltzmann distribution as described in equation … . </w:t>
      </w:r>
      <w:r w:rsidR="00413374">
        <w:t>Therefore the following holds:</w:t>
      </w:r>
    </w:p>
    <w:bookmarkStart w:id="21" w:name="_Ref10036646"/>
    <w:p w14:paraId="47F99079" w14:textId="667D4B09" w:rsidR="00413374" w:rsidRPr="00687972" w:rsidRDefault="00413374" w:rsidP="004877CD">
      <w:pPr>
        <w:pStyle w:val="Caption"/>
        <w:jc w:val="right"/>
      </w:pPr>
      <m:oMath>
        <m:f>
          <m:fPr>
            <m:ctrlPr>
              <w:rPr>
                <w:rFonts w:ascii="Cambria Math" w:hAnsi="Cambria Math"/>
                <w:i/>
                <w:sz w:val="22"/>
              </w:rPr>
            </m:ctrlPr>
          </m:fPr>
          <m:num>
            <m:sSubSup>
              <m:sSubSupPr>
                <m:ctrlPr>
                  <w:rPr>
                    <w:rFonts w:ascii="Cambria Math" w:hAnsi="Cambria Math"/>
                    <w:i/>
                    <w:sz w:val="22"/>
                  </w:rPr>
                </m:ctrlPr>
              </m:sSubSupPr>
              <m:e>
                <m:r>
                  <m:rPr>
                    <m:sty m:val="bi"/>
                  </m:rPr>
                  <w:rPr>
                    <w:rFonts w:ascii="Cambria Math" w:hAnsi="Cambria Math"/>
                    <w:sz w:val="22"/>
                  </w:rPr>
                  <m:t>p</m:t>
                </m:r>
              </m:e>
              <m:sub>
                <m:r>
                  <m:rPr>
                    <m:sty m:val="bi"/>
                  </m:rPr>
                  <w:rPr>
                    <w:rFonts w:ascii="Cambria Math" w:hAnsi="Cambria Math"/>
                    <w:sz w:val="22"/>
                  </w:rPr>
                  <m:t>n</m:t>
                </m:r>
              </m:sub>
              <m:sup>
                <m:r>
                  <m:rPr>
                    <m:sty m:val="bi"/>
                  </m:rPr>
                  <w:rPr>
                    <w:rFonts w:ascii="Cambria Math" w:hAnsi="Cambria Math"/>
                    <w:sz w:val="22"/>
                  </w:rPr>
                  <m:t>eq</m:t>
                </m:r>
              </m:sup>
            </m:sSubSup>
          </m:num>
          <m:den>
            <m:sSubSup>
              <m:sSubSupPr>
                <m:ctrlPr>
                  <w:rPr>
                    <w:rFonts w:ascii="Cambria Math" w:hAnsi="Cambria Math"/>
                    <w:i/>
                    <w:sz w:val="22"/>
                  </w:rPr>
                </m:ctrlPr>
              </m:sSubSupPr>
              <m:e>
                <m:r>
                  <m:rPr>
                    <m:sty m:val="bi"/>
                  </m:rPr>
                  <w:rPr>
                    <w:rFonts w:ascii="Cambria Math" w:hAnsi="Cambria Math"/>
                    <w:sz w:val="22"/>
                  </w:rPr>
                  <m:t>p</m:t>
                </m:r>
              </m:e>
              <m:sub>
                <m:r>
                  <m:rPr>
                    <m:sty m:val="bi"/>
                  </m:rPr>
                  <w:rPr>
                    <w:rFonts w:ascii="Cambria Math" w:hAnsi="Cambria Math"/>
                    <w:sz w:val="22"/>
                  </w:rPr>
                  <m:t>n-1</m:t>
                </m:r>
              </m:sub>
              <m:sup>
                <m:r>
                  <m:rPr>
                    <m:sty m:val="bi"/>
                  </m:rPr>
                  <w:rPr>
                    <w:rFonts w:ascii="Cambria Math" w:hAnsi="Cambria Math"/>
                    <w:sz w:val="22"/>
                  </w:rPr>
                  <m:t>eq</m:t>
                </m:r>
              </m:sup>
            </m:sSubSup>
          </m:den>
        </m:f>
        <m:r>
          <m:rPr>
            <m:sty m:val="bi"/>
          </m:rPr>
          <w:rPr>
            <w:rFonts w:ascii="Cambria Math" w:hAnsi="Cambria Math"/>
            <w:sz w:val="22"/>
          </w:rPr>
          <m:t>=</m:t>
        </m:r>
        <m:f>
          <m:fPr>
            <m:ctrlPr>
              <w:rPr>
                <w:rFonts w:ascii="Cambria Math" w:hAnsi="Cambria Math"/>
                <w:i/>
                <w:sz w:val="22"/>
              </w:rPr>
            </m:ctrlPr>
          </m:fPr>
          <m:num>
            <m:sSub>
              <m:sSubPr>
                <m:ctrlPr>
                  <w:rPr>
                    <w:rFonts w:ascii="Cambria Math" w:hAnsi="Cambria Math"/>
                    <w:i/>
                    <w:sz w:val="22"/>
                  </w:rPr>
                </m:ctrlPr>
              </m:sSubPr>
              <m:e>
                <m:r>
                  <m:rPr>
                    <m:sty m:val="bi"/>
                  </m:rPr>
                  <w:rPr>
                    <w:rFonts w:ascii="Cambria Math" w:hAnsi="Cambria Math"/>
                    <w:sz w:val="22"/>
                  </w:rPr>
                  <m:t>k</m:t>
                </m:r>
              </m:e>
              <m:sub>
                <m:r>
                  <m:rPr>
                    <m:sty m:val="bi"/>
                  </m:rPr>
                  <w:rPr>
                    <w:rFonts w:ascii="Cambria Math" w:hAnsi="Cambria Math"/>
                    <w:sz w:val="22"/>
                  </w:rPr>
                  <m:t xml:space="preserve">(n-1)→n </m:t>
                </m:r>
              </m:sub>
            </m:sSub>
          </m:num>
          <m:den>
            <m:sSub>
              <m:sSubPr>
                <m:ctrlPr>
                  <w:rPr>
                    <w:rFonts w:ascii="Cambria Math" w:hAnsi="Cambria Math"/>
                    <w:i/>
                    <w:sz w:val="22"/>
                  </w:rPr>
                </m:ctrlPr>
              </m:sSubPr>
              <m:e>
                <m:r>
                  <m:rPr>
                    <m:sty m:val="bi"/>
                  </m:rPr>
                  <w:rPr>
                    <w:rFonts w:ascii="Cambria Math" w:hAnsi="Cambria Math"/>
                    <w:sz w:val="22"/>
                  </w:rPr>
                  <m:t>k</m:t>
                </m:r>
              </m:e>
              <m:sub>
                <m:r>
                  <m:rPr>
                    <m:sty m:val="bi"/>
                  </m:rPr>
                  <w:rPr>
                    <w:rFonts w:ascii="Cambria Math" w:hAnsi="Cambria Math"/>
                    <w:sz w:val="22"/>
                  </w:rPr>
                  <m:t>n→(n-1)</m:t>
                </m:r>
              </m:sub>
            </m:sSub>
          </m:den>
        </m:f>
        <m:r>
          <m:rPr>
            <m:sty m:val="bi"/>
          </m:rPr>
          <w:rPr>
            <w:rFonts w:ascii="Cambria Math" w:hAnsi="Cambria Math"/>
            <w:sz w:val="22"/>
          </w:rPr>
          <m:t>=</m:t>
        </m:r>
        <m:sSup>
          <m:sSupPr>
            <m:ctrlPr>
              <w:rPr>
                <w:rFonts w:ascii="Cambria Math" w:hAnsi="Cambria Math"/>
                <w:i/>
                <w:sz w:val="22"/>
              </w:rPr>
            </m:ctrlPr>
          </m:sSupPr>
          <m:e>
            <m:r>
              <m:rPr>
                <m:sty m:val="bi"/>
              </m:rPr>
              <w:rPr>
                <w:rFonts w:ascii="Cambria Math" w:hAnsi="Cambria Math"/>
                <w:sz w:val="22"/>
              </w:rPr>
              <m:t>e</m:t>
            </m:r>
          </m:e>
          <m:sup>
            <m:r>
              <m:rPr>
                <m:sty m:val="bi"/>
              </m:rPr>
              <w:rPr>
                <w:rFonts w:ascii="Cambria Math" w:hAnsi="Cambria Math"/>
                <w:sz w:val="22"/>
              </w:rPr>
              <m:t>-(</m:t>
            </m:r>
            <m:sSub>
              <m:sSubPr>
                <m:ctrlPr>
                  <w:rPr>
                    <w:rFonts w:ascii="Cambria Math" w:hAnsi="Cambria Math"/>
                    <w:i/>
                    <w:sz w:val="22"/>
                  </w:rPr>
                </m:ctrlPr>
              </m:sSubPr>
              <m:e>
                <m:r>
                  <m:rPr>
                    <m:sty m:val="bi"/>
                  </m:rPr>
                  <w:rPr>
                    <w:rFonts w:ascii="Cambria Math" w:hAnsi="Cambria Math"/>
                    <w:sz w:val="22"/>
                  </w:rPr>
                  <m:t>E</m:t>
                </m:r>
              </m:e>
              <m:sub>
                <m:r>
                  <m:rPr>
                    <m:sty m:val="bi"/>
                  </m:rPr>
                  <w:rPr>
                    <w:rFonts w:ascii="Cambria Math" w:hAnsi="Cambria Math"/>
                    <w:sz w:val="22"/>
                  </w:rPr>
                  <m:t>n</m:t>
                </m:r>
              </m:sub>
            </m:sSub>
            <m:r>
              <m:rPr>
                <m:sty m:val="bi"/>
              </m:rPr>
              <w:rPr>
                <w:rFonts w:ascii="Cambria Math" w:hAnsi="Cambria Math"/>
                <w:sz w:val="22"/>
              </w:rPr>
              <m:t>-</m:t>
            </m:r>
            <m:sSub>
              <m:sSubPr>
                <m:ctrlPr>
                  <w:rPr>
                    <w:rFonts w:ascii="Cambria Math" w:hAnsi="Cambria Math"/>
                    <w:i/>
                    <w:sz w:val="22"/>
                  </w:rPr>
                </m:ctrlPr>
              </m:sSubPr>
              <m:e>
                <m:r>
                  <m:rPr>
                    <m:sty m:val="bi"/>
                  </m:rPr>
                  <w:rPr>
                    <w:rFonts w:ascii="Cambria Math" w:hAnsi="Cambria Math"/>
                    <w:sz w:val="22"/>
                  </w:rPr>
                  <m:t>E</m:t>
                </m:r>
              </m:e>
              <m:sub>
                <m:r>
                  <m:rPr>
                    <m:sty m:val="bi"/>
                  </m:rPr>
                  <w:rPr>
                    <w:rFonts w:ascii="Cambria Math" w:hAnsi="Cambria Math"/>
                    <w:sz w:val="22"/>
                  </w:rPr>
                  <m:t>n-1</m:t>
                </m:r>
              </m:sub>
            </m:sSub>
            <m:r>
              <m:rPr>
                <m:sty m:val="bi"/>
              </m:rPr>
              <w:rPr>
                <w:rFonts w:ascii="Cambria Math" w:hAnsi="Cambria Math"/>
                <w:sz w:val="22"/>
              </w:rPr>
              <m:t>)</m:t>
            </m:r>
          </m:sup>
        </m:sSup>
        <m:r>
          <m:rPr>
            <m:sty m:val="bi"/>
          </m:rPr>
          <w:rPr>
            <w:rFonts w:ascii="Cambria Math" w:hAnsi="Cambria Math"/>
            <w:sz w:val="22"/>
          </w:rPr>
          <m:t xml:space="preserve"> </m:t>
        </m:r>
      </m:oMath>
      <w:r w:rsidR="004877CD" w:rsidRPr="004877CD">
        <w:rPr>
          <w:sz w:val="22"/>
        </w:rPr>
        <w:t xml:space="preserve"> </w:t>
      </w:r>
      <w:r w:rsidR="004877CD">
        <w:tab/>
      </w:r>
      <w:r w:rsidR="004877CD">
        <w:tab/>
      </w:r>
      <w:r w:rsidR="004877CD">
        <w:tab/>
      </w:r>
      <w:r w:rsidR="004877CD">
        <w:tab/>
      </w:r>
      <w:r w:rsidR="004877CD">
        <w:tab/>
        <w:t>(</w:t>
      </w:r>
      <w:r w:rsidR="004877CD">
        <w:fldChar w:fldCharType="begin"/>
      </w:r>
      <m:oMath>
        <m:r>
          <m:rPr>
            <m:sty m:val="bi"/>
          </m:rPr>
          <w:rPr>
            <w:rFonts w:ascii="Cambria Math" w:hAnsi="Cambria Math"/>
          </w:rPr>
          <m:t xml:space="preserve"> SEQ Equation \* ARABIC </m:t>
        </m:r>
      </m:oMath>
      <w:r w:rsidR="004877CD">
        <w:fldChar w:fldCharType="separate"/>
      </w:r>
      <m:oMath>
        <m:r>
          <m:rPr>
            <m:sty m:val="bi"/>
          </m:rPr>
          <w:rPr>
            <w:rFonts w:ascii="Cambria Math" w:hAnsi="Cambria Math"/>
            <w:noProof/>
          </w:rPr>
          <m:t>2</m:t>
        </m:r>
      </m:oMath>
      <w:r w:rsidR="004877CD">
        <w:fldChar w:fldCharType="end"/>
      </w:r>
      <w:r w:rsidR="004877CD">
        <w:t>)</w:t>
      </w:r>
      <w:bookmarkEnd w:id="21"/>
    </w:p>
    <w:p w14:paraId="2DA94580" w14:textId="7BE23E2E" w:rsidR="009605A9" w:rsidRPr="00413374" w:rsidRDefault="00B97F5C" w:rsidP="006D5117">
      <w:pPr>
        <w:pStyle w:val="Caption"/>
      </w:pPr>
      <m:oMathPara>
        <m:oMath>
          <m:f>
            <m:fPr>
              <m:ctrlPr>
                <w:rPr>
                  <w:rFonts w:ascii="Cambria Math" w:hAnsi="Cambria Math"/>
                  <w:i/>
                  <w:sz w:val="20"/>
                </w:rPr>
              </m:ctrlPr>
            </m:fPr>
            <m:num>
              <m:sSub>
                <m:sSubPr>
                  <m:ctrlPr>
                    <w:rPr>
                      <w:rFonts w:ascii="Cambria Math" w:hAnsi="Cambria Math"/>
                      <w:i/>
                      <w:sz w:val="20"/>
                    </w:rPr>
                  </m:ctrlPr>
                </m:sSubPr>
                <m:e>
                  <m:r>
                    <m:rPr>
                      <m:sty m:val="bi"/>
                    </m:rPr>
                    <w:rPr>
                      <w:rFonts w:ascii="Cambria Math" w:hAnsi="Cambria Math"/>
                      <w:sz w:val="20"/>
                    </w:rPr>
                    <m:t>p</m:t>
                  </m:r>
                </m:e>
                <m:sub>
                  <m:r>
                    <m:rPr>
                      <m:sty m:val="bi"/>
                    </m:rPr>
                    <w:rPr>
                      <w:rFonts w:ascii="Cambria Math" w:hAnsi="Cambria Math"/>
                      <w:sz w:val="20"/>
                    </w:rPr>
                    <m:t>n</m:t>
                  </m:r>
                </m:sub>
              </m:sSub>
            </m:num>
            <m:den>
              <m:sSub>
                <m:sSubPr>
                  <m:ctrlPr>
                    <w:rPr>
                      <w:rFonts w:ascii="Cambria Math" w:hAnsi="Cambria Math"/>
                      <w:i/>
                      <w:sz w:val="20"/>
                    </w:rPr>
                  </m:ctrlPr>
                </m:sSubPr>
                <m:e>
                  <m:r>
                    <m:rPr>
                      <m:sty m:val="bi"/>
                    </m:rPr>
                    <w:rPr>
                      <w:rFonts w:ascii="Cambria Math" w:hAnsi="Cambria Math"/>
                      <w:sz w:val="20"/>
                    </w:rPr>
                    <m:t>p</m:t>
                  </m:r>
                </m:e>
                <m:sub>
                  <m:r>
                    <m:rPr>
                      <m:sty m:val="bi"/>
                    </m:rPr>
                    <w:rPr>
                      <w:rFonts w:ascii="Cambria Math" w:hAnsi="Cambria Math"/>
                      <w:sz w:val="20"/>
                    </w:rPr>
                    <m:t>sol</m:t>
                  </m:r>
                </m:sub>
              </m:sSub>
            </m:den>
          </m:f>
          <m:r>
            <m:rPr>
              <m:sty m:val="bi"/>
            </m:rPr>
            <w:rPr>
              <w:rFonts w:ascii="Cambria Math" w:hAnsi="Cambria Math"/>
              <w:sz w:val="20"/>
            </w:rPr>
            <m:t>=</m:t>
          </m:r>
          <m:f>
            <m:fPr>
              <m:ctrlPr>
                <w:rPr>
                  <w:rFonts w:ascii="Cambria Math" w:hAnsi="Cambria Math"/>
                  <w:i/>
                  <w:sz w:val="20"/>
                </w:rPr>
              </m:ctrlPr>
            </m:fPr>
            <m:num>
              <m:sSubSup>
                <m:sSubSupPr>
                  <m:ctrlPr>
                    <w:rPr>
                      <w:rFonts w:ascii="Cambria Math" w:hAnsi="Cambria Math"/>
                      <w:i/>
                      <w:sz w:val="20"/>
                    </w:rPr>
                  </m:ctrlPr>
                </m:sSubSupPr>
                <m:e>
                  <m:r>
                    <m:rPr>
                      <m:sty m:val="bi"/>
                    </m:rPr>
                    <w:rPr>
                      <w:rFonts w:ascii="Cambria Math" w:hAnsi="Cambria Math"/>
                      <w:sz w:val="20"/>
                    </w:rPr>
                    <m:t>p</m:t>
                  </m:r>
                </m:e>
                <m:sub>
                  <m:r>
                    <m:rPr>
                      <m:sty m:val="bi"/>
                    </m:rPr>
                    <w:rPr>
                      <w:rFonts w:ascii="Cambria Math" w:hAnsi="Cambria Math"/>
                      <w:sz w:val="20"/>
                    </w:rPr>
                    <m:t>n</m:t>
                  </m:r>
                </m:sub>
                <m:sup>
                  <m:r>
                    <m:rPr>
                      <m:sty m:val="bi"/>
                    </m:rPr>
                    <w:rPr>
                      <w:rFonts w:ascii="Cambria Math" w:hAnsi="Cambria Math"/>
                      <w:sz w:val="20"/>
                    </w:rPr>
                    <m:t>eq</m:t>
                  </m:r>
                </m:sup>
              </m:sSubSup>
            </m:num>
            <m:den>
              <m:sSubSup>
                <m:sSubSupPr>
                  <m:ctrlPr>
                    <w:rPr>
                      <w:rFonts w:ascii="Cambria Math" w:hAnsi="Cambria Math"/>
                      <w:i/>
                      <w:sz w:val="20"/>
                    </w:rPr>
                  </m:ctrlPr>
                </m:sSubSupPr>
                <m:e>
                  <m:r>
                    <m:rPr>
                      <m:sty m:val="bi"/>
                    </m:rPr>
                    <w:rPr>
                      <w:rFonts w:ascii="Cambria Math" w:hAnsi="Cambria Math"/>
                      <w:sz w:val="20"/>
                    </w:rPr>
                    <m:t>p</m:t>
                  </m:r>
                </m:e>
                <m:sub>
                  <m:r>
                    <m:rPr>
                      <m:sty m:val="bi"/>
                    </m:rPr>
                    <w:rPr>
                      <w:rFonts w:ascii="Cambria Math" w:hAnsi="Cambria Math"/>
                      <w:sz w:val="20"/>
                    </w:rPr>
                    <m:t>n-1</m:t>
                  </m:r>
                </m:sub>
                <m:sup>
                  <m:r>
                    <m:rPr>
                      <m:sty m:val="bi"/>
                    </m:rPr>
                    <w:rPr>
                      <w:rFonts w:ascii="Cambria Math" w:hAnsi="Cambria Math"/>
                      <w:sz w:val="20"/>
                    </w:rPr>
                    <m:t>eq</m:t>
                  </m:r>
                </m:sup>
              </m:sSubSup>
            </m:den>
          </m:f>
          <m:r>
            <m:rPr>
              <m:sty m:val="bi"/>
            </m:rPr>
            <w:rPr>
              <w:rFonts w:ascii="Cambria Math" w:hAnsi="Cambria Math"/>
              <w:sz w:val="20"/>
            </w:rPr>
            <m:t>*</m:t>
          </m:r>
          <m:f>
            <m:fPr>
              <m:ctrlPr>
                <w:rPr>
                  <w:rFonts w:ascii="Cambria Math" w:hAnsi="Cambria Math"/>
                  <w:i/>
                  <w:sz w:val="20"/>
                </w:rPr>
              </m:ctrlPr>
            </m:fPr>
            <m:num>
              <m:sSubSup>
                <m:sSubSupPr>
                  <m:ctrlPr>
                    <w:rPr>
                      <w:rFonts w:ascii="Cambria Math" w:hAnsi="Cambria Math"/>
                      <w:i/>
                      <w:sz w:val="20"/>
                    </w:rPr>
                  </m:ctrlPr>
                </m:sSubSupPr>
                <m:e>
                  <m:r>
                    <m:rPr>
                      <m:sty m:val="bi"/>
                    </m:rPr>
                    <w:rPr>
                      <w:rFonts w:ascii="Cambria Math" w:hAnsi="Cambria Math"/>
                      <w:sz w:val="20"/>
                    </w:rPr>
                    <m:t>p</m:t>
                  </m:r>
                </m:e>
                <m:sub>
                  <m:r>
                    <m:rPr>
                      <m:sty m:val="bi"/>
                    </m:rPr>
                    <w:rPr>
                      <w:rFonts w:ascii="Cambria Math" w:hAnsi="Cambria Math"/>
                      <w:sz w:val="20"/>
                    </w:rPr>
                    <m:t>n-1</m:t>
                  </m:r>
                </m:sub>
                <m:sup>
                  <m:r>
                    <m:rPr>
                      <m:sty m:val="bi"/>
                    </m:rPr>
                    <w:rPr>
                      <w:rFonts w:ascii="Cambria Math" w:hAnsi="Cambria Math"/>
                      <w:sz w:val="20"/>
                    </w:rPr>
                    <m:t>eq</m:t>
                  </m:r>
                </m:sup>
              </m:sSubSup>
            </m:num>
            <m:den>
              <m:sSubSup>
                <m:sSubSupPr>
                  <m:ctrlPr>
                    <w:rPr>
                      <w:rFonts w:ascii="Cambria Math" w:hAnsi="Cambria Math"/>
                      <w:i/>
                      <w:sz w:val="20"/>
                    </w:rPr>
                  </m:ctrlPr>
                </m:sSubSupPr>
                <m:e>
                  <m:r>
                    <m:rPr>
                      <m:sty m:val="bi"/>
                    </m:rPr>
                    <w:rPr>
                      <w:rFonts w:ascii="Cambria Math" w:hAnsi="Cambria Math"/>
                      <w:sz w:val="20"/>
                    </w:rPr>
                    <m:t>p</m:t>
                  </m:r>
                </m:e>
                <m:sub>
                  <m:r>
                    <m:rPr>
                      <m:sty m:val="bi"/>
                    </m:rPr>
                    <w:rPr>
                      <w:rFonts w:ascii="Cambria Math" w:hAnsi="Cambria Math"/>
                      <w:sz w:val="20"/>
                    </w:rPr>
                    <m:t>n-2</m:t>
                  </m:r>
                </m:sub>
                <m:sup>
                  <m:r>
                    <m:rPr>
                      <m:sty m:val="bi"/>
                    </m:rPr>
                    <w:rPr>
                      <w:rFonts w:ascii="Cambria Math" w:hAnsi="Cambria Math"/>
                      <w:sz w:val="20"/>
                    </w:rPr>
                    <m:t>eq</m:t>
                  </m:r>
                </m:sup>
              </m:sSubSup>
            </m:den>
          </m:f>
          <m:r>
            <m:rPr>
              <m:sty m:val="bi"/>
            </m:rPr>
            <w:rPr>
              <w:rFonts w:ascii="Cambria Math" w:hAnsi="Cambria Math"/>
              <w:sz w:val="20"/>
            </w:rPr>
            <m:t xml:space="preserve">*…* </m:t>
          </m:r>
          <m:f>
            <m:fPr>
              <m:ctrlPr>
                <w:rPr>
                  <w:rFonts w:ascii="Cambria Math" w:hAnsi="Cambria Math"/>
                  <w:i/>
                  <w:sz w:val="20"/>
                </w:rPr>
              </m:ctrlPr>
            </m:fPr>
            <m:num>
              <m:sSubSup>
                <m:sSubSupPr>
                  <m:ctrlPr>
                    <w:rPr>
                      <w:rFonts w:ascii="Cambria Math" w:hAnsi="Cambria Math"/>
                      <w:i/>
                      <w:sz w:val="20"/>
                    </w:rPr>
                  </m:ctrlPr>
                </m:sSubSupPr>
                <m:e>
                  <m:r>
                    <m:rPr>
                      <m:sty m:val="bi"/>
                    </m:rPr>
                    <w:rPr>
                      <w:rFonts w:ascii="Cambria Math" w:hAnsi="Cambria Math"/>
                      <w:sz w:val="20"/>
                    </w:rPr>
                    <m:t>p</m:t>
                  </m:r>
                </m:e>
                <m:sub>
                  <m:r>
                    <m:rPr>
                      <m:sty m:val="bi"/>
                    </m:rPr>
                    <w:rPr>
                      <w:rFonts w:ascii="Cambria Math" w:hAnsi="Cambria Math"/>
                      <w:sz w:val="20"/>
                    </w:rPr>
                    <m:t>PAM</m:t>
                  </m:r>
                </m:sub>
                <m:sup>
                  <m:r>
                    <m:rPr>
                      <m:sty m:val="bi"/>
                    </m:rPr>
                    <w:rPr>
                      <w:rFonts w:ascii="Cambria Math" w:hAnsi="Cambria Math"/>
                      <w:sz w:val="20"/>
                    </w:rPr>
                    <m:t>eq</m:t>
                  </m:r>
                </m:sup>
              </m:sSubSup>
            </m:num>
            <m:den>
              <m:sSubSup>
                <m:sSubSupPr>
                  <m:ctrlPr>
                    <w:rPr>
                      <w:rFonts w:ascii="Cambria Math" w:hAnsi="Cambria Math"/>
                      <w:i/>
                      <w:sz w:val="20"/>
                    </w:rPr>
                  </m:ctrlPr>
                </m:sSubSupPr>
                <m:e>
                  <m:r>
                    <m:rPr>
                      <m:sty m:val="bi"/>
                    </m:rPr>
                    <w:rPr>
                      <w:rFonts w:ascii="Cambria Math" w:hAnsi="Cambria Math"/>
                      <w:sz w:val="20"/>
                    </w:rPr>
                    <m:t>p</m:t>
                  </m:r>
                </m:e>
                <m:sub>
                  <m:r>
                    <m:rPr>
                      <m:sty m:val="bi"/>
                    </m:rPr>
                    <w:rPr>
                      <w:rFonts w:ascii="Cambria Math" w:hAnsi="Cambria Math"/>
                      <w:sz w:val="20"/>
                    </w:rPr>
                    <m:t>sol</m:t>
                  </m:r>
                </m:sub>
                <m:sup>
                  <m:r>
                    <m:rPr>
                      <m:sty m:val="bi"/>
                    </m:rPr>
                    <w:rPr>
                      <w:rFonts w:ascii="Cambria Math" w:hAnsi="Cambria Math"/>
                      <w:sz w:val="20"/>
                    </w:rPr>
                    <m:t>eq</m:t>
                  </m:r>
                </m:sup>
              </m:sSubSup>
            </m:den>
          </m:f>
          <m:r>
            <m:rPr>
              <m:sty m:val="bi"/>
            </m:rPr>
            <w:rPr>
              <w:rFonts w:ascii="Cambria Math" w:hAnsi="Cambria Math"/>
              <w:sz w:val="20"/>
            </w:rPr>
            <m:t>=</m:t>
          </m:r>
          <m:sSup>
            <m:sSupPr>
              <m:ctrlPr>
                <w:rPr>
                  <w:rFonts w:ascii="Cambria Math" w:hAnsi="Cambria Math"/>
                  <w:i/>
                  <w:sz w:val="20"/>
                </w:rPr>
              </m:ctrlPr>
            </m:sSupPr>
            <m:e>
              <m:r>
                <m:rPr>
                  <m:sty m:val="bi"/>
                </m:rPr>
                <w:rPr>
                  <w:rFonts w:ascii="Cambria Math" w:hAnsi="Cambria Math"/>
                  <w:sz w:val="20"/>
                </w:rPr>
                <m:t>e</m:t>
              </m:r>
            </m:e>
            <m:sup>
              <m:r>
                <m:rPr>
                  <m:sty m:val="bi"/>
                </m:rPr>
                <w:rPr>
                  <w:rFonts w:ascii="Cambria Math" w:hAnsi="Cambria Math"/>
                  <w:sz w:val="20"/>
                </w:rPr>
                <m:t>-</m:t>
              </m:r>
              <m:d>
                <m:dPr>
                  <m:ctrlPr>
                    <w:rPr>
                      <w:rFonts w:ascii="Cambria Math" w:hAnsi="Cambria Math"/>
                      <w:i/>
                      <w:sz w:val="20"/>
                    </w:rPr>
                  </m:ctrlPr>
                </m:dPr>
                <m:e>
                  <m:sSub>
                    <m:sSubPr>
                      <m:ctrlPr>
                        <w:rPr>
                          <w:rFonts w:ascii="Cambria Math" w:hAnsi="Cambria Math"/>
                          <w:i/>
                          <w:sz w:val="20"/>
                        </w:rPr>
                      </m:ctrlPr>
                    </m:sSubPr>
                    <m:e>
                      <m:r>
                        <m:rPr>
                          <m:sty m:val="bi"/>
                        </m:rPr>
                        <w:rPr>
                          <w:rFonts w:ascii="Cambria Math" w:hAnsi="Cambria Math"/>
                          <w:sz w:val="20"/>
                        </w:rPr>
                        <m:t>E</m:t>
                      </m:r>
                    </m:e>
                    <m:sub>
                      <m:r>
                        <m:rPr>
                          <m:sty m:val="bi"/>
                        </m:rPr>
                        <w:rPr>
                          <w:rFonts w:ascii="Cambria Math" w:hAnsi="Cambria Math"/>
                          <w:sz w:val="20"/>
                        </w:rPr>
                        <m:t>n</m:t>
                      </m:r>
                    </m:sub>
                  </m:sSub>
                  <m:r>
                    <m:rPr>
                      <m:sty m:val="bi"/>
                    </m:rPr>
                    <w:rPr>
                      <w:rFonts w:ascii="Cambria Math" w:hAnsi="Cambria Math"/>
                      <w:sz w:val="20"/>
                    </w:rPr>
                    <m:t>-</m:t>
                  </m:r>
                  <m:sSub>
                    <m:sSubPr>
                      <m:ctrlPr>
                        <w:rPr>
                          <w:rFonts w:ascii="Cambria Math" w:hAnsi="Cambria Math"/>
                          <w:i/>
                          <w:sz w:val="20"/>
                        </w:rPr>
                      </m:ctrlPr>
                    </m:sSubPr>
                    <m:e>
                      <m:r>
                        <m:rPr>
                          <m:sty m:val="bi"/>
                        </m:rPr>
                        <w:rPr>
                          <w:rFonts w:ascii="Cambria Math" w:hAnsi="Cambria Math"/>
                          <w:sz w:val="20"/>
                        </w:rPr>
                        <m:t>E</m:t>
                      </m:r>
                    </m:e>
                    <m:sub>
                      <m:r>
                        <m:rPr>
                          <m:sty m:val="bi"/>
                        </m:rPr>
                        <w:rPr>
                          <w:rFonts w:ascii="Cambria Math" w:hAnsi="Cambria Math"/>
                          <w:sz w:val="20"/>
                        </w:rPr>
                        <m:t>n-1</m:t>
                      </m:r>
                    </m:sub>
                  </m:sSub>
                </m:e>
              </m:d>
            </m:sup>
          </m:sSup>
          <m:r>
            <m:rPr>
              <m:sty m:val="bi"/>
            </m:rPr>
            <w:rPr>
              <w:rFonts w:ascii="Cambria Math" w:hAnsi="Cambria Math"/>
              <w:sz w:val="20"/>
            </w:rPr>
            <m:t>*</m:t>
          </m:r>
          <m:sSup>
            <m:sSupPr>
              <m:ctrlPr>
                <w:rPr>
                  <w:rFonts w:ascii="Cambria Math" w:hAnsi="Cambria Math"/>
                  <w:i/>
                  <w:sz w:val="20"/>
                </w:rPr>
              </m:ctrlPr>
            </m:sSupPr>
            <m:e>
              <m:r>
                <m:rPr>
                  <m:sty m:val="bi"/>
                </m:rPr>
                <w:rPr>
                  <w:rFonts w:ascii="Cambria Math" w:hAnsi="Cambria Math"/>
                  <w:sz w:val="20"/>
                </w:rPr>
                <m:t>e</m:t>
              </m:r>
            </m:e>
            <m:sup>
              <m:r>
                <m:rPr>
                  <m:sty m:val="bi"/>
                </m:rPr>
                <w:rPr>
                  <w:rFonts w:ascii="Cambria Math" w:hAnsi="Cambria Math"/>
                  <w:sz w:val="20"/>
                </w:rPr>
                <m:t>-</m:t>
              </m:r>
              <m:d>
                <m:dPr>
                  <m:ctrlPr>
                    <w:rPr>
                      <w:rFonts w:ascii="Cambria Math" w:hAnsi="Cambria Math"/>
                      <w:i/>
                      <w:sz w:val="20"/>
                    </w:rPr>
                  </m:ctrlPr>
                </m:dPr>
                <m:e>
                  <m:sSub>
                    <m:sSubPr>
                      <m:ctrlPr>
                        <w:rPr>
                          <w:rFonts w:ascii="Cambria Math" w:hAnsi="Cambria Math"/>
                          <w:i/>
                          <w:sz w:val="20"/>
                        </w:rPr>
                      </m:ctrlPr>
                    </m:sSubPr>
                    <m:e>
                      <m:r>
                        <m:rPr>
                          <m:sty m:val="bi"/>
                        </m:rPr>
                        <w:rPr>
                          <w:rFonts w:ascii="Cambria Math" w:hAnsi="Cambria Math"/>
                          <w:sz w:val="20"/>
                        </w:rPr>
                        <m:t>E</m:t>
                      </m:r>
                    </m:e>
                    <m:sub>
                      <m:r>
                        <m:rPr>
                          <m:sty m:val="bi"/>
                        </m:rPr>
                        <w:rPr>
                          <w:rFonts w:ascii="Cambria Math" w:hAnsi="Cambria Math"/>
                          <w:sz w:val="20"/>
                        </w:rPr>
                        <m:t>n-1</m:t>
                      </m:r>
                    </m:sub>
                  </m:sSub>
                  <m:r>
                    <m:rPr>
                      <m:sty m:val="bi"/>
                    </m:rPr>
                    <w:rPr>
                      <w:rFonts w:ascii="Cambria Math" w:hAnsi="Cambria Math"/>
                      <w:sz w:val="20"/>
                    </w:rPr>
                    <m:t>-</m:t>
                  </m:r>
                  <m:sSub>
                    <m:sSubPr>
                      <m:ctrlPr>
                        <w:rPr>
                          <w:rFonts w:ascii="Cambria Math" w:hAnsi="Cambria Math"/>
                          <w:i/>
                          <w:sz w:val="20"/>
                        </w:rPr>
                      </m:ctrlPr>
                    </m:sSubPr>
                    <m:e>
                      <m:r>
                        <m:rPr>
                          <m:sty m:val="bi"/>
                        </m:rPr>
                        <w:rPr>
                          <w:rFonts w:ascii="Cambria Math" w:hAnsi="Cambria Math"/>
                          <w:sz w:val="20"/>
                        </w:rPr>
                        <m:t>E</m:t>
                      </m:r>
                    </m:e>
                    <m:sub>
                      <m:r>
                        <m:rPr>
                          <m:sty m:val="bi"/>
                        </m:rPr>
                        <w:rPr>
                          <w:rFonts w:ascii="Cambria Math" w:hAnsi="Cambria Math"/>
                          <w:sz w:val="20"/>
                        </w:rPr>
                        <m:t>n-2</m:t>
                      </m:r>
                    </m:sub>
                  </m:sSub>
                </m:e>
              </m:d>
            </m:sup>
          </m:sSup>
          <m:r>
            <m:rPr>
              <m:sty m:val="bi"/>
            </m:rPr>
            <w:rPr>
              <w:rFonts w:ascii="Cambria Math" w:hAnsi="Cambria Math"/>
              <w:sz w:val="20"/>
            </w:rPr>
            <m:t>*…=</m:t>
          </m:r>
          <m:sSup>
            <m:sSupPr>
              <m:ctrlPr>
                <w:rPr>
                  <w:rFonts w:ascii="Cambria Math" w:hAnsi="Cambria Math"/>
                  <w:i/>
                  <w:sz w:val="20"/>
                </w:rPr>
              </m:ctrlPr>
            </m:sSupPr>
            <m:e>
              <m:r>
                <m:rPr>
                  <m:sty m:val="bi"/>
                </m:rPr>
                <w:rPr>
                  <w:rFonts w:ascii="Cambria Math" w:hAnsi="Cambria Math"/>
                  <w:sz w:val="20"/>
                </w:rPr>
                <m:t>e</m:t>
              </m:r>
            </m:e>
            <m:sup>
              <m:r>
                <m:rPr>
                  <m:sty m:val="bi"/>
                </m:rPr>
                <w:rPr>
                  <w:rFonts w:ascii="Cambria Math" w:hAnsi="Cambria Math"/>
                  <w:sz w:val="20"/>
                </w:rPr>
                <m:t>-</m:t>
              </m:r>
              <m:d>
                <m:dPr>
                  <m:ctrlPr>
                    <w:rPr>
                      <w:rFonts w:ascii="Cambria Math" w:hAnsi="Cambria Math"/>
                      <w:i/>
                      <w:sz w:val="20"/>
                    </w:rPr>
                  </m:ctrlPr>
                </m:dPr>
                <m:e>
                  <m:sSub>
                    <m:sSubPr>
                      <m:ctrlPr>
                        <w:rPr>
                          <w:rFonts w:ascii="Cambria Math" w:hAnsi="Cambria Math"/>
                          <w:i/>
                          <w:sz w:val="20"/>
                        </w:rPr>
                      </m:ctrlPr>
                    </m:sSubPr>
                    <m:e>
                      <m:r>
                        <m:rPr>
                          <m:sty m:val="bi"/>
                        </m:rPr>
                        <w:rPr>
                          <w:rFonts w:ascii="Cambria Math" w:hAnsi="Cambria Math"/>
                          <w:sz w:val="20"/>
                        </w:rPr>
                        <m:t>E</m:t>
                      </m:r>
                    </m:e>
                    <m:sub>
                      <m:r>
                        <m:rPr>
                          <m:sty m:val="bi"/>
                        </m:rPr>
                        <w:rPr>
                          <w:rFonts w:ascii="Cambria Math" w:hAnsi="Cambria Math"/>
                          <w:sz w:val="20"/>
                        </w:rPr>
                        <m:t>n</m:t>
                      </m:r>
                    </m:sub>
                  </m:sSub>
                  <m:r>
                    <m:rPr>
                      <m:sty m:val="bi"/>
                    </m:rPr>
                    <w:rPr>
                      <w:rFonts w:ascii="Cambria Math" w:hAnsi="Cambria Math"/>
                      <w:sz w:val="20"/>
                    </w:rPr>
                    <m:t>-</m:t>
                  </m:r>
                  <m:sSub>
                    <m:sSubPr>
                      <m:ctrlPr>
                        <w:rPr>
                          <w:rFonts w:ascii="Cambria Math" w:hAnsi="Cambria Math"/>
                          <w:i/>
                          <w:sz w:val="20"/>
                        </w:rPr>
                      </m:ctrlPr>
                    </m:sSubPr>
                    <m:e>
                      <m:r>
                        <m:rPr>
                          <m:sty m:val="bi"/>
                        </m:rPr>
                        <w:rPr>
                          <w:rFonts w:ascii="Cambria Math" w:hAnsi="Cambria Math"/>
                          <w:sz w:val="20"/>
                        </w:rPr>
                        <m:t>E</m:t>
                      </m:r>
                    </m:e>
                    <m:sub>
                      <m:r>
                        <m:rPr>
                          <m:sty m:val="bi"/>
                        </m:rPr>
                        <w:rPr>
                          <w:rFonts w:ascii="Cambria Math" w:hAnsi="Cambria Math"/>
                          <w:sz w:val="20"/>
                        </w:rPr>
                        <m:t>sol</m:t>
                      </m:r>
                    </m:sub>
                  </m:sSub>
                </m:e>
              </m:d>
            </m:sup>
          </m:sSup>
          <m:r>
            <m:rPr>
              <m:sty m:val="bi"/>
            </m:rPr>
            <w:rPr>
              <w:rFonts w:ascii="Cambria Math" w:hAnsi="Cambria Math"/>
              <w:sz w:val="20"/>
            </w:rPr>
            <m:t>=</m:t>
          </m:r>
          <m:sSup>
            <m:sSupPr>
              <m:ctrlPr>
                <w:rPr>
                  <w:rFonts w:ascii="Cambria Math" w:hAnsi="Cambria Math"/>
                  <w:i/>
                  <w:sz w:val="20"/>
                </w:rPr>
              </m:ctrlPr>
            </m:sSupPr>
            <m:e>
              <m:r>
                <m:rPr>
                  <m:sty m:val="bi"/>
                </m:rPr>
                <w:rPr>
                  <w:rFonts w:ascii="Cambria Math" w:hAnsi="Cambria Math"/>
                  <w:sz w:val="20"/>
                </w:rPr>
                <m:t>e</m:t>
              </m:r>
            </m:e>
            <m:sup>
              <m:r>
                <m:rPr>
                  <m:sty m:val="bi"/>
                </m:rPr>
                <w:rPr>
                  <w:rFonts w:ascii="Cambria Math" w:hAnsi="Cambria Math"/>
                  <w:sz w:val="20"/>
                </w:rPr>
                <m:t>-</m:t>
              </m:r>
              <m:d>
                <m:dPr>
                  <m:ctrlPr>
                    <w:rPr>
                      <w:rFonts w:ascii="Cambria Math" w:hAnsi="Cambria Math"/>
                      <w:i/>
                      <w:sz w:val="20"/>
                    </w:rPr>
                  </m:ctrlPr>
                </m:dPr>
                <m:e>
                  <m:sSub>
                    <m:sSubPr>
                      <m:ctrlPr>
                        <w:rPr>
                          <w:rFonts w:ascii="Cambria Math" w:hAnsi="Cambria Math"/>
                          <w:i/>
                          <w:sz w:val="20"/>
                        </w:rPr>
                      </m:ctrlPr>
                    </m:sSubPr>
                    <m:e>
                      <m:r>
                        <m:rPr>
                          <m:sty m:val="bi"/>
                        </m:rPr>
                        <w:rPr>
                          <w:rFonts w:ascii="Cambria Math" w:hAnsi="Cambria Math"/>
                          <w:sz w:val="20"/>
                        </w:rPr>
                        <m:t>E</m:t>
                      </m:r>
                    </m:e>
                    <m:sub>
                      <m:r>
                        <m:rPr>
                          <m:sty m:val="bi"/>
                        </m:rPr>
                        <w:rPr>
                          <w:rFonts w:ascii="Cambria Math" w:hAnsi="Cambria Math"/>
                          <w:sz w:val="20"/>
                        </w:rPr>
                        <m:t>n</m:t>
                      </m:r>
                    </m:sub>
                  </m:sSub>
                  <m:r>
                    <m:rPr>
                      <m:sty m:val="bi"/>
                    </m:rPr>
                    <w:rPr>
                      <w:rFonts w:ascii="Cambria Math" w:hAnsi="Cambria Math"/>
                      <w:sz w:val="20"/>
                    </w:rPr>
                    <m:t>-0</m:t>
                  </m:r>
                </m:e>
              </m:d>
            </m:sup>
          </m:sSup>
          <m:r>
            <m:rPr>
              <m:sty m:val="bi"/>
            </m:rPr>
            <w:rPr>
              <w:rFonts w:ascii="Cambria Math" w:hAnsi="Cambria Math"/>
              <w:sz w:val="20"/>
            </w:rPr>
            <m:t>=</m:t>
          </m:r>
          <m:sSup>
            <m:sSupPr>
              <m:ctrlPr>
                <w:rPr>
                  <w:rFonts w:ascii="Cambria Math" w:hAnsi="Cambria Math"/>
                  <w:i/>
                  <w:sz w:val="20"/>
                </w:rPr>
              </m:ctrlPr>
            </m:sSupPr>
            <m:e>
              <m:r>
                <m:rPr>
                  <m:sty m:val="bi"/>
                </m:rPr>
                <w:rPr>
                  <w:rFonts w:ascii="Cambria Math" w:hAnsi="Cambria Math"/>
                  <w:sz w:val="20"/>
                </w:rPr>
                <m:t>e</m:t>
              </m:r>
            </m:e>
            <m:sup>
              <m:r>
                <m:rPr>
                  <m:sty m:val="bi"/>
                </m:rPr>
                <w:rPr>
                  <w:rFonts w:ascii="Cambria Math" w:hAnsi="Cambria Math"/>
                  <w:sz w:val="20"/>
                </w:rPr>
                <m:t>-</m:t>
              </m:r>
              <m:sSub>
                <m:sSubPr>
                  <m:ctrlPr>
                    <w:rPr>
                      <w:rFonts w:ascii="Cambria Math" w:hAnsi="Cambria Math"/>
                      <w:i/>
                      <w:sz w:val="20"/>
                    </w:rPr>
                  </m:ctrlPr>
                </m:sSubPr>
                <m:e>
                  <m:r>
                    <m:rPr>
                      <m:sty m:val="bi"/>
                    </m:rPr>
                    <w:rPr>
                      <w:rFonts w:ascii="Cambria Math" w:hAnsi="Cambria Math"/>
                      <w:sz w:val="20"/>
                    </w:rPr>
                    <m:t>E</m:t>
                  </m:r>
                </m:e>
                <m:sub>
                  <m:r>
                    <m:rPr>
                      <m:sty m:val="bi"/>
                    </m:rPr>
                    <w:rPr>
                      <w:rFonts w:ascii="Cambria Math" w:hAnsi="Cambria Math"/>
                      <w:sz w:val="20"/>
                    </w:rPr>
                    <m:t>n</m:t>
                  </m:r>
                </m:sub>
              </m:sSub>
            </m:sup>
          </m:sSup>
          <m:r>
            <m:rPr>
              <m:sty m:val="bi"/>
            </m:rPr>
            <w:rPr>
              <w:rFonts w:ascii="Cambria Math" w:hAnsi="Cambria Math"/>
              <w:sz w:val="20"/>
            </w:rPr>
            <m:t xml:space="preserve"> </m:t>
          </m:r>
        </m:oMath>
      </m:oMathPara>
    </w:p>
    <w:p w14:paraId="05A79EA4" w14:textId="5219F675" w:rsidR="00413374" w:rsidRPr="004877CD" w:rsidRDefault="00413374">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P</m:t>
                              </m:r>
                            </m:e>
                            <m:sub>
                              <m:r>
                                <w:rPr>
                                  <w:rFonts w:ascii="Cambria Math" w:hAnsi="Cambria Math"/>
                                </w:rPr>
                                <m:t>bnd</m:t>
                              </m:r>
                            </m:sub>
                            <m:sup>
                              <m:r>
                                <w:rPr>
                                  <w:rFonts w:ascii="Cambria Math" w:hAnsi="Cambria Math"/>
                                </w:rPr>
                                <m:t>eq</m:t>
                              </m:r>
                            </m:sup>
                          </m:sSubSup>
                          <m:r>
                            <w:rPr>
                              <w:rFonts w:ascii="Cambria Math" w:hAnsi="Cambria Math"/>
                            </w:rPr>
                            <m:t>=</m:t>
                          </m:r>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bSup>
                                <m:sSubSupPr>
                                  <m:ctrlPr>
                                    <w:rPr>
                                      <w:rFonts w:ascii="Cambria Math" w:hAnsi="Cambria Math"/>
                                      <w:i/>
                                    </w:rPr>
                                  </m:ctrlPr>
                                </m:sSubSupPr>
                                <m:e>
                                  <m:r>
                                    <w:rPr>
                                      <w:rFonts w:ascii="Cambria Math" w:hAnsi="Cambria Math"/>
                                    </w:rPr>
                                    <m:t>P</m:t>
                                  </m:r>
                                </m:e>
                                <m:sub>
                                  <m:r>
                                    <w:rPr>
                                      <w:rFonts w:ascii="Cambria Math" w:hAnsi="Cambria Math"/>
                                    </w:rPr>
                                    <m:t>n</m:t>
                                  </m:r>
                                </m:sub>
                                <m:sup>
                                  <m:r>
                                    <w:rPr>
                                      <w:rFonts w:ascii="Cambria Math" w:hAnsi="Cambria Math"/>
                                    </w:rPr>
                                    <m:t>eq</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e>
                          </m:nary>
                        </m:e>
                      </m:mr>
                      <m:mr>
                        <m:e>
                          <m:r>
                            <w:rPr>
                              <w:rFonts w:ascii="Cambria Math" w:hAnsi="Cambria Math"/>
                            </w:rPr>
                            <m:t xml:space="preserve"> </m:t>
                          </m:r>
                        </m:e>
                      </m:mr>
                    </m:m>
                  </m:e>
                </m:mr>
                <m:mr>
                  <m:e>
                    <m:sSub>
                      <m:sSubPr>
                        <m:ctrlPr>
                          <w:rPr>
                            <w:rFonts w:ascii="Cambria Math" w:hAnsi="Cambria Math"/>
                            <w:i/>
                          </w:rPr>
                        </m:ctrlPr>
                      </m:sSubPr>
                      <m:e>
                        <m:r>
                          <w:rPr>
                            <w:rFonts w:ascii="Cambria Math" w:hAnsi="Cambria Math"/>
                          </w:rPr>
                          <m:t>p</m:t>
                        </m:r>
                      </m:e>
                      <m:sub>
                        <m:r>
                          <w:rPr>
                            <w:rFonts w:ascii="Cambria Math" w:hAnsi="Cambria Math"/>
                          </w:rPr>
                          <m:t>s</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bnd</m:t>
                        </m:r>
                      </m:sub>
                    </m:sSub>
                  </m:e>
                </m:mr>
              </m:m>
            </m:e>
          </m:d>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bnd</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sup>
                  </m:sSup>
                </m:e>
              </m:nary>
            </m:num>
            <m:den>
              <m:r>
                <w:rPr>
                  <w:rFonts w:ascii="Cambria Math" w:hAnsi="Cambria Math"/>
                </w:rPr>
                <m:t>1+</m:t>
              </m:r>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sup>
                  </m:sSup>
                </m:e>
              </m:nary>
            </m:den>
          </m:f>
        </m:oMath>
      </m:oMathPara>
    </w:p>
    <w:p w14:paraId="4910C97C" w14:textId="0E00EAB9" w:rsidR="004877CD" w:rsidRDefault="004877CD">
      <w:r>
        <w:t xml:space="preserve">Since the rate from solution to PAM is dependent on the concentration, such that if you higher the concentration, the rate increases, we can state that </w:t>
      </w:r>
      <m:oMath>
        <m:sSub>
          <m:sSubPr>
            <m:ctrlPr>
              <w:rPr>
                <w:rFonts w:ascii="Cambria Math" w:hAnsi="Cambria Math"/>
                <w:i/>
              </w:rPr>
            </m:ctrlPr>
          </m:sSubPr>
          <m:e>
            <m:r>
              <w:rPr>
                <w:rFonts w:ascii="Cambria Math" w:hAnsi="Cambria Math"/>
              </w:rPr>
              <m:t>k</m:t>
            </m:r>
          </m:e>
          <m:sub>
            <m:r>
              <w:rPr>
                <w:rFonts w:ascii="Cambria Math" w:hAnsi="Cambria Math"/>
              </w:rPr>
              <m:t>sol→PAM</m:t>
            </m:r>
          </m:sub>
        </m:sSub>
        <m:r>
          <w:rPr>
            <w:rFonts w:ascii="Cambria Math" w:hAnsi="Cambria Math"/>
          </w:rPr>
          <m:t>∝</m:t>
        </m:r>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oMath>
      <w:r>
        <w:t>.</w:t>
      </w:r>
      <w:r w:rsidR="00B84519">
        <w:t xml:space="preserve"> </w:t>
      </w:r>
      <w:r>
        <w:t xml:space="preserve">Using this and  </w:t>
      </w:r>
      <w:r w:rsidR="006D5117">
        <w:t>E</w:t>
      </w:r>
      <w:r>
        <w:t xml:space="preserve">quation </w:t>
      </w:r>
      <w:r w:rsidR="006D5117">
        <w:t>…2…</w:t>
      </w:r>
      <w:r w:rsidR="00B84519">
        <w:t>,</w:t>
      </w:r>
      <w:r w:rsidR="006D5117">
        <w:t xml:space="preserve"> </w:t>
      </w:r>
      <w:r w:rsidR="00B84519">
        <w:t>w</w:t>
      </w:r>
      <w:r w:rsidR="006D5117">
        <w:t xml:space="preserve">e get the following expression for the energy at state </w:t>
      </w:r>
      <w:r w:rsidR="00B84519">
        <w:t xml:space="preserve">PAM for every concentration compared to the reference concentration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oMath>
      <w:r w:rsidR="00B84519">
        <w:t xml:space="preserve"> </w:t>
      </w:r>
      <w:r w:rsidR="006D5117">
        <w:t>:</w:t>
      </w:r>
    </w:p>
    <w:p w14:paraId="7303C962" w14:textId="21C09337" w:rsidR="006D5117" w:rsidRPr="00B84519" w:rsidRDefault="00B84519">
      <m:oMathPara>
        <m:oMath>
          <m:sSub>
            <m:sSubPr>
              <m:ctrlPr>
                <w:rPr>
                  <w:rFonts w:ascii="Cambria Math" w:hAnsi="Cambria Math"/>
                  <w:i/>
                </w:rPr>
              </m:ctrlPr>
            </m:sSubPr>
            <m:e>
              <m:r>
                <w:rPr>
                  <w:rFonts w:ascii="Cambria Math" w:hAnsi="Cambria Math"/>
                </w:rPr>
                <m:t>E</m:t>
              </m:r>
            </m:e>
            <m:sub>
              <m:r>
                <w:rPr>
                  <w:rFonts w:ascii="Cambria Math" w:hAnsi="Cambria Math"/>
                </w:rPr>
                <m:t>PAM</m:t>
              </m:r>
            </m:sub>
          </m:sSub>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PAM</m:t>
              </m:r>
            </m:sub>
            <m:sup>
              <m:r>
                <w:rPr>
                  <w:rFonts w:ascii="Cambria Math" w:hAnsi="Cambria Math"/>
                </w:rPr>
                <m:t>0</m:t>
              </m:r>
            </m:sup>
          </m:sSub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d>
            </m:e>
          </m:func>
        </m:oMath>
      </m:oMathPara>
    </w:p>
    <w:p w14:paraId="73DC6B2F" w14:textId="4DF9C775" w:rsidR="00B84519" w:rsidRDefault="00B84519">
      <w:r>
        <w:t xml:space="preserve">Generalising gives the following expression for the energy at any given state n: </w:t>
      </w:r>
    </w:p>
    <w:p w14:paraId="09EA6103" w14:textId="4C844767" w:rsidR="00B84519" w:rsidRDefault="00B84519">
      <m:oMathPara>
        <m:oMath>
          <m:sSub>
            <m:sSubPr>
              <m:ctrlPr>
                <w:rPr>
                  <w:rFonts w:ascii="Cambria Math" w:hAnsi="Cambria Math"/>
                  <w:i/>
                </w:rPr>
              </m:ctrlPr>
            </m:sSubPr>
            <m:e>
              <m:r>
                <w:rPr>
                  <w:rFonts w:ascii="Cambria Math" w:hAnsi="Cambria Math"/>
                </w:rPr>
                <m:t>E</m:t>
              </m:r>
            </m:e>
            <m:sub>
              <m:r>
                <w:rPr>
                  <w:rFonts w:ascii="Cambria Math" w:hAnsi="Cambria Math"/>
                </w:rPr>
                <m:t>n</m:t>
              </m:r>
            </m:sub>
          </m:sSub>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i-1</m:t>
                      </m:r>
                    </m:sub>
                  </m:sSub>
                </m:e>
              </m:d>
            </m:e>
          </m:nary>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0</m:t>
              </m:r>
            </m:sup>
          </m:sSub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d>
            </m:e>
          </m:func>
        </m:oMath>
      </m:oMathPara>
    </w:p>
    <w:p w14:paraId="38D65770" w14:textId="2435AE82" w:rsidR="00413374" w:rsidRDefault="00B84519">
      <w:r>
        <w:t xml:space="preserve">Plugging this back into our equation for </w:t>
      </w:r>
      <m:oMath>
        <m:sSub>
          <m:sSubPr>
            <m:ctrlPr>
              <w:rPr>
                <w:rFonts w:ascii="Cambria Math" w:hAnsi="Cambria Math"/>
                <w:i/>
              </w:rPr>
            </m:ctrlPr>
          </m:sSubPr>
          <m:e>
            <m:r>
              <w:rPr>
                <w:rFonts w:ascii="Cambria Math" w:hAnsi="Cambria Math"/>
              </w:rPr>
              <m:t>p</m:t>
            </m:r>
          </m:e>
          <m:sub>
            <m:r>
              <w:rPr>
                <w:rFonts w:ascii="Cambria Math" w:hAnsi="Cambria Math"/>
              </w:rPr>
              <m:t>bnd</m:t>
            </m:r>
          </m:sub>
        </m:sSub>
      </m:oMath>
      <w:r>
        <w:t xml:space="preserve"> and rewriting gives the following expression:</w:t>
      </w:r>
    </w:p>
    <w:p w14:paraId="44F74B17" w14:textId="1C2BB680" w:rsidR="00B84519" w:rsidRPr="001714F5" w:rsidRDefault="00B84519">
      <m:oMathPara>
        <m:oMath>
          <m:sSub>
            <m:sSubPr>
              <m:ctrlPr>
                <w:rPr>
                  <w:rFonts w:ascii="Cambria Math" w:hAnsi="Cambria Math"/>
                  <w:i/>
                </w:rPr>
              </m:ctrlPr>
            </m:sSubPr>
            <m:e>
              <m:r>
                <w:rPr>
                  <w:rFonts w:ascii="Cambria Math" w:hAnsi="Cambria Math"/>
                </w:rPr>
                <m:t>p</m:t>
              </m:r>
            </m:e>
            <m:sub>
              <m:r>
                <w:rPr>
                  <w:rFonts w:ascii="Cambria Math" w:hAnsi="Cambria Math"/>
                </w:rPr>
                <m:t>bnd</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0</m:t>
                          </m:r>
                        </m:sup>
                      </m:sSub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d>
                        </m:e>
                      </m:func>
                    </m:sup>
                  </m:sSup>
                </m:e>
              </m:nary>
            </m:num>
            <m:den>
              <m:r>
                <w:rPr>
                  <w:rFonts w:ascii="Cambria Math" w:hAnsi="Cambria Math"/>
                </w:rPr>
                <m:t>1+</m:t>
              </m:r>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0</m:t>
                          </m:r>
                        </m:sup>
                      </m:sSub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e>
                          </m:d>
                        </m:e>
                      </m:func>
                    </m:sup>
                  </m:sSup>
                </m:e>
              </m:nary>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r>
                    <w:rPr>
                      <w:rFonts w:ascii="Cambria Math" w:hAnsi="Cambria Math"/>
                    </w:rPr>
                    <m:t>c</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en>
              </m:f>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0</m:t>
                              </m:r>
                            </m:sup>
                          </m:sSubSup>
                        </m:sup>
                      </m:sSup>
                    </m:e>
                  </m:nary>
                </m:den>
              </m:f>
              <m:r>
                <w:rPr>
                  <w:rFonts w:ascii="Cambria Math" w:hAnsi="Cambria Math"/>
                </w:rPr>
                <m:t>+1</m:t>
              </m:r>
            </m:den>
          </m:f>
        </m:oMath>
      </m:oMathPara>
    </w:p>
    <w:p w14:paraId="627AE20E" w14:textId="77777777" w:rsidR="00C66E83" w:rsidRDefault="001714F5">
      <w:r>
        <w:t>Were we take</w:t>
      </w:r>
      <w:r w:rsidR="00C66E83">
        <w:t>:</w:t>
      </w:r>
    </w:p>
    <w:p w14:paraId="43F46A98" w14:textId="77777777" w:rsidR="00C66E83" w:rsidRDefault="001714F5" w:rsidP="00C66E83">
      <w:pPr>
        <w:pStyle w:val="ListParagraph"/>
        <w:numPr>
          <w:ilvl w:val="0"/>
          <w:numId w:val="5"/>
        </w:numPr>
      </w:pPr>
      <m:oMath>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c</m:t>
                </m:r>
              </m:e>
              <m:sub>
                <m:r>
                  <w:rPr>
                    <w:rFonts w:ascii="Cambria Math" w:hAnsi="Cambria Math"/>
                  </w:rPr>
                  <m:t>0</m:t>
                </m:r>
              </m:sub>
            </m:sSub>
          </m:den>
        </m:f>
        <m:r>
          <w:rPr>
            <w:rFonts w:ascii="Cambria Math" w:hAnsi="Cambria Math"/>
          </w:rPr>
          <m:t>=c</m:t>
        </m:r>
      </m:oMath>
      <w:r>
        <w:t xml:space="preserve"> since our reference concentration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t xml:space="preserve"> in the experiments</w:t>
      </w:r>
    </w:p>
    <w:p w14:paraId="4399F687" w14:textId="2DE54157" w:rsidR="001714F5" w:rsidRDefault="001714F5" w:rsidP="00C66E83">
      <w:pPr>
        <w:pStyle w:val="ListParagraph"/>
        <w:numPr>
          <w:ilvl w:val="0"/>
          <w:numId w:val="5"/>
        </w:numPr>
      </w:pPr>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0</m:t>
                        </m:r>
                      </m:sup>
                    </m:sSubSup>
                  </m:sup>
                </m:sSup>
              </m:e>
            </m:nary>
          </m:den>
        </m:f>
      </m:oMath>
    </w:p>
    <w:p w14:paraId="4F0863F9" w14:textId="78A29521" w:rsidR="00C66E83" w:rsidRDefault="00C66E83" w:rsidP="00C66E83">
      <w:r>
        <w:t>Which leaves us with the Hill-equation:</w:t>
      </w:r>
    </w:p>
    <w:p w14:paraId="104012E5" w14:textId="0B5D011E" w:rsidR="00C66E83" w:rsidRPr="00687972" w:rsidRDefault="00C66E83" w:rsidP="00C66E83">
      <m:oMathPara>
        <m:oMath>
          <m:sSub>
            <m:sSubPr>
              <m:ctrlPr>
                <w:rPr>
                  <w:rFonts w:ascii="Cambria Math" w:hAnsi="Cambria Math"/>
                  <w:i/>
                </w:rPr>
              </m:ctrlPr>
            </m:sSubPr>
            <m:e>
              <m:r>
                <w:rPr>
                  <w:rFonts w:ascii="Cambria Math" w:hAnsi="Cambria Math"/>
                </w:rPr>
                <m:t>p</m:t>
              </m:r>
            </m:e>
            <m:sub>
              <m:r>
                <w:rPr>
                  <w:rFonts w:ascii="Cambria Math" w:hAnsi="Cambria Math"/>
                </w:rPr>
                <m:t>bnd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r>
                    <w:rPr>
                      <w:rFonts w:ascii="Cambria Math" w:hAnsi="Cambria Math"/>
                    </w:rPr>
                    <m:t>c</m:t>
                  </m:r>
                </m:den>
              </m:f>
            </m:den>
          </m:f>
        </m:oMath>
      </m:oMathPara>
    </w:p>
    <w:p w14:paraId="06213F36" w14:textId="2DD8CEA9" w:rsidR="00C66E83" w:rsidRDefault="00600F6E">
      <w:pPr>
        <w:rPr>
          <w:smallCaps/>
          <w:spacing w:val="5"/>
          <w:sz w:val="32"/>
          <w:szCs w:val="32"/>
        </w:rPr>
      </w:pPr>
      <w:r w:rsidRPr="00600F6E">
        <w:rPr>
          <w:highlight w:val="yellow"/>
        </w:rPr>
        <w:t>WHERE EXACTLY DO YOU ASSUME EQUILIBRIUM???</w:t>
      </w:r>
      <w:r w:rsidR="00C66E83">
        <w:br w:type="page"/>
      </w:r>
    </w:p>
    <w:p w14:paraId="5823948C" w14:textId="54637235" w:rsidR="00287719" w:rsidRPr="006D5117" w:rsidRDefault="00287719" w:rsidP="00287719">
      <w:pPr>
        <w:pStyle w:val="Heading1"/>
      </w:pPr>
      <w:r w:rsidRPr="006D5117">
        <w:lastRenderedPageBreak/>
        <w:t>Boyle et al.:</w:t>
      </w:r>
      <w:bookmarkEnd w:id="20"/>
    </w:p>
    <w:p w14:paraId="6806A330" w14:textId="359D75BF" w:rsidR="00287719" w:rsidRPr="007A7F2B" w:rsidRDefault="00287719" w:rsidP="00287719">
      <w:r w:rsidRPr="007A7F2B">
        <w:t xml:space="preserve">Boyle et al. </w:t>
      </w:r>
      <w:r w:rsidRPr="007A7F2B">
        <w:fldChar w:fldCharType="begin" w:fldLock="1"/>
      </w:r>
      <w:r w:rsidR="002E5DD7">
        <w:instrText>ADDIN CSL_CITATION {"citationItems":[{"id":"ITEM-1","itemData":{"DOI":"10.1073/pnas.1700557114","ISBN":"1700557114","ISSN":"0027-8424","abstract":"A five-year old, spayed female, Bearded Collie was presented with a 24-hour history of non-weight-bearing lameness of the right thoracic limb after sustaining vehicular trauma. Radiographs revealed a craniolateral scapulohumeral luxation and a distally and medially displaced fracture of the lesser tubercle of the humerus. Open reduction and internal fixation of the fracture was achieved with lag screw fixation and an anti-rotational Kirschner wire. Surgical repair resulted in compression across the fracture line, anatomic reduction of the articular surface, and a stable scapulohumeral joint following reduction of the humeral head in the glenoid. Six weeks postoperatively, the patient exhibited no evidence of pain or lameness on the right thoracic limb and radiographs revealed complete healing of the fracture and normal articulation of the scapulohumeral joint. This is the first report of a lesser tubercle fracture associated with a craniolateral shoulder luxation. Surgical intervention resulted in the return of full shoulder joint function in this dog.","author":[{"dropping-particle":"","family":"Boyle","given":"Evan A.","non-dropping-particle":"","parse-names":false,"suffix":""},{"dropping-particle":"","family":"Andreasson","given":"Johan O. L.","non-dropping-particle":"","parse-names":false,"suffix":""},{"dropping-particle":"","family":"Chircus","given":"Lauren M.","non-dropping-particle":"","parse-names":false,"suffix":""},{"dropping-particle":"","family":"Sternberg","given":"Samuel H.","non-dropping-particle":"","parse-names":false,"suffix":""},{"dropping-particle":"","family":"Wu","given":"Michelle J.","non-dropping-particle":"","parse-names":false,"suffix":""},{"dropping-particle":"","family":"Guegler","given":"Chantal K.","non-dropping-particle":"","parse-names":false,"suffix":""},{"dropping-particle":"","family":"Doudna","given":"Jennifer A.","non-dropping-particle":"","parse-names":false,"suffix":""},{"dropping-particle":"","family":"Greenleaf","given":"William J.","non-dropping-particle":"","parse-names":false,"suffix":""}],"container-title":"Proceedings of the National Academy of Sciences","id":"ITEM-1","issue":"21","issued":{"date-parts":[["2017"]]},"page":"5461-5466","title":"High-throughput biochemical profiling reveals sequence determinants of dCas9 off-target binding and unbinding","type":"article-journal","volume":"114"},"uris":["http://www.mendeley.com/documents/?uuid=5d3bd9c9-c3d5-4909-940e-4419508f06a1"]}],"mendeley":{"formattedCitation":"(25)","plainTextFormattedCitation":"(25)","previouslyFormattedCitation":"(26)"},"properties":{"noteIndex":0},"schema":"https://github.com/citation-style-language/schema/raw/master/csl-citation.json"}</w:instrText>
      </w:r>
      <w:r w:rsidRPr="007A7F2B">
        <w:fldChar w:fldCharType="separate"/>
      </w:r>
      <w:r w:rsidR="002E5DD7" w:rsidRPr="002E5DD7">
        <w:rPr>
          <w:noProof/>
        </w:rPr>
        <w:t>(25)</w:t>
      </w:r>
      <w:r w:rsidRPr="007A7F2B">
        <w:fldChar w:fldCharType="end"/>
      </w:r>
      <w:r w:rsidR="002E5DD7">
        <w:t xml:space="preserve"> </w:t>
      </w:r>
      <w:r w:rsidRPr="007A7F2B">
        <w:t>used a</w:t>
      </w:r>
      <w:r w:rsidR="002E5DD7">
        <w:t xml:space="preserve"> different</w:t>
      </w:r>
      <w:r w:rsidRPr="007A7F2B">
        <w:t xml:space="preserve"> high-throughput sequencing flow cell for</w:t>
      </w:r>
      <w:r w:rsidR="002E5DD7">
        <w:t xml:space="preserve"> </w:t>
      </w:r>
      <w:r w:rsidRPr="007A7F2B">
        <w:t xml:space="preserve">their </w:t>
      </w:r>
      <w:r w:rsidR="002E5DD7">
        <w:t>experiment, but they did in principle the same</w:t>
      </w:r>
      <w:r w:rsidR="001E44A8">
        <w:t xml:space="preserve"> with the same library of DNA strands. O</w:t>
      </w:r>
      <w:r w:rsidR="002E5DD7">
        <w:t xml:space="preserve">nly they </w:t>
      </w:r>
      <w:r w:rsidRPr="007A7F2B">
        <w:t xml:space="preserve">measured the fluorescence for every strand at 3 different timepoints (500 s,1000 s, 1500 s) at a fixed concentration of 10 </w:t>
      </w:r>
      <w:proofErr w:type="spellStart"/>
      <w:r w:rsidRPr="007A7F2B">
        <w:t>nM.</w:t>
      </w:r>
      <w:proofErr w:type="spellEnd"/>
      <w:r w:rsidRPr="007A7F2B">
        <w:t xml:space="preserve"> The fluorescence intensity for the on-target </w:t>
      </w:r>
      <w:r w:rsidR="002E5DD7">
        <w:t xml:space="preserve">was measured </w:t>
      </w:r>
      <w:r w:rsidRPr="007A7F2B">
        <w:t>after 12 hours</w:t>
      </w:r>
      <w:r w:rsidR="001E44A8">
        <w:t>, to be sure that equilibrium was reached.</w:t>
      </w:r>
      <w:r w:rsidRPr="007A7F2B">
        <w:t xml:space="preserve"> </w:t>
      </w:r>
    </w:p>
    <w:p w14:paraId="61AF4A98" w14:textId="1302ED59" w:rsidR="00287719" w:rsidRDefault="00287719" w:rsidP="00287719">
      <w:r w:rsidRPr="007A7F2B">
        <w:t xml:space="preserve">To obtain the effective on- and off-rates, a straight line was fitted through the occupancy over time and forced to go through </w:t>
      </w:r>
      <w:r>
        <w:t>origin</w:t>
      </w:r>
      <w:r w:rsidRPr="007A7F2B">
        <w:t>. For the on-rate, they measured fluorescence at 3 timepoints directly after adding the RNP complexes to the flow cell. This florescent signal was after the experiment converted into the occupancy</w:t>
      </w:r>
      <w:r w:rsidR="001E44A8">
        <w:t xml:space="preserve"> in the same way as was explained for Finkelstein et al.</w:t>
      </w:r>
      <w:r w:rsidR="00C16253">
        <w:t>.</w:t>
      </w:r>
      <w:r w:rsidR="001E44A8">
        <w:t xml:space="preserve"> This</w:t>
      </w:r>
      <w:r w:rsidRPr="007A7F2B">
        <w:t xml:space="preserve"> increases linear in the beginning, but then will start to follow an exponential that gradually flattens out to reach equilibrium. The 3 measured timepoints are still in the linear domain and therefore reflect the on-rate.</w:t>
      </w:r>
      <w:r w:rsidR="007D3EFB">
        <w:t xml:space="preserve"> (Note that this effective on-rate that they measured is not the same as our rate from solution to PAM, it is the change in the occupancy.)</w:t>
      </w:r>
      <w:r w:rsidRPr="007A7F2B">
        <w:t xml:space="preserve"> To measure the off-rate, they incubated the flow cell 12 h overnight, to be sure that equilibrium was reached. Then they washed the flow cell with a dCas9-free buffer and measured again at 3 timepoints with 500 s in between. Here you see the same phenomena occurring</w:t>
      </w:r>
      <w:r w:rsidR="00C16253">
        <w:t xml:space="preserve">, resulting in that </w:t>
      </w:r>
      <w:r w:rsidRPr="007A7F2B">
        <w:t xml:space="preserve">fitting the straight line gives the off-rate. </w:t>
      </w:r>
    </w:p>
    <w:p w14:paraId="7CAC8252" w14:textId="4644BEE6" w:rsidR="00287719" w:rsidRPr="007A7F2B" w:rsidRDefault="00287719" w:rsidP="00287719">
      <w:r w:rsidRPr="007A7F2B">
        <w:t xml:space="preserve">In short, the datasets from the experiments from Boyle et al. </w:t>
      </w:r>
      <w:r w:rsidRPr="007A7F2B">
        <w:fldChar w:fldCharType="begin" w:fldLock="1"/>
      </w:r>
      <w:r w:rsidR="002E5DD7">
        <w:instrText>ADDIN CSL_CITATION {"citationItems":[{"id":"ITEM-1","itemData":{"DOI":"10.1073/pnas.1700557114","ISBN":"1700557114","ISSN":"0027-8424","abstract":"A five-year old, spayed female, Bearded Collie was presented with a 24-hour history of non-weight-bearing lameness of the right thoracic limb after sustaining vehicular trauma. Radiographs revealed a craniolateral scapulohumeral luxation and a distally and medially displaced fracture of the lesser tubercle of the humerus. Open reduction and internal fixation of the fracture was achieved with lag screw fixation and an anti-rotational Kirschner wire. Surgical repair resulted in compression across the fracture line, anatomic reduction of the articular surface, and a stable scapulohumeral joint following reduction of the humeral head in the glenoid. Six weeks postoperatively, the patient exhibited no evidence of pain or lameness on the right thoracic limb and radiographs revealed complete healing of the fracture and normal articulation of the scapulohumeral joint. This is the first report of a lesser tubercle fracture associated with a craniolateral shoulder luxation. Surgical intervention resulted in the return of full shoulder joint function in this dog.","author":[{"dropping-particle":"","family":"Boyle","given":"Evan A.","non-dropping-particle":"","parse-names":false,"suffix":""},{"dropping-particle":"","family":"Andreasson","given":"Johan O. L.","non-dropping-particle":"","parse-names":false,"suffix":""},{"dropping-particle":"","family":"Chircus","given":"Lauren M.","non-dropping-particle":"","parse-names":false,"suffix":""},{"dropping-particle":"","family":"Sternberg","given":"Samuel H.","non-dropping-particle":"","parse-names":false,"suffix":""},{"dropping-particle":"","family":"Wu","given":"Michelle J.","non-dropping-particle":"","parse-names":false,"suffix":""},{"dropping-particle":"","family":"Guegler","given":"Chantal K.","non-dropping-particle":"","parse-names":false,"suffix":""},{"dropping-particle":"","family":"Doudna","given":"Jennifer A.","non-dropping-particle":"","parse-names":false,"suffix":""},{"dropping-particle":"","family":"Greenleaf","given":"William J.","non-dropping-particle":"","parse-names":false,"suffix":""}],"container-title":"Proceedings of the National Academy of Sciences","id":"ITEM-1","issue":"21","issued":{"date-parts":[["2017"]]},"page":"5461-5466","title":"High-throughput biochemical profiling reveals sequence determinants of dCas9 off-target binding and unbinding","type":"article-journal","volume":"114"},"uris":["http://www.mendeley.com/documents/?uuid=5d3bd9c9-c3d5-4909-940e-4419508f06a1"]}],"mendeley":{"formattedCitation":"(25)","plainTextFormattedCitation":"(25)","previouslyFormattedCitation":"(26)"},"properties":{"noteIndex":0},"schema":"https://github.com/citation-style-language/schema/raw/master/csl-citation.json"}</w:instrText>
      </w:r>
      <w:r w:rsidRPr="007A7F2B">
        <w:fldChar w:fldCharType="separate"/>
      </w:r>
      <w:r w:rsidR="002E5DD7" w:rsidRPr="002E5DD7">
        <w:rPr>
          <w:noProof/>
        </w:rPr>
        <w:t>(25)</w:t>
      </w:r>
      <w:r w:rsidRPr="007A7F2B">
        <w:fldChar w:fldCharType="end"/>
      </w:r>
      <w:r w:rsidRPr="007A7F2B">
        <w:t xml:space="preserve"> contained the occupancy, on-rate and off-rate of dCas9. But we should think of the following notions about the assumptions they used:</w:t>
      </w:r>
    </w:p>
    <w:p w14:paraId="011080B3" w14:textId="77777777" w:rsidR="00287719" w:rsidRPr="007A7F2B" w:rsidRDefault="00287719" w:rsidP="00287719">
      <w:pPr>
        <w:pStyle w:val="ListParagraph"/>
        <w:numPr>
          <w:ilvl w:val="0"/>
          <w:numId w:val="4"/>
        </w:numPr>
      </w:pPr>
      <w:r w:rsidRPr="007A7F2B">
        <w:t xml:space="preserve">On- and off-rate: dCas9 strand invasion behaviour is not expected to obey a simple two-state binding dynamics (which justifies the use of linearization), since they would also get influenced by the amount and positions of the mismatches. Earlier mismatches would result in a higher off-rate or an lower on-rate. </w:t>
      </w:r>
    </w:p>
    <w:p w14:paraId="7125FEB5" w14:textId="40A84806" w:rsidR="00287719" w:rsidRDefault="00287719" w:rsidP="00287719">
      <w:pPr>
        <w:pStyle w:val="ListParagraph"/>
        <w:numPr>
          <w:ilvl w:val="0"/>
          <w:numId w:val="4"/>
        </w:numPr>
      </w:pPr>
      <w:r w:rsidRPr="007A7F2B">
        <w:t>It is assumed that equilibrium is reached after 12 hours. Really justifying this assumption is not possible, but it sounds reasonable</w:t>
      </w:r>
      <w:r w:rsidR="00C16253">
        <w:t xml:space="preserve">. 12 hours should at least be enough to go through all the binding states, because otherwise it would mean that a bacteria cannot defend itself within 12 hours against a virus. </w:t>
      </w:r>
    </w:p>
    <w:p w14:paraId="05C0EF45" w14:textId="1AD89297" w:rsidR="00287719" w:rsidRPr="007A7F2B" w:rsidRDefault="00287719" w:rsidP="009605A9">
      <w:r w:rsidRPr="007A7F2B">
        <w:br w:type="page"/>
      </w:r>
    </w:p>
    <w:p w14:paraId="472E623C" w14:textId="64F28EA0" w:rsidR="00770C86" w:rsidRPr="007A7F2B" w:rsidRDefault="00770C86" w:rsidP="00047EEF">
      <w:pPr>
        <w:pStyle w:val="Title"/>
      </w:pPr>
      <w:bookmarkStart w:id="22" w:name="_Toc10029740"/>
      <w:r w:rsidRPr="007A7F2B">
        <w:lastRenderedPageBreak/>
        <w:t>What we actually fit</w:t>
      </w:r>
      <w:bookmarkEnd w:id="22"/>
    </w:p>
    <w:p w14:paraId="60166456" w14:textId="63D76152" w:rsidR="00770C86" w:rsidRPr="007A7F2B" w:rsidRDefault="00770C86" w:rsidP="00770C86">
      <w:r w:rsidRPr="007A7F2B">
        <w:t>Now that we do have an idea what kinetics and assumptions we use for our model</w:t>
      </w:r>
      <w:r w:rsidR="00287719">
        <w:t xml:space="preserve"> and know how the experimental data is obtained</w:t>
      </w:r>
      <w:r w:rsidRPr="007A7F2B">
        <w:t>, we can bring it together into what we actually fit. We fit a parameter set of 43 parameters</w:t>
      </w:r>
      <w:r w:rsidR="00B144CD" w:rsidRPr="007A7F2B">
        <w:t>:</w:t>
      </w:r>
    </w:p>
    <w:p w14:paraId="55CBA157" w14:textId="1C9FCF27" w:rsidR="00770C86" w:rsidRPr="007A7F2B" w:rsidRDefault="00770C86" w:rsidP="0013534C">
      <w:pPr>
        <w:spacing w:after="0"/>
      </w:pPr>
      <w:r w:rsidRPr="007A7F2B">
        <w:t>1</w:t>
      </w:r>
      <w:r w:rsidRPr="007A7F2B">
        <w:rPr>
          <w:vertAlign w:val="superscript"/>
        </w:rPr>
        <w:t>st</w:t>
      </w:r>
      <w:r w:rsidRPr="007A7F2B">
        <w:t xml:space="preserve"> parameter:</w:t>
      </w:r>
      <w:r w:rsidR="0013534C" w:rsidRPr="007A7F2B">
        <w:t xml:space="preserve"> </w:t>
      </w:r>
      <w:r w:rsidR="0013534C" w:rsidRPr="007A7F2B">
        <w:tab/>
      </w:r>
      <m:oMath>
        <m:sSub>
          <m:sSubPr>
            <m:ctrlPr>
              <w:rPr>
                <w:rFonts w:ascii="Cambria Math" w:hAnsi="Cambria Math"/>
                <w:i/>
              </w:rPr>
            </m:ctrlPr>
          </m:sSubPr>
          <m:e>
            <m:r>
              <w:rPr>
                <w:rFonts w:ascii="Cambria Math" w:hAnsi="Cambria Math"/>
              </w:rPr>
              <m:t>ϵ</m:t>
            </m:r>
          </m:e>
          <m:sub>
            <m:r>
              <w:rPr>
                <w:rFonts w:ascii="Cambria Math" w:hAnsi="Cambria Math"/>
              </w:rPr>
              <m:t>PAM</m:t>
            </m:r>
          </m:sub>
        </m:sSub>
      </m:oMath>
      <w:r w:rsidRPr="007A7F2B">
        <w:t xml:space="preserve">  </w:t>
      </w:r>
      <w:r w:rsidRPr="007A7F2B">
        <w:tab/>
        <w:t>the free energy needed for binding of CRISPR to the PAM region</w:t>
      </w:r>
    </w:p>
    <w:p w14:paraId="10426D60" w14:textId="0386D0A6" w:rsidR="00770C86" w:rsidRPr="007A7F2B" w:rsidRDefault="00770C86" w:rsidP="0013534C">
      <w:pPr>
        <w:spacing w:after="0"/>
      </w:pPr>
      <w:r w:rsidRPr="007A7F2B">
        <w:t>2-2</w:t>
      </w:r>
      <w:r w:rsidR="0013534C" w:rsidRPr="007A7F2B">
        <w:t>1</w:t>
      </w:r>
      <w:r w:rsidRPr="007A7F2B">
        <w:t xml:space="preserve">: </w:t>
      </w:r>
      <w:r w:rsidRPr="007A7F2B">
        <w:tab/>
      </w:r>
      <w:r w:rsidRPr="007A7F2B">
        <w:tab/>
      </w:r>
      <m:oMath>
        <m:sSub>
          <m:sSubPr>
            <m:ctrlPr>
              <w:rPr>
                <w:rFonts w:ascii="Cambria Math" w:hAnsi="Cambria Math"/>
                <w:i/>
              </w:rPr>
            </m:ctrlPr>
          </m:sSubPr>
          <m:e>
            <m:r>
              <w:rPr>
                <w:rFonts w:ascii="Cambria Math" w:hAnsi="Cambria Math"/>
              </w:rPr>
              <m:t>ϵ</m:t>
            </m:r>
          </m:e>
          <m:sub>
            <m:r>
              <w:rPr>
                <w:rFonts w:ascii="Cambria Math" w:hAnsi="Cambria Math"/>
              </w:rPr>
              <m:t>C</m:t>
            </m:r>
          </m:sub>
        </m:sSub>
      </m:oMath>
      <w:r w:rsidRPr="007A7F2B">
        <w:tab/>
        <w:t xml:space="preserve">the free energy needed for the binding of every next nucleotide </w:t>
      </w:r>
      <w:r w:rsidR="0013534C" w:rsidRPr="007A7F2B">
        <w:t xml:space="preserve">position </w:t>
      </w:r>
      <w:r w:rsidRPr="007A7F2B">
        <w:t>(if matches)</w:t>
      </w:r>
    </w:p>
    <w:p w14:paraId="0599BA87" w14:textId="566B55FC" w:rsidR="0013534C" w:rsidRPr="007A7F2B" w:rsidRDefault="0013534C" w:rsidP="0013534C">
      <w:pPr>
        <w:spacing w:after="0"/>
      </w:pPr>
      <w:r w:rsidRPr="007A7F2B">
        <w:t>22-4</w:t>
      </w:r>
      <w:r w:rsidR="00B144CD" w:rsidRPr="007A7F2B">
        <w:t>1</w:t>
      </w:r>
      <w:r w:rsidRPr="007A7F2B">
        <w:t>:</w:t>
      </w:r>
      <w:r w:rsidRPr="007A7F2B">
        <w:tab/>
      </w:r>
      <w:r w:rsidRPr="007A7F2B">
        <w:tab/>
      </w:r>
      <m:oMath>
        <m:sSub>
          <m:sSubPr>
            <m:ctrlPr>
              <w:rPr>
                <w:rFonts w:ascii="Cambria Math" w:hAnsi="Cambria Math"/>
                <w:i/>
              </w:rPr>
            </m:ctrlPr>
          </m:sSubPr>
          <m:e>
            <m:r>
              <w:rPr>
                <w:rFonts w:ascii="Cambria Math" w:hAnsi="Cambria Math"/>
              </w:rPr>
              <m:t>ϵ</m:t>
            </m:r>
          </m:e>
          <m:sub>
            <m:r>
              <w:rPr>
                <w:rFonts w:ascii="Cambria Math" w:hAnsi="Cambria Math"/>
              </w:rPr>
              <m:t>i</m:t>
            </m:r>
          </m:sub>
        </m:sSub>
      </m:oMath>
      <w:r w:rsidRPr="007A7F2B">
        <w:t xml:space="preserve"> </w:t>
      </w:r>
      <w:r w:rsidRPr="007A7F2B">
        <w:tab/>
        <w:t>the penalty in free energy for every mismatch at that position</w:t>
      </w:r>
      <w:r w:rsidR="00834BDD" w:rsidRPr="007A7F2B">
        <w:t xml:space="preserve"> (these are added to </w:t>
      </w:r>
      <m:oMath>
        <m:sSub>
          <m:sSubPr>
            <m:ctrlPr>
              <w:rPr>
                <w:rFonts w:ascii="Cambria Math" w:hAnsi="Cambria Math"/>
                <w:i/>
              </w:rPr>
            </m:ctrlPr>
          </m:sSubPr>
          <m:e>
            <m:r>
              <w:rPr>
                <w:rFonts w:ascii="Cambria Math" w:hAnsi="Cambria Math"/>
              </w:rPr>
              <m:t>ϵ</m:t>
            </m:r>
          </m:e>
          <m:sub>
            <m:r>
              <w:rPr>
                <w:rFonts w:ascii="Cambria Math" w:hAnsi="Cambria Math"/>
              </w:rPr>
              <m:t>c</m:t>
            </m:r>
          </m:sub>
        </m:sSub>
      </m:oMath>
      <w:r w:rsidR="00834BDD" w:rsidRPr="007A7F2B">
        <w:t>)</w:t>
      </w:r>
    </w:p>
    <w:p w14:paraId="039F9843" w14:textId="6102D12E" w:rsidR="0013534C" w:rsidRPr="007A7F2B" w:rsidRDefault="0013534C" w:rsidP="0013534C">
      <w:pPr>
        <w:spacing w:after="0"/>
      </w:pPr>
      <w:r w:rsidRPr="007A7F2B">
        <w:t>4</w:t>
      </w:r>
      <w:r w:rsidR="00B144CD" w:rsidRPr="007A7F2B">
        <w:t>2</w:t>
      </w:r>
      <w:r w:rsidRPr="007A7F2B">
        <w:t>:</w:t>
      </w:r>
      <w:r w:rsidRPr="007A7F2B">
        <w:tab/>
      </w:r>
      <w:r w:rsidRPr="007A7F2B">
        <w:tab/>
      </w:r>
      <m:oMath>
        <m:sSub>
          <m:sSubPr>
            <m:ctrlPr>
              <w:rPr>
                <w:rFonts w:ascii="Cambria Math" w:hAnsi="Cambria Math"/>
                <w:i/>
              </w:rPr>
            </m:ctrlPr>
          </m:sSubPr>
          <m:e>
            <m:r>
              <w:rPr>
                <w:rFonts w:ascii="Cambria Math" w:hAnsi="Cambria Math"/>
              </w:rPr>
              <m:t>k</m:t>
            </m:r>
          </m:e>
          <m:sub>
            <m:r>
              <w:rPr>
                <w:rFonts w:ascii="Cambria Math" w:hAnsi="Cambria Math"/>
              </w:rPr>
              <m:t>s→PAM</m:t>
            </m:r>
          </m:sub>
        </m:sSub>
      </m:oMath>
      <w:r w:rsidRPr="007A7F2B">
        <w:tab/>
        <w:t>the rate for binding to the PAM region</w:t>
      </w:r>
    </w:p>
    <w:p w14:paraId="0B0B86E8" w14:textId="113B2CE9" w:rsidR="0013534C" w:rsidRPr="007A7F2B" w:rsidRDefault="0013534C" w:rsidP="00770C86">
      <w:r w:rsidRPr="007A7F2B">
        <w:t>4</w:t>
      </w:r>
      <w:r w:rsidR="00B144CD" w:rsidRPr="007A7F2B">
        <w:t>3</w:t>
      </w:r>
      <w:r w:rsidRPr="007A7F2B">
        <w:t xml:space="preserve">: </w:t>
      </w:r>
      <w:r w:rsidRPr="007A7F2B">
        <w:tab/>
      </w:r>
      <w:r w:rsidRPr="007A7F2B">
        <w:tab/>
      </w:r>
      <m:oMath>
        <m:sSub>
          <m:sSubPr>
            <m:ctrlPr>
              <w:rPr>
                <w:rFonts w:ascii="Cambria Math" w:hAnsi="Cambria Math"/>
                <w:i/>
              </w:rPr>
            </m:ctrlPr>
          </m:sSubPr>
          <m:e>
            <m:r>
              <w:rPr>
                <w:rFonts w:ascii="Cambria Math" w:hAnsi="Cambria Math"/>
              </w:rPr>
              <m:t>k</m:t>
            </m:r>
          </m:e>
          <m:sub>
            <m:r>
              <w:rPr>
                <w:rFonts w:ascii="Cambria Math" w:hAnsi="Cambria Math"/>
              </w:rPr>
              <m:t>internal</m:t>
            </m:r>
          </m:sub>
        </m:sSub>
      </m:oMath>
      <w:r w:rsidRPr="007A7F2B">
        <w:t xml:space="preserve"> the internal forward rates</w:t>
      </w:r>
    </w:p>
    <w:p w14:paraId="26443C95" w14:textId="2A6296CD" w:rsidR="00B144CD" w:rsidRPr="007A7F2B" w:rsidRDefault="0013534C" w:rsidP="00770C86">
      <w:r w:rsidRPr="007A7F2B">
        <w:t>In our fit we try to redo the experiment that</w:t>
      </w:r>
      <w:r w:rsidR="00B144CD" w:rsidRPr="007A7F2B">
        <w:t xml:space="preserve"> </w:t>
      </w:r>
      <w:r w:rsidRPr="007A7F2B">
        <w:t>Finkelstein has performed.</w:t>
      </w:r>
      <w:r w:rsidR="001C2B0F" w:rsidRPr="007A7F2B">
        <w:t xml:space="preserve"> We start by choosing a random set of parameters, with these parameters we </w:t>
      </w:r>
      <w:r w:rsidRPr="007A7F2B">
        <w:t xml:space="preserve">can first build the rate matrix (M). </w:t>
      </w:r>
      <w:r w:rsidR="001C2B0F" w:rsidRPr="007A7F2B">
        <w:t xml:space="preserve">This is done for every </w:t>
      </w:r>
      <w:r w:rsidR="007B3C39" w:rsidRPr="007A7F2B">
        <w:t>mismatch configuration present in the library</w:t>
      </w:r>
      <w:r w:rsidR="001C2B0F" w:rsidRPr="007A7F2B">
        <w:t xml:space="preserve">. For </w:t>
      </w:r>
      <w:r w:rsidR="007B3C39" w:rsidRPr="007A7F2B">
        <w:t>each configuration</w:t>
      </w:r>
      <w:r w:rsidR="001C2B0F" w:rsidRPr="007A7F2B">
        <w:t xml:space="preserve"> the free energy landscape is built by using the </w:t>
      </w:r>
      <m:oMath>
        <m:r>
          <w:rPr>
            <w:rFonts w:ascii="Cambria Math" w:hAnsi="Cambria Math"/>
          </w:rPr>
          <m:t>ϵ</m:t>
        </m:r>
      </m:oMath>
      <w:r w:rsidR="001C2B0F" w:rsidRPr="007A7F2B">
        <w:t xml:space="preserve"> values and the information where </w:t>
      </w:r>
      <w:r w:rsidR="007B3C39" w:rsidRPr="007A7F2B">
        <w:t>the</w:t>
      </w:r>
      <w:r w:rsidR="001C2B0F" w:rsidRPr="007A7F2B">
        <w:t xml:space="preserve"> matches or mismatches</w:t>
      </w:r>
      <w:r w:rsidR="007B3C39" w:rsidRPr="007A7F2B">
        <w:t xml:space="preserve"> are present</w:t>
      </w:r>
      <w:r w:rsidR="001C2B0F" w:rsidRPr="007A7F2B">
        <w:t xml:space="preserve">. This free energy landscape describes the </w:t>
      </w:r>
      <m:oMath>
        <m:r>
          <m:rPr>
            <m:sty m:val="p"/>
          </m:rPr>
          <w:rPr>
            <w:rFonts w:ascii="Cambria Math" w:hAnsi="Cambria Math"/>
          </w:rPr>
          <m:t>Δ</m:t>
        </m:r>
        <m:r>
          <w:rPr>
            <w:rFonts w:ascii="Cambria Math" w:hAnsi="Cambria Math"/>
          </w:rPr>
          <m:t>F</m:t>
        </m:r>
      </m:oMath>
      <w:r w:rsidR="001C2B0F" w:rsidRPr="007A7F2B">
        <w:t xml:space="preserve"> for every position </w:t>
      </w:r>
      <w:r w:rsidR="007B3C39" w:rsidRPr="007A7F2B">
        <w:t>at</w:t>
      </w:r>
      <w:r w:rsidR="001C2B0F" w:rsidRPr="007A7F2B">
        <w:t xml:space="preserve"> the DNA strand, so for every state in our model. By using the relation</w:t>
      </w:r>
      <w:r w:rsidR="00B144CD" w:rsidRPr="007A7F2B">
        <w:t xml:space="preserve"> in equation … we can therefore calculate the backward rates from these </w:t>
      </w:r>
      <m:oMath>
        <m:r>
          <m:rPr>
            <m:sty m:val="p"/>
          </m:rPr>
          <w:rPr>
            <w:rFonts w:ascii="Cambria Math" w:hAnsi="Cambria Math"/>
          </w:rPr>
          <m:t>Δ</m:t>
        </m:r>
        <m:r>
          <w:rPr>
            <w:rFonts w:ascii="Cambria Math" w:hAnsi="Cambria Math"/>
          </w:rPr>
          <m:t>F</m:t>
        </m:r>
      </m:oMath>
      <w:r w:rsidR="00B144CD" w:rsidRPr="007A7F2B">
        <w:t xml:space="preserve"> and the randomly chosen forward rate. With both of these rates known we can build the rate matrix. </w:t>
      </w:r>
    </w:p>
    <w:p w14:paraId="2772D603" w14:textId="0BD6E390" w:rsidR="00770C86" w:rsidRPr="007A7F2B" w:rsidRDefault="0013534C" w:rsidP="00770C86">
      <w:r w:rsidRPr="007A7F2B">
        <w:t xml:space="preserve">From </w:t>
      </w:r>
      <w:r w:rsidR="00220EF0" w:rsidRPr="007A7F2B">
        <w:t xml:space="preserve">the rate matrix </w:t>
      </w:r>
      <w:r w:rsidRPr="007A7F2B">
        <w:t>we calculate the occupancy using the master equation</w:t>
      </w:r>
      <w:r w:rsidR="00220EF0" w:rsidRPr="007A7F2B">
        <w:t xml:space="preserve"> (</w:t>
      </w:r>
      <w:proofErr w:type="spellStart"/>
      <w:r w:rsidR="00220EF0" w:rsidRPr="007A7F2B">
        <w:t>eq</w:t>
      </w:r>
      <w:proofErr w:type="spellEnd"/>
      <w:r w:rsidR="00220EF0" w:rsidRPr="007A7F2B">
        <w:t xml:space="preserve"> …)</w:t>
      </w:r>
      <w:r w:rsidRPr="007A7F2B">
        <w:t>. We do this for different concentrations.</w:t>
      </w:r>
      <w:r w:rsidR="001C2B0F" w:rsidRPr="007A7F2B">
        <w:t xml:space="preserve"> In doing so we have the exact same data as Finkelstein</w:t>
      </w:r>
      <w:r w:rsidR="00220EF0" w:rsidRPr="007A7F2B">
        <w:t xml:space="preserve"> and</w:t>
      </w:r>
      <w:r w:rsidR="001C2B0F" w:rsidRPr="007A7F2B">
        <w:t xml:space="preserve"> we proceed in the same manner as described in section … </w:t>
      </w:r>
      <w:r w:rsidR="00220EF0" w:rsidRPr="007A7F2B">
        <w:t>to</w:t>
      </w:r>
      <w:r w:rsidR="001C2B0F" w:rsidRPr="007A7F2B">
        <w:t xml:space="preserve"> calculate the ABA. This can then be compared with the experimental data</w:t>
      </w:r>
      <w:r w:rsidR="00B144CD" w:rsidRPr="007A7F2B">
        <w:t xml:space="preserve"> by taking the chi-squared value, in order</w:t>
      </w:r>
      <w:r w:rsidR="001C2B0F" w:rsidRPr="007A7F2B">
        <w:t xml:space="preserve"> to judge how well the fit worked and if the parameters describe the reality. </w:t>
      </w:r>
      <w:r w:rsidR="00B144CD" w:rsidRPr="007A7F2B">
        <w:t xml:space="preserve">This is done for every DNA strand separately. All these chi-squared values for every strand are added and this gives an overall measure for how well these parameters describe the data. </w:t>
      </w:r>
    </w:p>
    <w:p w14:paraId="7EF6B596" w14:textId="68F62828" w:rsidR="00CE66AD" w:rsidRPr="007A7F2B" w:rsidRDefault="00CE66AD" w:rsidP="00CE66AD">
      <w:pPr>
        <w:pStyle w:val="Heading1"/>
      </w:pPr>
      <w:bookmarkStart w:id="23" w:name="_Toc10029741"/>
      <w:r w:rsidRPr="007A7F2B">
        <w:t>Simulated Annealing</w:t>
      </w:r>
      <w:bookmarkEnd w:id="23"/>
    </w:p>
    <w:p w14:paraId="76055221" w14:textId="071E7F32" w:rsidR="00CE66AD" w:rsidRPr="007A7F2B" w:rsidRDefault="004C2855" w:rsidP="00770C86">
      <w:r w:rsidRPr="007A7F2B">
        <w:t>T</w:t>
      </w:r>
      <w:r w:rsidR="00CE66AD" w:rsidRPr="007A7F2B">
        <w:t>he</w:t>
      </w:r>
      <w:r w:rsidRPr="007A7F2B">
        <w:t xml:space="preserve"> process</w:t>
      </w:r>
      <w:r w:rsidR="00CE66AD" w:rsidRPr="007A7F2B">
        <w:t xml:space="preserve"> described in the section before,</w:t>
      </w:r>
      <w:r w:rsidRPr="007A7F2B">
        <w:t xml:space="preserve"> is done</w:t>
      </w:r>
      <w:r w:rsidR="00CE66AD" w:rsidRPr="007A7F2B">
        <w:t xml:space="preserve"> over and over again, </w:t>
      </w:r>
      <w:r w:rsidRPr="007A7F2B">
        <w:t xml:space="preserve"> in a loop to find the parameters that describe the data the best.</w:t>
      </w:r>
      <w:r w:rsidR="00B25DC3" w:rsidRPr="007A7F2B">
        <w:t xml:space="preserve"> This process is called Simulated Annealing</w:t>
      </w:r>
      <w:r w:rsidR="00CE66AD" w:rsidRPr="007A7F2B">
        <w:t>, which is a form of  an optimization algorithm</w:t>
      </w:r>
      <w:r w:rsidR="00972396" w:rsidRPr="007A7F2B">
        <w:t xml:space="preserve">, as was described by Kirkpatrick et al. in 1983 </w:t>
      </w:r>
      <w:r w:rsidR="00972396" w:rsidRPr="007A7F2B">
        <w:fldChar w:fldCharType="begin" w:fldLock="1"/>
      </w:r>
      <w:r w:rsidR="002E5DD7">
        <w:instrText>ADDIN CSL_CITATION {"citationItems":[{"id":"ITEM-1","itemData":{"author":[{"dropping-particle":"","family":"Kirkpatrick","given":"S","non-dropping-particle":"","parse-names":false,"suffix":""},{"dropping-particle":"","family":"Gelatt","given":"C D","non-dropping-particle":"","parse-names":false,"suffix":""},{"dropping-particle":"","family":"Vecchi","given":"M P","non-dropping-particle":"","parse-names":false,"suffix":""}],"id":"ITEM-1","issue":"4598","issued":{"date-parts":[["1983"]]},"title":"Optimization by Simulated Annealing","type":"article-journal","volume":"220"},"uris":["http://www.mendeley.com/documents/?uuid=849b4673-c35b-469e-84f3-f00eb0e6f59f"]}],"mendeley":{"formattedCitation":"(33)","plainTextFormattedCitation":"(33)","previouslyFormattedCitation":"(34)"},"properties":{"noteIndex":0},"schema":"https://github.com/citation-style-language/schema/raw/master/csl-citation.json"}</w:instrText>
      </w:r>
      <w:r w:rsidR="00972396" w:rsidRPr="007A7F2B">
        <w:fldChar w:fldCharType="separate"/>
      </w:r>
      <w:r w:rsidR="002E5DD7" w:rsidRPr="002E5DD7">
        <w:rPr>
          <w:noProof/>
        </w:rPr>
        <w:t>(33)</w:t>
      </w:r>
      <w:r w:rsidR="00972396" w:rsidRPr="007A7F2B">
        <w:fldChar w:fldCharType="end"/>
      </w:r>
      <w:r w:rsidR="00972396" w:rsidRPr="007A7F2B">
        <w:t>.</w:t>
      </w:r>
      <w:r w:rsidR="00C75C37" w:rsidRPr="007A7F2B">
        <w:t xml:space="preserve"> </w:t>
      </w:r>
    </w:p>
    <w:p w14:paraId="5B7EA7A6" w14:textId="18884DD0" w:rsidR="00FD67A0" w:rsidRPr="007A7F2B" w:rsidRDefault="00FD67A0" w:rsidP="00770C86">
      <w:r w:rsidRPr="007A7F2B">
        <w:t>This algorithm is inspired by principles of statistical mechanics</w:t>
      </w:r>
      <w:r w:rsidR="0027382A" w:rsidRPr="007A7F2B">
        <w:t xml:space="preserve">. Statistical mechanics applies probability theory to a system, consisting of a large number of particles, </w:t>
      </w:r>
      <w:r w:rsidR="00672153" w:rsidRPr="007A7F2B">
        <w:t>to study its thermodynamic behaviour. It uses the principle that</w:t>
      </w:r>
      <w:r w:rsidR="00401769" w:rsidRPr="007A7F2B">
        <w:t xml:space="preserve"> </w:t>
      </w:r>
      <w:r w:rsidRPr="007A7F2B">
        <w:t>a system can be in any number of states</w:t>
      </w:r>
      <w:r w:rsidR="00672153" w:rsidRPr="007A7F2B">
        <w:t>, which</w:t>
      </w:r>
      <w:r w:rsidR="00401769" w:rsidRPr="007A7F2B">
        <w:t xml:space="preserve"> all have </w:t>
      </w:r>
      <w:r w:rsidR="00672153" w:rsidRPr="007A7F2B">
        <w:t>their own</w:t>
      </w:r>
      <w:r w:rsidR="00401769" w:rsidRPr="007A7F2B">
        <w:t xml:space="preserve"> specific </w:t>
      </w:r>
      <w:r w:rsidR="00C75C37" w:rsidRPr="007A7F2B">
        <w:t>energy level</w:t>
      </w:r>
      <w:r w:rsidRPr="007A7F2B">
        <w:t>. I</w:t>
      </w:r>
      <w:r w:rsidR="00672153" w:rsidRPr="007A7F2B">
        <w:t>n</w:t>
      </w:r>
      <w:r w:rsidRPr="007A7F2B">
        <w:t xml:space="preserve"> thermal equilibrium</w:t>
      </w:r>
      <w:r w:rsidR="00672153" w:rsidRPr="007A7F2B">
        <w:t>,</w:t>
      </w:r>
      <w:r w:rsidRPr="007A7F2B">
        <w:t xml:space="preserve"> the probability to be in any of these states follows the Boltzmann distribution.</w:t>
      </w:r>
      <w:r w:rsidR="00672153" w:rsidRPr="007A7F2B">
        <w:t xml:space="preserve"> Using the common knowledge that nature always tries to use the least amount of energy, this is the state that will be occupied at a low temperature. </w:t>
      </w:r>
      <w:r w:rsidRPr="007A7F2B">
        <w:t xml:space="preserve"> </w:t>
      </w:r>
      <w:r w:rsidR="00672153" w:rsidRPr="007A7F2B">
        <w:t xml:space="preserve">Linking this back </w:t>
      </w:r>
      <w:r w:rsidR="00C75C37" w:rsidRPr="007A7F2B">
        <w:t>to our optimisation problem, this would be the fit with the lowest</w:t>
      </w:r>
      <w:r w:rsidR="007A4C98" w:rsidRPr="007A7F2B">
        <w:t xml:space="preserve"> error (in our case the</w:t>
      </w:r>
      <w:r w:rsidR="00C75C37" w:rsidRPr="007A7F2B">
        <w:t xml:space="preserve"> chi-squared</w:t>
      </w:r>
      <w:r w:rsidR="007A4C98" w:rsidRPr="007A7F2B">
        <w:t>)</w:t>
      </w:r>
      <w:r w:rsidR="00C75C37" w:rsidRPr="007A7F2B">
        <w:t>.</w:t>
      </w:r>
    </w:p>
    <w:p w14:paraId="6A36E702" w14:textId="4E2C3FF8" w:rsidR="00C75C37" w:rsidRPr="007A7F2B" w:rsidRDefault="00C75C37" w:rsidP="00770C86">
      <w:r w:rsidRPr="007A7F2B">
        <w:t xml:space="preserve">One should only keep </w:t>
      </w:r>
      <w:r w:rsidR="002F188F" w:rsidRPr="007A7F2B">
        <w:t>one</w:t>
      </w:r>
      <w:r w:rsidRPr="007A7F2B">
        <w:t xml:space="preserve"> thing in mind, if you cool down the system too quickly, it can get stuck in a local minima, instead of finding its global minima</w:t>
      </w:r>
      <w:r w:rsidR="00672153" w:rsidRPr="007A7F2B">
        <w:t xml:space="preserve"> (See </w:t>
      </w:r>
      <w:r w:rsidR="00672153" w:rsidRPr="007A7F2B">
        <w:fldChar w:fldCharType="begin"/>
      </w:r>
      <w:r w:rsidR="00672153" w:rsidRPr="007A7F2B">
        <w:instrText xml:space="preserve"> REF _Ref9585257 \h </w:instrText>
      </w:r>
      <w:r w:rsidR="00672153" w:rsidRPr="007A7F2B">
        <w:fldChar w:fldCharType="separate"/>
      </w:r>
      <w:r w:rsidR="00C16253" w:rsidRPr="007A7F2B">
        <w:t xml:space="preserve">Figure </w:t>
      </w:r>
      <w:r w:rsidR="00C16253">
        <w:rPr>
          <w:noProof/>
        </w:rPr>
        <w:t>7</w:t>
      </w:r>
      <w:r w:rsidR="00672153" w:rsidRPr="007A7F2B">
        <w:fldChar w:fldCharType="end"/>
      </w:r>
      <w:r w:rsidR="00672153" w:rsidRPr="007A7F2B">
        <w:t>)</w:t>
      </w:r>
      <w:r w:rsidRPr="007A7F2B">
        <w:t xml:space="preserve">. To explain this further we can compare this with </w:t>
      </w:r>
      <w:r w:rsidR="002F188F" w:rsidRPr="007A7F2B">
        <w:t xml:space="preserve">annealing 2 metal objects together. You want them to anneal without any tears in the materials. To achieve this goal, they first melt the metal after which they cool it down very slowly, so that all the molecules in the object have approximately the same energy level. If you would cool it down rather quickly, some molecules would cool down quicker than others, which causes energy differences between the molecules, resulting in tears in the final material.   </w:t>
      </w:r>
    </w:p>
    <w:p w14:paraId="1AABDC87" w14:textId="77777777" w:rsidR="00672153" w:rsidRPr="007A7F2B" w:rsidRDefault="00846B30" w:rsidP="00672153">
      <w:pPr>
        <w:keepNext/>
        <w:jc w:val="center"/>
      </w:pPr>
      <w:r w:rsidRPr="007A7F2B">
        <w:rPr>
          <w:rFonts w:ascii="Helvetica" w:hAnsi="Helvetica" w:cs="Helvetica"/>
          <w:noProof/>
          <w:color w:val="0066CC"/>
          <w:bdr w:val="single" w:sz="12" w:space="0" w:color="EDEDED" w:frame="1"/>
        </w:rPr>
        <w:lastRenderedPageBreak/>
        <w:drawing>
          <wp:inline distT="0" distB="0" distL="0" distR="0" wp14:anchorId="40868FBA" wp14:editId="7AC251C7">
            <wp:extent cx="3519328" cy="1491175"/>
            <wp:effectExtent l="0" t="0" r="5080" b="0"/>
            <wp:docPr id="8" name="Picture 8" descr="https://tse3.mm.bing.net/th?id=OIP.AbR7lv030v1UzQmuGBV9ZgHaDJ&amp;pid=Api">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se3.mm.bing.net/th?id=OIP.AbR7lv030v1UzQmuGBV9ZgHaDJ&amp;pid=Api">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47517" cy="1545490"/>
                    </a:xfrm>
                    <a:prstGeom prst="rect">
                      <a:avLst/>
                    </a:prstGeom>
                    <a:noFill/>
                    <a:ln>
                      <a:noFill/>
                    </a:ln>
                  </pic:spPr>
                </pic:pic>
              </a:graphicData>
            </a:graphic>
          </wp:inline>
        </w:drawing>
      </w:r>
    </w:p>
    <w:p w14:paraId="6AB67B6B" w14:textId="111EF413" w:rsidR="00846B30" w:rsidRPr="007A7F2B" w:rsidRDefault="00672153" w:rsidP="00672153">
      <w:pPr>
        <w:pStyle w:val="Caption"/>
        <w:jc w:val="center"/>
        <w:rPr>
          <w:sz w:val="10"/>
        </w:rPr>
      </w:pPr>
      <w:bookmarkStart w:id="24" w:name="_Ref9585257"/>
      <w:r w:rsidRPr="007A7F2B">
        <w:t xml:space="preserve">Figure </w:t>
      </w:r>
      <w:fldSimple w:instr=" SEQ Figure \* ARABIC ">
        <w:r w:rsidR="00C16253">
          <w:rPr>
            <w:noProof/>
          </w:rPr>
          <w:t>7</w:t>
        </w:r>
      </w:fldSimple>
      <w:bookmarkEnd w:id="24"/>
      <w:r w:rsidRPr="007A7F2B">
        <w:t>: from the local minima (black) you will not see the global minima (red), unless you manage to overcome the barrier (green). This is only possible if you do not cool down to quickly.</w:t>
      </w:r>
      <w:r w:rsidR="0053459D" w:rsidRPr="007A7F2B">
        <w:br/>
      </w:r>
      <w:r w:rsidR="0053459D" w:rsidRPr="007A7F2B">
        <w:rPr>
          <w:sz w:val="10"/>
        </w:rPr>
        <w:t>(http://freesourcecode.net/matlabprojects/57563/simulated-annealing-matlab-code#.XOeodfZuI2w)</w:t>
      </w:r>
    </w:p>
    <w:p w14:paraId="5A966FB6" w14:textId="4732410E" w:rsidR="00C75C37" w:rsidRPr="007A7F2B" w:rsidRDefault="00C75C37" w:rsidP="00770C86">
      <w:r w:rsidRPr="007A7F2B">
        <w:t xml:space="preserve">However, the concept of temperature of a physical system has no obvious equivalent in the systems that are being optimised. </w:t>
      </w:r>
      <w:r w:rsidR="002F188F" w:rsidRPr="007A7F2B">
        <w:t>In fact, this temperature term just gets introduced in the algorithm to mimic this effect of slowly cooling down the system. This is done by having a variable T that decreases every iteration</w:t>
      </w:r>
      <w:r w:rsidR="00846B30" w:rsidRPr="007A7F2B">
        <w:t>, which</w:t>
      </w:r>
      <w:r w:rsidR="001C3FE5" w:rsidRPr="007A7F2B">
        <w:t xml:space="preserve"> is used in the decision function for accepting the new parameter set or not. </w:t>
      </w:r>
    </w:p>
    <w:p w14:paraId="3882BA82" w14:textId="3AD69BF5" w:rsidR="001C3FE5" w:rsidRPr="007A7F2B" w:rsidRDefault="00846B30" w:rsidP="00770C86">
      <m:oMathPara>
        <m:oMath>
          <m:sSub>
            <m:sSubPr>
              <m:ctrlPr>
                <w:rPr>
                  <w:rFonts w:ascii="Cambria Math" w:hAnsi="Cambria Math"/>
                  <w:i/>
                </w:rPr>
              </m:ctrlPr>
            </m:sSubPr>
            <m:e>
              <m:r>
                <w:rPr>
                  <w:rFonts w:ascii="Cambria Math" w:hAnsi="Cambria Math"/>
                </w:rPr>
                <m:t>P</m:t>
              </m:r>
            </m:e>
            <m:sub>
              <m:r>
                <w:rPr>
                  <w:rFonts w:ascii="Cambria Math" w:hAnsi="Cambria Math"/>
                </w:rPr>
                <m:t>accept</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new</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old</m:t>
                      </m:r>
                    </m:sub>
                  </m:sSub>
                </m:num>
                <m:den>
                  <m:r>
                    <w:rPr>
                      <w:rFonts w:ascii="Cambria Math" w:hAnsi="Cambria Math"/>
                    </w:rPr>
                    <m:t>T</m:t>
                  </m:r>
                </m:den>
              </m:f>
            </m:sup>
          </m:sSup>
        </m:oMath>
      </m:oMathPara>
    </w:p>
    <w:p w14:paraId="5629CA6A" w14:textId="41A5BCEF" w:rsidR="001C3FE5" w:rsidRPr="007A7F2B" w:rsidRDefault="001C3FE5" w:rsidP="00770C86">
      <w:r w:rsidRPr="007A7F2B">
        <w:t xml:space="preserve">C is the cost value of the new or old solution. In our case this is the chi-squared value of the new and old parameter set. </w:t>
      </w:r>
      <m:oMath>
        <m:sSub>
          <m:sSubPr>
            <m:ctrlPr>
              <w:rPr>
                <w:rFonts w:ascii="Cambria Math" w:hAnsi="Cambria Math"/>
                <w:i/>
              </w:rPr>
            </m:ctrlPr>
          </m:sSubPr>
          <m:e>
            <m:r>
              <w:rPr>
                <w:rFonts w:ascii="Cambria Math" w:hAnsi="Cambria Math"/>
              </w:rPr>
              <m:t>P</m:t>
            </m:r>
          </m:e>
          <m:sub>
            <m:r>
              <w:rPr>
                <w:rFonts w:ascii="Cambria Math" w:hAnsi="Cambria Math"/>
              </w:rPr>
              <m:t>accept</m:t>
            </m:r>
          </m:sub>
        </m:sSub>
      </m:oMath>
      <w:r w:rsidRPr="007A7F2B">
        <w:t xml:space="preserve"> is the chance for the solution to be accepted. This means that not only better solutions can get accepted, also worse solutions have a chance. The reason for this is that otherwise you would just directly walk towards your local minima and there is no chance to overcome a small barrier to a lower global minima. </w:t>
      </w:r>
    </w:p>
    <w:p w14:paraId="784FE27C" w14:textId="717CF6B8" w:rsidR="004C2855" w:rsidRPr="007A7F2B" w:rsidRDefault="00401769" w:rsidP="00770C86">
      <w:r w:rsidRPr="007A7F2B">
        <w:t>The simulated annealing protocol consists of the following steps:</w:t>
      </w:r>
      <w:r w:rsidR="00D61F2C" w:rsidRPr="007A7F2B">
        <w:t xml:space="preserve"> </w:t>
      </w:r>
    </w:p>
    <w:p w14:paraId="4E3E2A8E" w14:textId="00FC2D7F" w:rsidR="00401769" w:rsidRPr="007A7F2B" w:rsidRDefault="002055C0" w:rsidP="00401769">
      <w:pPr>
        <w:pStyle w:val="ListParagraph"/>
        <w:numPr>
          <w:ilvl w:val="0"/>
          <w:numId w:val="6"/>
        </w:numPr>
      </w:pPr>
      <w:r w:rsidRPr="007A7F2B">
        <w:t xml:space="preserve">Define some cost function to be minimised </w:t>
      </w:r>
    </w:p>
    <w:p w14:paraId="656A21CC" w14:textId="59B57D20" w:rsidR="002055C0" w:rsidRPr="007A7F2B" w:rsidRDefault="002055C0" w:rsidP="002055C0">
      <w:pPr>
        <w:pStyle w:val="ListParagraph"/>
        <w:rPr>
          <w:i/>
          <w:color w:val="A6A6A6" w:themeColor="background1" w:themeShade="A6"/>
        </w:rPr>
      </w:pPr>
      <w:r w:rsidRPr="007A7F2B">
        <w:rPr>
          <w:i/>
          <w:color w:val="A6A6A6" w:themeColor="background1" w:themeShade="A6"/>
        </w:rPr>
        <w:t xml:space="preserve">For us this is the </w:t>
      </w:r>
      <m:oMath>
        <m:sSup>
          <m:sSupPr>
            <m:ctrlPr>
              <w:rPr>
                <w:rFonts w:ascii="Cambria Math" w:hAnsi="Cambria Math"/>
                <w:i/>
                <w:color w:val="A6A6A6" w:themeColor="background1" w:themeShade="A6"/>
              </w:rPr>
            </m:ctrlPr>
          </m:sSupPr>
          <m:e>
            <m:r>
              <w:rPr>
                <w:rFonts w:ascii="Cambria Math" w:hAnsi="Cambria Math"/>
                <w:color w:val="A6A6A6" w:themeColor="background1" w:themeShade="A6"/>
              </w:rPr>
              <m:t>χ</m:t>
            </m:r>
          </m:e>
          <m:sup>
            <m:r>
              <w:rPr>
                <w:rFonts w:ascii="Cambria Math" w:hAnsi="Cambria Math"/>
                <w:color w:val="A6A6A6" w:themeColor="background1" w:themeShade="A6"/>
              </w:rPr>
              <m:t>2</m:t>
            </m:r>
          </m:sup>
        </m:sSup>
      </m:oMath>
      <w:r w:rsidRPr="007A7F2B">
        <w:rPr>
          <w:i/>
          <w:color w:val="A6A6A6" w:themeColor="background1" w:themeShade="A6"/>
        </w:rPr>
        <w:t xml:space="preserve"> function</w:t>
      </w:r>
    </w:p>
    <w:p w14:paraId="3D0705C7" w14:textId="2C5D8F68" w:rsidR="002055C0" w:rsidRPr="007A7F2B" w:rsidRDefault="002055C0" w:rsidP="00401769">
      <w:pPr>
        <w:pStyle w:val="ListParagraph"/>
        <w:numPr>
          <w:ilvl w:val="0"/>
          <w:numId w:val="6"/>
        </w:numPr>
      </w:pPr>
      <w:r w:rsidRPr="007A7F2B">
        <w:t>Initialize the algorithm by giving it a starting guess for the parameters and an initial temperature</w:t>
      </w:r>
    </w:p>
    <w:p w14:paraId="1C536026" w14:textId="7ADBE450" w:rsidR="002055C0" w:rsidRPr="007A7F2B" w:rsidRDefault="002055C0" w:rsidP="002055C0">
      <w:pPr>
        <w:pStyle w:val="ListParagraph"/>
        <w:rPr>
          <w:i/>
          <w:color w:val="A6A6A6" w:themeColor="background1" w:themeShade="A6"/>
        </w:rPr>
      </w:pPr>
      <w:r w:rsidRPr="007A7F2B">
        <w:rPr>
          <w:i/>
          <w:color w:val="A6A6A6" w:themeColor="background1" w:themeShade="A6"/>
        </w:rPr>
        <w:t>Parameters: initial</w:t>
      </w:r>
      <w:r w:rsidR="00651B04" w:rsidRPr="007A7F2B">
        <w:rPr>
          <w:i/>
          <w:color w:val="A6A6A6" w:themeColor="background1" w:themeShade="A6"/>
        </w:rPr>
        <w:t xml:space="preserve"> </w:t>
      </w:r>
      <w:r w:rsidRPr="007A7F2B">
        <w:rPr>
          <w:i/>
          <w:color w:val="A6A6A6" w:themeColor="background1" w:themeShade="A6"/>
        </w:rPr>
        <w:t>guess = [5.0] + [3.0]*40 + [1.5]*2</w:t>
      </w:r>
    </w:p>
    <w:p w14:paraId="3F161596" w14:textId="291CFB09" w:rsidR="002055C0" w:rsidRPr="007A7F2B" w:rsidRDefault="002055C0" w:rsidP="002055C0">
      <w:pPr>
        <w:pStyle w:val="ListParagraph"/>
        <w:rPr>
          <w:i/>
          <w:color w:val="A6A6A6" w:themeColor="background1" w:themeShade="A6"/>
        </w:rPr>
      </w:pPr>
      <w:r w:rsidRPr="007A7F2B">
        <w:rPr>
          <w:i/>
          <w:color w:val="A6A6A6" w:themeColor="background1" w:themeShade="A6"/>
        </w:rPr>
        <w:t>Temperature:</w:t>
      </w:r>
      <w:r w:rsidR="002847FB" w:rsidRPr="007A7F2B">
        <w:rPr>
          <w:i/>
          <w:color w:val="A6A6A6" w:themeColor="background1" w:themeShade="A6"/>
        </w:rPr>
        <w:t xml:space="preserve"> determined by the code itself. It starts with an initial guess from the user. Then it computes 1000 iterations and calculates the acceptance ratio for the parameters. We want this to be around 50%, since then you are efficiently scanning the full landscape. If this is the case, this T is accepted as the initial temperature. If the acceptance ratio is lower, the energy barriers in the landscape are too high to overcome, so the initial temperature is raised. If the acceptance ratio is higher, the initial temperature is lowered.  </w:t>
      </w:r>
    </w:p>
    <w:p w14:paraId="130EFBE8" w14:textId="64641180" w:rsidR="002055C0" w:rsidRPr="007A7F2B" w:rsidRDefault="002055C0" w:rsidP="00401769">
      <w:pPr>
        <w:pStyle w:val="ListParagraph"/>
        <w:numPr>
          <w:ilvl w:val="0"/>
          <w:numId w:val="6"/>
        </w:numPr>
      </w:pPr>
      <w:r w:rsidRPr="007A7F2B">
        <w:t>Consider some neighbouring state by slightly altering the parameters</w:t>
      </w:r>
    </w:p>
    <w:p w14:paraId="6E003DCE" w14:textId="28F5A7E4" w:rsidR="003605CA" w:rsidRPr="007A7F2B" w:rsidRDefault="002847FB" w:rsidP="003605CA">
      <w:pPr>
        <w:pStyle w:val="ListParagraph"/>
        <w:rPr>
          <w:i/>
          <w:color w:val="A6A6A6" w:themeColor="background1" w:themeShade="A6"/>
        </w:rPr>
      </w:pPr>
      <w:r w:rsidRPr="007A7F2B">
        <w:rPr>
          <w:i/>
          <w:color w:val="A6A6A6" w:themeColor="background1" w:themeShade="A6"/>
        </w:rPr>
        <w:t>The step size of the taken step is a random number between -1 and 1</w:t>
      </w:r>
      <w:r w:rsidR="007B3C39" w:rsidRPr="007A7F2B">
        <w:rPr>
          <w:i/>
          <w:color w:val="A6A6A6" w:themeColor="background1" w:themeShade="A6"/>
        </w:rPr>
        <w:t>, multiplied by the maximal step size. This is done</w:t>
      </w:r>
      <w:r w:rsidRPr="007A7F2B">
        <w:rPr>
          <w:i/>
          <w:color w:val="A6A6A6" w:themeColor="background1" w:themeShade="A6"/>
        </w:rPr>
        <w:t xml:space="preserve"> for every parameter individually.</w:t>
      </w:r>
      <w:r w:rsidR="007B3C39" w:rsidRPr="007A7F2B">
        <w:rPr>
          <w:i/>
          <w:color w:val="A6A6A6" w:themeColor="background1" w:themeShade="A6"/>
        </w:rPr>
        <w:t xml:space="preserve"> </w:t>
      </w:r>
      <w:r w:rsidR="003605CA" w:rsidRPr="007A7F2B">
        <w:rPr>
          <w:i/>
          <w:color w:val="A6A6A6" w:themeColor="background1" w:themeShade="A6"/>
        </w:rPr>
        <w:t xml:space="preserve">With these parameters the cost function is calculated for every DNA strand in parallel, using multiple processing. All these cost values are then added together. </w:t>
      </w:r>
    </w:p>
    <w:p w14:paraId="1A2F5B4C" w14:textId="1362440F" w:rsidR="002055C0" w:rsidRPr="007A7F2B" w:rsidRDefault="002055C0" w:rsidP="00401769">
      <w:pPr>
        <w:pStyle w:val="ListParagraph"/>
        <w:numPr>
          <w:ilvl w:val="0"/>
          <w:numId w:val="6"/>
        </w:numPr>
      </w:pPr>
      <w:r w:rsidRPr="007A7F2B">
        <w:t xml:space="preserve">Accept or reject the new parameters based on equation … </w:t>
      </w:r>
    </w:p>
    <w:p w14:paraId="3BD9BD1B" w14:textId="4214EC17" w:rsidR="002055C0" w:rsidRPr="007A7F2B" w:rsidRDefault="002055C0" w:rsidP="00401769">
      <w:pPr>
        <w:pStyle w:val="ListParagraph"/>
        <w:numPr>
          <w:ilvl w:val="0"/>
          <w:numId w:val="6"/>
        </w:numPr>
      </w:pPr>
      <w:r w:rsidRPr="007A7F2B">
        <w:t xml:space="preserve">Repeat step 3 and 4 a number of times </w:t>
      </w:r>
    </w:p>
    <w:p w14:paraId="37B1FC6E" w14:textId="0215BFA9" w:rsidR="003605CA" w:rsidRPr="007A7F2B" w:rsidRDefault="003605CA" w:rsidP="003605CA">
      <w:pPr>
        <w:pStyle w:val="ListParagraph"/>
        <w:rPr>
          <w:i/>
          <w:color w:val="A6A6A6" w:themeColor="background1" w:themeShade="A6"/>
        </w:rPr>
      </w:pPr>
      <w:r w:rsidRPr="007A7F2B">
        <w:rPr>
          <w:i/>
          <w:color w:val="A6A6A6" w:themeColor="background1" w:themeShade="A6"/>
        </w:rPr>
        <w:t>In our case 1000x</w:t>
      </w:r>
    </w:p>
    <w:p w14:paraId="3E1764CB" w14:textId="7CC8EC41" w:rsidR="002055C0" w:rsidRPr="007A7F2B" w:rsidRDefault="002055C0" w:rsidP="00401769">
      <w:pPr>
        <w:pStyle w:val="ListParagraph"/>
        <w:numPr>
          <w:ilvl w:val="0"/>
          <w:numId w:val="6"/>
        </w:numPr>
      </w:pPr>
      <w:r w:rsidRPr="007A7F2B">
        <w:t xml:space="preserve">If the stop condition is not yet reached </w:t>
      </w:r>
      <w:r w:rsidRPr="007A7F2B">
        <w:sym w:font="Wingdings" w:char="F0E0"/>
      </w:r>
      <w:r w:rsidRPr="007A7F2B">
        <w:t xml:space="preserve"> lower the temperature and return to step 3</w:t>
      </w:r>
    </w:p>
    <w:p w14:paraId="431C8581" w14:textId="142E5E62" w:rsidR="003605CA" w:rsidRPr="007A7F2B" w:rsidRDefault="003605CA" w:rsidP="003605CA">
      <w:pPr>
        <w:pStyle w:val="ListParagraph"/>
        <w:rPr>
          <w:i/>
          <w:color w:val="A6A6A6" w:themeColor="background1" w:themeShade="A6"/>
        </w:rPr>
      </w:pPr>
      <w:r w:rsidRPr="007A7F2B">
        <w:rPr>
          <w:i/>
          <w:color w:val="A6A6A6" w:themeColor="background1" w:themeShade="A6"/>
        </w:rPr>
        <w:t>Exponential cooling with cooling</w:t>
      </w:r>
      <w:r w:rsidR="00651B04" w:rsidRPr="007A7F2B">
        <w:rPr>
          <w:i/>
          <w:color w:val="A6A6A6" w:themeColor="background1" w:themeShade="A6"/>
        </w:rPr>
        <w:t xml:space="preserve"> </w:t>
      </w:r>
      <w:r w:rsidRPr="007A7F2B">
        <w:rPr>
          <w:i/>
          <w:color w:val="A6A6A6" w:themeColor="background1" w:themeShade="A6"/>
        </w:rPr>
        <w:t>rate = 0.99</w:t>
      </w:r>
    </w:p>
    <w:p w14:paraId="49839717" w14:textId="765681E8" w:rsidR="002055C0" w:rsidRPr="007A7F2B" w:rsidRDefault="002055C0" w:rsidP="002055C0">
      <w:pPr>
        <w:pStyle w:val="ListParagraph"/>
      </w:pPr>
      <w:r w:rsidRPr="007A7F2B">
        <w:t xml:space="preserve">If the stop condition is reached </w:t>
      </w:r>
      <w:r w:rsidRPr="007A7F2B">
        <w:sym w:font="Wingdings" w:char="F0E0"/>
      </w:r>
      <w:r w:rsidRPr="007A7F2B">
        <w:t xml:space="preserve"> return the final parameter set</w:t>
      </w:r>
    </w:p>
    <w:p w14:paraId="6FC2A933" w14:textId="6F3593B6" w:rsidR="003605CA" w:rsidRPr="007A7F2B" w:rsidRDefault="003605CA" w:rsidP="002055C0">
      <w:pPr>
        <w:pStyle w:val="ListParagraph"/>
        <w:rPr>
          <w:i/>
          <w:color w:val="A6A6A6" w:themeColor="background1" w:themeShade="A6"/>
        </w:rPr>
      </w:pPr>
      <w:r w:rsidRPr="007A7F2B">
        <w:rPr>
          <w:i/>
          <w:color w:val="A6A6A6" w:themeColor="background1" w:themeShade="A6"/>
        </w:rPr>
        <w:t xml:space="preserve">temperature too low (0 degrees) OR the change in average </w:t>
      </w:r>
      <m:oMath>
        <m:sSup>
          <m:sSupPr>
            <m:ctrlPr>
              <w:rPr>
                <w:rFonts w:ascii="Cambria Math" w:hAnsi="Cambria Math"/>
                <w:i/>
                <w:color w:val="A6A6A6" w:themeColor="background1" w:themeShade="A6"/>
              </w:rPr>
            </m:ctrlPr>
          </m:sSupPr>
          <m:e>
            <m:r>
              <w:rPr>
                <w:rFonts w:ascii="Cambria Math" w:hAnsi="Cambria Math"/>
                <w:color w:val="A6A6A6" w:themeColor="background1" w:themeShade="A6"/>
              </w:rPr>
              <m:t>χ</m:t>
            </m:r>
          </m:e>
          <m:sup>
            <m:r>
              <w:rPr>
                <w:rFonts w:ascii="Cambria Math" w:hAnsi="Cambria Math"/>
                <w:color w:val="A6A6A6" w:themeColor="background1" w:themeShade="A6"/>
              </w:rPr>
              <m:t>2</m:t>
            </m:r>
          </m:sup>
        </m:sSup>
      </m:oMath>
      <w:r w:rsidR="002847FB" w:rsidRPr="007A7F2B">
        <w:rPr>
          <w:i/>
          <w:color w:val="A6A6A6" w:themeColor="background1" w:themeShade="A6"/>
        </w:rPr>
        <w:t>between temperature cycles is</w:t>
      </w:r>
      <w:r w:rsidRPr="007A7F2B">
        <w:rPr>
          <w:i/>
          <w:color w:val="A6A6A6" w:themeColor="background1" w:themeShade="A6"/>
        </w:rPr>
        <w:t xml:space="preserve"> lower then tolerance (1e-5) + temperature low enough</w:t>
      </w:r>
      <w:r w:rsidR="00651B04" w:rsidRPr="007A7F2B">
        <w:rPr>
          <w:i/>
          <w:color w:val="A6A6A6" w:themeColor="background1" w:themeShade="A6"/>
        </w:rPr>
        <w:t xml:space="preserve"> (1% of initial temperature)</w:t>
      </w:r>
    </w:p>
    <w:p w14:paraId="05BE38A4" w14:textId="77777777" w:rsidR="00F53078" w:rsidRPr="007A7F2B" w:rsidRDefault="00651B04" w:rsidP="00F53078">
      <w:pPr>
        <w:spacing w:after="0"/>
      </w:pPr>
      <w:r w:rsidRPr="007A7F2B">
        <w:lastRenderedPageBreak/>
        <w:t>Although these steps are not that complicated, it is still quite hard to make the algorithm work efficiently. Therefore the user should take a few considerations into account</w:t>
      </w:r>
      <w:r w:rsidR="00F53078" w:rsidRPr="007A7F2B">
        <w:t>:</w:t>
      </w:r>
      <w:r w:rsidRPr="007A7F2B">
        <w:t xml:space="preserve"> </w:t>
      </w:r>
    </w:p>
    <w:p w14:paraId="38EDB27D" w14:textId="0E2A3EF7" w:rsidR="001C3FE5" w:rsidRPr="007A7F2B" w:rsidRDefault="00651B04" w:rsidP="001C3FE5">
      <w:r w:rsidRPr="007A7F2B">
        <w:t>(Our choices for these variables are already described above).</w:t>
      </w:r>
    </w:p>
    <w:p w14:paraId="031334BF" w14:textId="77777777" w:rsidR="00651B04" w:rsidRPr="007A7F2B" w:rsidRDefault="001C3FE5" w:rsidP="00770C86">
      <w:pPr>
        <w:pStyle w:val="ListParagraph"/>
        <w:numPr>
          <w:ilvl w:val="0"/>
          <w:numId w:val="5"/>
        </w:numPr>
      </w:pPr>
      <w:r w:rsidRPr="007A7F2B">
        <w:t>Initial temperature should be high enough, otherwise you get stuck in a local minimum.</w:t>
      </w:r>
    </w:p>
    <w:p w14:paraId="5B3E1A9D" w14:textId="67EBB626" w:rsidR="00651B04" w:rsidRPr="007A7F2B" w:rsidRDefault="001C3FE5" w:rsidP="00770C86">
      <w:pPr>
        <w:pStyle w:val="ListParagraph"/>
        <w:numPr>
          <w:ilvl w:val="0"/>
          <w:numId w:val="5"/>
        </w:numPr>
      </w:pPr>
      <w:r w:rsidRPr="007A7F2B">
        <w:t xml:space="preserve">How </w:t>
      </w:r>
      <w:r w:rsidR="00651B04" w:rsidRPr="007A7F2B">
        <w:t>do you</w:t>
      </w:r>
      <w:r w:rsidRPr="007A7F2B">
        <w:t xml:space="preserve"> change the parameters?</w:t>
      </w:r>
      <w:r w:rsidR="00651B04" w:rsidRPr="007A7F2B">
        <w:t xml:space="preserve"> Steps that are too big can jump over your minima, with steps that are too </w:t>
      </w:r>
      <w:r w:rsidR="00846B30" w:rsidRPr="007A7F2B">
        <w:t>small</w:t>
      </w:r>
      <w:r w:rsidR="00651B04" w:rsidRPr="007A7F2B">
        <w:t xml:space="preserve"> will never escape your local well. </w:t>
      </w:r>
    </w:p>
    <w:p w14:paraId="6C6CA94B" w14:textId="412E6FFC" w:rsidR="001C3FE5" w:rsidRPr="007A7F2B" w:rsidRDefault="00651B04" w:rsidP="00770C86">
      <w:pPr>
        <w:pStyle w:val="ListParagraph"/>
        <w:numPr>
          <w:ilvl w:val="0"/>
          <w:numId w:val="5"/>
        </w:numPr>
      </w:pPr>
      <w:r w:rsidRPr="007A7F2B">
        <w:t>How quickly do you want to cool down? So which cooling rate is appropriate and do you cool down every iteration? If you cool down to quickly get stuck in your local minima, as said before. But if you cool down too slowly you can just go up and down and explore all the possible parameters without any consequence</w:t>
      </w:r>
      <w:r w:rsidR="00F53078" w:rsidRPr="007A7F2B">
        <w:t>.</w:t>
      </w:r>
      <w:r w:rsidRPr="007A7F2B">
        <w:t xml:space="preserve"> So it will take an unnecessary amount of time to fit. </w:t>
      </w:r>
      <w:r w:rsidR="00F53078" w:rsidRPr="007A7F2B">
        <w:t>Also the danger exists, that when the temperature is cooled down enough, you are at the completely wrong well, far away from the well with your global minimum.</w:t>
      </w:r>
    </w:p>
    <w:p w14:paraId="703BA9C3" w14:textId="22A7EB2B" w:rsidR="00401769" w:rsidRPr="007A7F2B" w:rsidRDefault="00651B04" w:rsidP="00770C86">
      <w:pPr>
        <w:pStyle w:val="ListParagraph"/>
        <w:numPr>
          <w:ilvl w:val="0"/>
          <w:numId w:val="5"/>
        </w:numPr>
      </w:pPr>
      <w:r w:rsidRPr="007A7F2B">
        <w:t>Which stop condition is appropriate? If it can go on for too long it can jump out of your global minimum and ends up in a local one.</w:t>
      </w:r>
    </w:p>
    <w:p w14:paraId="1EF5957C" w14:textId="6DEC4675" w:rsidR="00D61F2C" w:rsidRPr="007A7F2B" w:rsidRDefault="00D36F85" w:rsidP="00D36F85">
      <w:pPr>
        <w:pStyle w:val="Heading1"/>
      </w:pPr>
      <w:bookmarkStart w:id="25" w:name="_Toc10029742"/>
      <w:r w:rsidRPr="007A7F2B">
        <w:t>Selection of the fits</w:t>
      </w:r>
      <w:bookmarkEnd w:id="25"/>
    </w:p>
    <w:p w14:paraId="1C57D584" w14:textId="790DE5CD" w:rsidR="00D36F85" w:rsidRPr="007A7F2B" w:rsidRDefault="00D36F85" w:rsidP="00D36F85">
      <w:r w:rsidRPr="007A7F2B">
        <w:t xml:space="preserve">In the sections before we described what we fit and how we use simulated annealing to achieve this. This whole process is done multiple times, since it is still possible to end up in a local minima instead of the global one. Therefore we need some kind of measure to tell which of the fits describes the data the best.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7A7F2B">
        <w:t>-value is one of those measures, which we do use during the fit to judge the quality of the fit. But our data is still a list with multiple measurements for the strand of DNA, so what do we consider the true value of the data here?</w:t>
      </w:r>
    </w:p>
    <w:p w14:paraId="4447E2A2" w14:textId="40B86CD9" w:rsidR="00F746E0" w:rsidRPr="007A7F2B" w:rsidRDefault="00D36F85" w:rsidP="00D36F85">
      <w:r w:rsidRPr="007A7F2B">
        <w:t xml:space="preserve">In biology the median is often used as the true value of the data, since you </w:t>
      </w:r>
      <w:r w:rsidR="00F746E0" w:rsidRPr="007A7F2B">
        <w:t>do not want to include outliers in your data analysis. However, when the data does not include those outliers and does not have a tail-like form, the mean can also be used. Since our data does indeed not include those propertie</w:t>
      </w:r>
      <w:r w:rsidR="00F746E0" w:rsidRPr="007A7F2B">
        <w:rPr>
          <w:highlight w:val="yellow"/>
        </w:rPr>
        <w:t>s…??,</w:t>
      </w:r>
      <w:r w:rsidR="00F746E0" w:rsidRPr="007A7F2B">
        <w:t xml:space="preserve"> but we do have an measure error for every measurement, we will use the weighted </w:t>
      </w:r>
      <w:r w:rsidR="00EF1E7B" w:rsidRPr="007A7F2B">
        <w:t>average</w:t>
      </w:r>
      <w:r w:rsidR="00405E2B" w:rsidRPr="007A7F2B">
        <w:t xml:space="preserve">. To determine the weights that we need to use, we go back to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05E2B" w:rsidRPr="007A7F2B">
        <w:t>-function</w:t>
      </w:r>
      <w:r w:rsidR="00146FD3" w:rsidRPr="007A7F2B">
        <w:t xml:space="preserve"> since this is the function that we are minimising during the fit. Therefore we say that the derivative of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146FD3" w:rsidRPr="007A7F2B">
        <w:t xml:space="preserve">-function should be equal to zero. </w:t>
      </w:r>
      <w:r w:rsidR="00405E2B" w:rsidRPr="007A7F2B">
        <w:t xml:space="preserve"> </w:t>
      </w:r>
    </w:p>
    <w:p w14:paraId="63A207F6" w14:textId="38357940" w:rsidR="00922DB9" w:rsidRPr="007A7F2B" w:rsidRDefault="00922DB9" w:rsidP="00D36F85">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supHide m:val="1"/>
              <m:ctrlPr>
                <w:rPr>
                  <w:rFonts w:ascii="Cambria Math" w:hAnsi="Cambria Math"/>
                  <w:i/>
                </w:rPr>
              </m:ctrlPr>
            </m:naryPr>
            <m:sub>
              <m:r>
                <w:rPr>
                  <w:rFonts w:ascii="Cambria Math" w:hAnsi="Cambria Math"/>
                </w:rPr>
                <m:t>data</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exp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mod</m:t>
                              </m:r>
                            </m:sub>
                          </m:sSub>
                        </m:num>
                        <m:den>
                          <m:sSub>
                            <m:sSubPr>
                              <m:ctrlPr>
                                <w:rPr>
                                  <w:rFonts w:ascii="Cambria Math" w:hAnsi="Cambria Math"/>
                                  <w:i/>
                                </w:rPr>
                              </m:ctrlPr>
                            </m:sSubPr>
                            <m:e>
                              <m:r>
                                <w:rPr>
                                  <w:rFonts w:ascii="Cambria Math" w:hAnsi="Cambria Math"/>
                                </w:rPr>
                                <m:t>σ</m:t>
                              </m:r>
                            </m:e>
                            <m:sub>
                              <m:r>
                                <w:rPr>
                                  <w:rFonts w:ascii="Cambria Math" w:hAnsi="Cambria Math"/>
                                </w:rPr>
                                <m:t>exp</m:t>
                              </m:r>
                            </m:sub>
                          </m:sSub>
                        </m:den>
                      </m:f>
                    </m:e>
                  </m:d>
                </m:e>
                <m:sup>
                  <m:r>
                    <w:rPr>
                      <w:rFonts w:ascii="Cambria Math" w:hAnsi="Cambria Math"/>
                    </w:rPr>
                    <m:t>2</m:t>
                  </m:r>
                </m:sup>
              </m:sSup>
            </m:e>
          </m:nary>
          <m:r>
            <w:rPr>
              <w:rFonts w:ascii="Cambria Math" w:hAnsi="Cambria Math"/>
            </w:rPr>
            <m:t>=</m:t>
          </m:r>
          <m:nary>
            <m:naryPr>
              <m:chr m:val="∑"/>
              <m:supHide m:val="1"/>
              <m:ctrlPr>
                <w:rPr>
                  <w:rFonts w:ascii="Cambria Math" w:hAnsi="Cambria Math"/>
                  <w:i/>
                </w:rPr>
              </m:ctrlPr>
            </m:naryPr>
            <m:sub>
              <m:r>
                <w:rPr>
                  <w:rFonts w:ascii="Cambria Math" w:hAnsi="Cambria Math"/>
                </w:rPr>
                <m:t xml:space="preserve">i= mm configuration </m:t>
              </m:r>
            </m:sub>
            <m:sup/>
            <m:e>
              <m:d>
                <m:dPr>
                  <m:ctrlPr>
                    <w:rPr>
                      <w:rFonts w:ascii="Cambria Math" w:hAnsi="Cambria Math"/>
                      <w:i/>
                    </w:rPr>
                  </m:ctrlPr>
                </m:dPr>
                <m:e>
                  <m:nary>
                    <m:naryPr>
                      <m:chr m:val="∑"/>
                      <m:supHide m:val="1"/>
                      <m:ctrlPr>
                        <w:rPr>
                          <w:rFonts w:ascii="Cambria Math" w:hAnsi="Cambria Math"/>
                          <w:i/>
                        </w:rPr>
                      </m:ctrlPr>
                    </m:naryPr>
                    <m:sub>
                      <m:r>
                        <w:rPr>
                          <w:rFonts w:ascii="Cambria Math" w:hAnsi="Cambria Math"/>
                        </w:rPr>
                        <m:t>j=DNA strand</m:t>
                      </m:r>
                    </m: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exp</m:t>
                                      </m:r>
                                    </m:sub>
                                    <m:sup>
                                      <m:r>
                                        <w:rPr>
                                          <w:rFonts w:ascii="Cambria Math" w:hAnsi="Cambria Math"/>
                                        </w:rPr>
                                        <m:t>i,j</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mod</m:t>
                                      </m:r>
                                    </m:sub>
                                    <m:sup>
                                      <m:r>
                                        <w:rPr>
                                          <w:rFonts w:ascii="Cambria Math" w:hAnsi="Cambria Math"/>
                                        </w:rPr>
                                        <m:t>i</m:t>
                                      </m:r>
                                    </m:sup>
                                  </m:sSubSup>
                                </m:num>
                                <m:den>
                                  <m:sSubSup>
                                    <m:sSubSupPr>
                                      <m:ctrlPr>
                                        <w:rPr>
                                          <w:rFonts w:ascii="Cambria Math" w:hAnsi="Cambria Math"/>
                                          <w:i/>
                                        </w:rPr>
                                      </m:ctrlPr>
                                    </m:sSubSupPr>
                                    <m:e>
                                      <m:r>
                                        <w:rPr>
                                          <w:rFonts w:ascii="Cambria Math" w:hAnsi="Cambria Math"/>
                                        </w:rPr>
                                        <m:t>σ</m:t>
                                      </m:r>
                                    </m:e>
                                    <m:sub>
                                      <m:r>
                                        <w:rPr>
                                          <w:rFonts w:ascii="Cambria Math" w:hAnsi="Cambria Math"/>
                                        </w:rPr>
                                        <m:t>exp</m:t>
                                      </m:r>
                                    </m:sub>
                                    <m:sup>
                                      <m:r>
                                        <w:rPr>
                                          <w:rFonts w:ascii="Cambria Math" w:hAnsi="Cambria Math"/>
                                        </w:rPr>
                                        <m:t>i,j</m:t>
                                      </m:r>
                                    </m:sup>
                                  </m:sSubSup>
                                </m:den>
                              </m:f>
                            </m:e>
                          </m:d>
                        </m:e>
                        <m:sup>
                          <m:r>
                            <w:rPr>
                              <w:rFonts w:ascii="Cambria Math" w:hAnsi="Cambria Math"/>
                            </w:rPr>
                            <m:t>2</m:t>
                          </m:r>
                        </m:sup>
                      </m:sSup>
                    </m:e>
                  </m:nary>
                </m:e>
              </m:d>
            </m:e>
          </m:nary>
        </m:oMath>
      </m:oMathPara>
    </w:p>
    <w:p w14:paraId="76796F14" w14:textId="630733D3" w:rsidR="00922DB9" w:rsidRPr="007A7F2B" w:rsidRDefault="00922DB9" w:rsidP="00D36F85">
      <m:oMathPara>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mod</m:t>
                  </m:r>
                </m:sub>
              </m:sSub>
            </m:den>
          </m:f>
          <m:r>
            <w:rPr>
              <w:rFonts w:ascii="Cambria Math" w:hAnsi="Cambria Math"/>
            </w:rPr>
            <m:t>=</m:t>
          </m:r>
          <m:nary>
            <m:naryPr>
              <m:chr m:val="∑"/>
              <m:supHide m:val="1"/>
              <m:ctrlPr>
                <w:rPr>
                  <w:rFonts w:ascii="Cambria Math" w:hAnsi="Cambria Math"/>
                  <w:i/>
                </w:rPr>
              </m:ctrlPr>
            </m:naryPr>
            <m:sub>
              <m:r>
                <w:rPr>
                  <w:rFonts w:ascii="Cambria Math" w:hAnsi="Cambria Math"/>
                </w:rPr>
                <m:t>j=DNA strand</m:t>
              </m:r>
            </m:sub>
            <m:sup/>
            <m:e>
              <m:r>
                <w:rPr>
                  <w:rFonts w:ascii="Cambria Math" w:hAnsi="Cambria Math"/>
                </w:rPr>
                <m:t>2</m:t>
              </m:r>
              <m:d>
                <m:dPr>
                  <m:ctrlPr>
                    <w:rPr>
                      <w:rFonts w:ascii="Cambria Math" w:hAnsi="Cambria Math"/>
                      <w:i/>
                    </w:rPr>
                  </m:ctrlPr>
                </m:dPr>
                <m:e>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exp</m:t>
                          </m:r>
                        </m:sub>
                        <m:sup>
                          <m:r>
                            <w:rPr>
                              <w:rFonts w:ascii="Cambria Math" w:hAnsi="Cambria Math"/>
                            </w:rPr>
                            <m:t>j</m:t>
                          </m:r>
                        </m:sup>
                      </m:sSubSup>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mod</m:t>
                          </m:r>
                        </m:sub>
                        <m:sup>
                          <m:r>
                            <w:rPr>
                              <w:rFonts w:ascii="Cambria Math" w:hAnsi="Cambria Math"/>
                            </w:rPr>
                            <m:t xml:space="preserve"> </m:t>
                          </m:r>
                        </m:sup>
                      </m:sSubSup>
                    </m:num>
                    <m:den>
                      <m:sSubSup>
                        <m:sSubSupPr>
                          <m:ctrlPr>
                            <w:rPr>
                              <w:rFonts w:ascii="Cambria Math" w:hAnsi="Cambria Math"/>
                              <w:i/>
                            </w:rPr>
                          </m:ctrlPr>
                        </m:sSubSupPr>
                        <m:e>
                          <m:r>
                            <w:rPr>
                              <w:rFonts w:ascii="Cambria Math" w:hAnsi="Cambria Math"/>
                            </w:rPr>
                            <m:t>σ</m:t>
                          </m:r>
                        </m:e>
                        <m:sub>
                          <m:r>
                            <w:rPr>
                              <w:rFonts w:ascii="Cambria Math" w:hAnsi="Cambria Math"/>
                            </w:rPr>
                            <m:t>exp,j</m:t>
                          </m:r>
                        </m:sub>
                        <m:sup>
                          <m:r>
                            <w:rPr>
                              <w:rFonts w:ascii="Cambria Math" w:hAnsi="Cambria Math"/>
                            </w:rPr>
                            <m:t>2</m:t>
                          </m:r>
                        </m:sup>
                      </m:sSubSup>
                    </m:den>
                  </m:f>
                </m:e>
              </m:d>
              <m:r>
                <w:rPr>
                  <w:rFonts w:ascii="Cambria Math" w:hAnsi="Cambria Math"/>
                </w:rPr>
                <m:t>*-1</m:t>
              </m:r>
            </m:e>
          </m:nary>
          <m:r>
            <w:rPr>
              <w:rFonts w:ascii="Cambria Math" w:hAnsi="Cambria Math"/>
            </w:rPr>
            <m:t>=0</m:t>
          </m:r>
          <m:r>
            <w:rPr>
              <w:rFonts w:ascii="Cambria Math" w:hAnsi="Cambria Math"/>
            </w:rPr>
            <w:br/>
          </m:r>
        </m:oMath>
        <m:oMath>
          <m:nary>
            <m:naryPr>
              <m:chr m:val="∑"/>
              <m:supHide m:val="1"/>
              <m:ctrlPr>
                <w:rPr>
                  <w:rFonts w:ascii="Cambria Math" w:hAnsi="Cambria Math"/>
                  <w:i/>
                </w:rPr>
              </m:ctrlPr>
            </m:naryPr>
            <m:sub>
              <m:r>
                <w:rPr>
                  <w:rFonts w:ascii="Cambria Math" w:hAnsi="Cambria Math"/>
                </w:rPr>
                <m:t>j=DNA strand</m:t>
              </m:r>
            </m:sub>
            <m:sup/>
            <m:e>
              <m:f>
                <m:fPr>
                  <m:ctrlPr>
                    <w:rPr>
                      <w:rFonts w:ascii="Cambria Math" w:hAnsi="Cambria Math"/>
                      <w:i/>
                    </w:rPr>
                  </m:ctrlPr>
                </m:fPr>
                <m:num>
                  <m:sSubSup>
                    <m:sSubSupPr>
                      <m:ctrlPr>
                        <w:rPr>
                          <w:rFonts w:ascii="Cambria Math" w:hAnsi="Cambria Math"/>
                          <w:i/>
                        </w:rPr>
                      </m:ctrlPr>
                    </m:sSubSupPr>
                    <m:e>
                      <m:r>
                        <w:rPr>
                          <w:rFonts w:ascii="Cambria Math" w:hAnsi="Cambria Math"/>
                        </w:rPr>
                        <m:t>y</m:t>
                      </m:r>
                    </m:e>
                    <m:sub>
                      <m:r>
                        <w:rPr>
                          <w:rFonts w:ascii="Cambria Math" w:hAnsi="Cambria Math"/>
                        </w:rPr>
                        <m:t>exp</m:t>
                      </m:r>
                    </m:sub>
                    <m:sup>
                      <m:r>
                        <w:rPr>
                          <w:rFonts w:ascii="Cambria Math" w:hAnsi="Cambria Math"/>
                        </w:rPr>
                        <m:t>j</m:t>
                      </m:r>
                    </m:sup>
                  </m:sSubSup>
                </m:num>
                <m:den>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2</m:t>
                      </m:r>
                    </m:sup>
                  </m:sSubSup>
                </m:den>
              </m:f>
            </m:e>
          </m:nary>
          <m:r>
            <w:rPr>
              <w:rFonts w:ascii="Cambria Math" w:hAnsi="Cambria Math"/>
            </w:rPr>
            <m:t>=</m:t>
          </m:r>
          <m:nary>
            <m:naryPr>
              <m:chr m:val="∑"/>
              <m:supHide m:val="1"/>
              <m:ctrlPr>
                <w:rPr>
                  <w:rFonts w:ascii="Cambria Math" w:hAnsi="Cambria Math"/>
                  <w:i/>
                </w:rPr>
              </m:ctrlPr>
            </m:naryPr>
            <m:sub>
              <m:r>
                <w:rPr>
                  <w:rFonts w:ascii="Cambria Math" w:hAnsi="Cambria Math"/>
                </w:rPr>
                <m:t>n=DNA strand</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mod</m:t>
                      </m:r>
                    </m:sub>
                  </m:sSub>
                </m:num>
                <m:den>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den>
              </m:f>
            </m:e>
          </m:nary>
          <m:r>
            <w:rPr>
              <w:rFonts w:ascii="Cambria Math" w:hAnsi="Cambria Math"/>
            </w:rPr>
            <m:t>=</m:t>
          </m:r>
          <m:sSub>
            <m:sSubPr>
              <m:ctrlPr>
                <w:rPr>
                  <w:rFonts w:ascii="Cambria Math" w:hAnsi="Cambria Math"/>
                  <w:i/>
                </w:rPr>
              </m:ctrlPr>
            </m:sSubPr>
            <m:e>
              <m:r>
                <w:rPr>
                  <w:rFonts w:ascii="Cambria Math" w:hAnsi="Cambria Math"/>
                </w:rPr>
                <m:t xml:space="preserve"> y</m:t>
              </m:r>
            </m:e>
            <m:sub>
              <m:r>
                <w:rPr>
                  <w:rFonts w:ascii="Cambria Math" w:hAnsi="Cambria Math"/>
                </w:rPr>
                <m:t>mod</m:t>
              </m:r>
            </m:sub>
          </m:sSub>
          <m:r>
            <w:rPr>
              <w:rFonts w:ascii="Cambria Math" w:hAnsi="Cambria Math"/>
            </w:rPr>
            <m:t>*</m:t>
          </m:r>
          <m:nary>
            <m:naryPr>
              <m:chr m:val="∑"/>
              <m:supHide m:val="1"/>
              <m:ctrlPr>
                <w:rPr>
                  <w:rFonts w:ascii="Cambria Math" w:hAnsi="Cambria Math"/>
                  <w:i/>
                </w:rPr>
              </m:ctrlPr>
            </m:naryPr>
            <m:sub>
              <m:r>
                <w:rPr>
                  <w:rFonts w:ascii="Cambria Math" w:hAnsi="Cambria Math"/>
                </w:rPr>
                <m:t>n=DNA strand</m:t>
              </m:r>
            </m:sub>
            <m:sup/>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den>
              </m:f>
            </m:e>
          </m:nary>
          <m:r>
            <w:rPr>
              <w:rFonts w:ascii="Cambria Math" w:hAnsi="Cambria Math"/>
            </w:rPr>
            <m:t xml:space="preserve">  </m:t>
          </m:r>
        </m:oMath>
      </m:oMathPara>
    </w:p>
    <w:p w14:paraId="265C1539" w14:textId="18F9214A" w:rsidR="001B6996" w:rsidRPr="007A7F2B" w:rsidRDefault="001B6996" w:rsidP="00D36F85">
      <m:oMathPara>
        <m:oMath>
          <m:sSub>
            <m:sSubPr>
              <m:ctrlPr>
                <w:rPr>
                  <w:rFonts w:ascii="Cambria Math" w:hAnsi="Cambria Math"/>
                  <w:i/>
                </w:rPr>
              </m:ctrlPr>
            </m:sSubPr>
            <m:e>
              <m:r>
                <w:rPr>
                  <w:rFonts w:ascii="Cambria Math" w:hAnsi="Cambria Math"/>
                </w:rPr>
                <m:t>y</m:t>
              </m:r>
            </m:e>
            <m:sub>
              <m:r>
                <w:rPr>
                  <w:rFonts w:ascii="Cambria Math" w:hAnsi="Cambria Math"/>
                </w:rPr>
                <m:t>mod</m:t>
              </m:r>
            </m:sub>
          </m:sSub>
          <m:r>
            <w:rPr>
              <w:rFonts w:ascii="Cambria Math" w:hAnsi="Cambria Math"/>
            </w:rPr>
            <m:t>=</m:t>
          </m:r>
          <m:nary>
            <m:naryPr>
              <m:chr m:val="∑"/>
              <m:supHide m:val="1"/>
              <m:ctrlPr>
                <w:rPr>
                  <w:rFonts w:ascii="Cambria Math" w:hAnsi="Cambria Math"/>
                  <w:i/>
                </w:rPr>
              </m:ctrlPr>
            </m:naryPr>
            <m:sub>
              <m:r>
                <w:rPr>
                  <w:rFonts w:ascii="Cambria Math" w:hAnsi="Cambria Math"/>
                </w:rPr>
                <m:t>j=DNA strand</m:t>
              </m:r>
            </m:sub>
            <m:sup/>
            <m:e>
              <m:sSub>
                <m:sSubPr>
                  <m:ctrlPr>
                    <w:rPr>
                      <w:rFonts w:ascii="Cambria Math" w:hAnsi="Cambria Math"/>
                      <w:i/>
                    </w:rPr>
                  </m:ctrlPr>
                </m:sSubPr>
                <m:e>
                  <m:r>
                    <w:rPr>
                      <w:rFonts w:ascii="Cambria Math" w:hAnsi="Cambria Math"/>
                    </w:rPr>
                    <m:t>w</m:t>
                  </m:r>
                </m:e>
                <m:sub>
                  <m:r>
                    <w:rPr>
                      <w:rFonts w:ascii="Cambria Math" w:hAnsi="Cambria Math"/>
                    </w:rPr>
                    <m:t>j</m:t>
                  </m:r>
                </m:sub>
              </m:sSub>
              <m:sSubSup>
                <m:sSubSupPr>
                  <m:ctrlPr>
                    <w:rPr>
                      <w:rFonts w:ascii="Cambria Math" w:hAnsi="Cambria Math"/>
                      <w:i/>
                    </w:rPr>
                  </m:ctrlPr>
                </m:sSubSupPr>
                <m:e>
                  <m:r>
                    <w:rPr>
                      <w:rFonts w:ascii="Cambria Math" w:hAnsi="Cambria Math"/>
                    </w:rPr>
                    <m:t>y</m:t>
                  </m:r>
                </m:e>
                <m:sub>
                  <m:r>
                    <w:rPr>
                      <w:rFonts w:ascii="Cambria Math" w:hAnsi="Cambria Math"/>
                    </w:rPr>
                    <m:t>exp</m:t>
                  </m:r>
                </m:sub>
                <m:sup>
                  <m:r>
                    <w:rPr>
                      <w:rFonts w:ascii="Cambria Math" w:hAnsi="Cambria Math"/>
                    </w:rPr>
                    <m:t>j</m:t>
                  </m:r>
                </m:sup>
              </m:sSubSup>
            </m:e>
          </m:nary>
          <m:r>
            <w:rPr>
              <w:rFonts w:ascii="Cambria Math" w:hAnsi="Cambria Math"/>
            </w:rPr>
            <m:t xml:space="preserve">          with </m:t>
          </m:r>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i/>
                </w:rPr>
              </m:ctrlPr>
            </m:fPr>
            <m:num>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2</m:t>
                      </m:r>
                    </m:sup>
                  </m:sSubSup>
                </m:den>
              </m:f>
            </m:num>
            <m:den>
              <m:nary>
                <m:naryPr>
                  <m:chr m:val="∑"/>
                  <m:supHide m:val="1"/>
                  <m:ctrlPr>
                    <w:rPr>
                      <w:rFonts w:ascii="Cambria Math" w:hAnsi="Cambria Math"/>
                      <w:i/>
                    </w:rPr>
                  </m:ctrlPr>
                </m:naryPr>
                <m:sub>
                  <m:r>
                    <w:rPr>
                      <w:rFonts w:ascii="Cambria Math" w:hAnsi="Cambria Math"/>
                    </w:rPr>
                    <m:t>n</m:t>
                  </m:r>
                </m:sub>
                <m:sup/>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σ</m:t>
                          </m:r>
                        </m:e>
                        <m:sub>
                          <m:r>
                            <w:rPr>
                              <w:rFonts w:ascii="Cambria Math" w:hAnsi="Cambria Math"/>
                            </w:rPr>
                            <m:t>n</m:t>
                          </m:r>
                        </m:sub>
                        <m:sup>
                          <m:r>
                            <w:rPr>
                              <w:rFonts w:ascii="Cambria Math" w:hAnsi="Cambria Math"/>
                            </w:rPr>
                            <m:t>2</m:t>
                          </m:r>
                        </m:sup>
                      </m:sSubSup>
                    </m:den>
                  </m:f>
                </m:e>
              </m:nary>
            </m:den>
          </m:f>
        </m:oMath>
      </m:oMathPara>
    </w:p>
    <w:p w14:paraId="56579B4C" w14:textId="4577A923" w:rsidR="00D36F85" w:rsidRPr="007A7F2B" w:rsidRDefault="00D20B49" w:rsidP="00D61F2C">
      <w:r w:rsidRPr="007A7F2B">
        <w:t>With these weights we can calculate the weighted average of the data, which we assume to be the true data</w:t>
      </w:r>
      <w:r w:rsidR="001072A1" w:rsidRPr="007A7F2B">
        <w:t xml:space="preserve"> for our fit</w:t>
      </w:r>
      <w:r w:rsidRPr="007A7F2B">
        <w:t>. Therefore we will select all the fits that have the most similarity with this weighted average of the data. The threshold is chosen such that we can see points of similarity in the energy landscape</w:t>
      </w:r>
      <w:r w:rsidR="00EF1E7B" w:rsidRPr="007A7F2B">
        <w:t xml:space="preserve"> and have a ‘high’ efficiency</w:t>
      </w:r>
      <w:r w:rsidRPr="007A7F2B">
        <w:t xml:space="preserve">. </w:t>
      </w:r>
      <w:r w:rsidR="00F746E0" w:rsidRPr="007A7F2B">
        <w:t xml:space="preserve">  </w:t>
      </w:r>
    </w:p>
    <w:p w14:paraId="669560D8" w14:textId="10C9387D" w:rsidR="00B30051" w:rsidRPr="007A7F2B" w:rsidRDefault="00B30051">
      <w:r w:rsidRPr="007A7F2B">
        <w:br w:type="page"/>
      </w:r>
    </w:p>
    <w:p w14:paraId="5187B809" w14:textId="69B2EA02" w:rsidR="00784677" w:rsidRPr="007A7F2B" w:rsidRDefault="00047EEF" w:rsidP="00277CE4">
      <w:pPr>
        <w:pStyle w:val="Title"/>
      </w:pPr>
      <w:bookmarkStart w:id="26" w:name="_Toc10029743"/>
      <w:r w:rsidRPr="007A7F2B">
        <w:lastRenderedPageBreak/>
        <w:t>Discovered properties of the data by fitting</w:t>
      </w:r>
      <w:bookmarkEnd w:id="26"/>
      <w:r w:rsidR="00062507" w:rsidRPr="007A7F2B">
        <w:t xml:space="preserve"> </w:t>
      </w:r>
    </w:p>
    <w:p w14:paraId="3704B8F9" w14:textId="1CCC4CDF" w:rsidR="00407EC6" w:rsidRPr="007A7F2B" w:rsidRDefault="00CD79C0" w:rsidP="00CD79C0">
      <w:r w:rsidRPr="007A7F2B">
        <w:t xml:space="preserve">The first </w:t>
      </w:r>
      <w:r w:rsidR="00D32132" w:rsidRPr="007A7F2B">
        <w:t xml:space="preserve">set of </w:t>
      </w:r>
      <w:r w:rsidRPr="007A7F2B">
        <w:t>fit</w:t>
      </w:r>
      <w:r w:rsidR="00D32132" w:rsidRPr="007A7F2B">
        <w:t>s</w:t>
      </w:r>
      <w:r w:rsidRPr="007A7F2B">
        <w:t xml:space="preserve"> performed </w:t>
      </w:r>
      <w:r w:rsidR="00D32132" w:rsidRPr="007A7F2B">
        <w:t>u</w:t>
      </w:r>
      <w:r w:rsidRPr="007A7F2B">
        <w:t xml:space="preserve">sed all the data that was available from Finkelstein et al. </w:t>
      </w:r>
      <w:r w:rsidRPr="007A7F2B">
        <w:fldChar w:fldCharType="begin" w:fldLock="1"/>
      </w:r>
      <w:r w:rsidR="002E5DD7">
        <w:instrText xml:space="preserve">ADDIN CSL_CITATION {"citationItems":[{"id":"ITEM-1","itemData":{"DOI":"10.1016/j.cell.2017.05.044","ISSN":"10974172","abstract":"CRISPR-Cas nucleoproteins target foreign DNA via base pairing with a crRNA. However, a quantitative description of protein binding and nuclease activation at off-target DNA sequences remains elusive. Here, we describe a chip-hybridized association-mapping platform (CHAMP) that repurposes next-generation sequencing chips to simultaneously measure the interactions between proteins and </w:instrText>
      </w:r>
      <w:r w:rsidR="002E5DD7">
        <w:rPr>
          <w:rFonts w:ascii="Cambria Math" w:hAnsi="Cambria Math" w:cs="Cambria Math"/>
        </w:rPr>
        <w:instrText>∼</w:instrText>
      </w:r>
      <w:r w:rsidR="002E5DD7">
        <w:instrText>107 unique DNA sequences. Using CHAMP, we provide the first comprehensive survey of DNA recognition by a type I-E CRISPR-Cas (Cascade) complex and Cas3 nuclease. Analysis of mutated target sequences and human genomic DNA reveal that Cascade recognizes an extended protospacer adjacent motif (PAM). Cascade recognizes DNA with a surprising 3-nt periodicity. The identity of the PAM and the PAM-proximal nucleotides control Cas3 recruitment by releasing the Cse1 subunit. These findings are used to develop a model for the biophysical constraints governing off-target DNA binding. CHAMP provides a framework for high-throughput, quantitative analysis of protein-DNA interactions on synthetic and genomic DNA. PaperClip [Figure presented]","author":[{"dropping-particle":"","family":"Jung","given":"Cheulhee","non-dropping-particle":"","parse-names":false,"suffix":""},{"dropping-particle":"","family":"Hawkins","given":"John A.","non-dropping-particle":"","parse-names":false,"suffix":""},{"dropping-particle":"","family":"Jones","given":"Stephen K.","non-dropping-particle":"","parse-names":false,"suffix":""},{"dropping-particle":"","family":"Xiao","given":"Yibei","non-dropping-particle":"","parse-names":false,"suffix":""},{"dropping-particle":"","family":"Rybarski","given":"James R.","non-dropping-particle":"","parse-names":false,"suffix":""},{"dropping-particle":"","family":"Dillard","given":"Kaylee E.","non-dropping-particle":"","parse-names":false,"suffix":""},{"dropping-particle":"","family":"Hussmann","given":"Jeffrey","non-dropping-particle":"","parse-names":false,"suffix":""},{"dropping-particle":"","family":"Saifuddin","given":"Fatema A.","non-dropping-particle":"","parse-names":false,"suffix":""},{"dropping-particle":"","family":"Savran","given":"Cagri A.","non-dropping-particle":"","parse-names":false,"suffix":""},{"dropping-particle":"","family":"Ellington","given":"Andrew D.","non-dropping-particle":"","parse-names":false,"suffix":""},{"dropping-particle":"","family":"Ke","given":"Ailong","non-dropping-particle":"","parse-names":false,"suffix":""},{"dropping-particle":"","family":"Press","given":"William H.","non-dropping-particle":"","parse-names":false,"suffix":""},{"dropping-particle":"","family":"Finkelstein","given":"Ilya J.","non-dropping-particle":"","parse-names":false,"suffix":""}],"container-title":"Cell","id":"ITEM-1","issue":"1","issued":{"date-parts":[["2017"]]},"page":"35-47.e13","publisher":"Elsevier","title":"Massively Parallel Biophysical Analysis of CRISPR-Cas Complexes on Next Generation Sequencing Chips","type":"article-journal","volume":"170"},"uris":["http://www.mendeley.com/documents/?uuid=353b09e7-244b-48a1-8a5b-7c5ce688fe97"]}],"mendeley":{"formattedCitation":"(26)","plainTextFormattedCitation":"(26)","previouslyFormattedCitation":"(27)"},"properties":{"noteIndex":0},"schema":"https://github.com/citation-style-language/schema/raw/master/csl-citation.json"}</w:instrText>
      </w:r>
      <w:r w:rsidRPr="007A7F2B">
        <w:fldChar w:fldCharType="separate"/>
      </w:r>
      <w:r w:rsidR="002E5DD7" w:rsidRPr="002E5DD7">
        <w:rPr>
          <w:noProof/>
        </w:rPr>
        <w:t>(26)</w:t>
      </w:r>
      <w:r w:rsidRPr="007A7F2B">
        <w:fldChar w:fldCharType="end"/>
      </w:r>
      <w:r w:rsidRPr="007A7F2B">
        <w:t xml:space="preserve">. This means the </w:t>
      </w:r>
      <m:oMath>
        <m:r>
          <m:rPr>
            <m:sty m:val="p"/>
          </m:rPr>
          <w:rPr>
            <w:rFonts w:ascii="Cambria Math" w:hAnsi="Cambria Math"/>
          </w:rPr>
          <m:t>Δ</m:t>
        </m:r>
        <m:r>
          <w:rPr>
            <w:rFonts w:ascii="Cambria Math" w:hAnsi="Cambria Math"/>
          </w:rPr>
          <m:t>ABA</m:t>
        </m:r>
      </m:oMath>
      <w:r w:rsidRPr="007A7F2B">
        <w:t xml:space="preserve"> for all double and single mismatches at (almost) every possible mismatch positions, for 8 concentration points (we excluded 0 </w:t>
      </w:r>
      <w:proofErr w:type="spellStart"/>
      <w:r w:rsidRPr="007A7F2B">
        <w:t>nM</w:t>
      </w:r>
      <w:proofErr w:type="spellEnd"/>
      <w:r w:rsidRPr="007A7F2B">
        <w:t xml:space="preserve"> since this would result in a division by 0), with the uncertainty in the measurement. The best fit seemed to get the overall energy landscape </w:t>
      </w:r>
      <w:r w:rsidR="004224B2" w:rsidRPr="007A7F2B">
        <w:t xml:space="preserve">as we saw for Boyle, but the different fits did not have a lot of agreement as can be seen in </w:t>
      </w:r>
      <w:r w:rsidR="00056150" w:rsidRPr="007A7F2B">
        <w:fldChar w:fldCharType="begin"/>
      </w:r>
      <w:r w:rsidR="00056150" w:rsidRPr="007A7F2B">
        <w:instrText xml:space="preserve"> REF _Ref9587967 \h </w:instrText>
      </w:r>
      <w:r w:rsidR="00056150" w:rsidRPr="007A7F2B">
        <w:fldChar w:fldCharType="separate"/>
      </w:r>
      <w:r w:rsidR="00C16253" w:rsidRPr="007A7F2B">
        <w:t xml:space="preserve">Figure </w:t>
      </w:r>
      <w:r w:rsidR="00C16253">
        <w:rPr>
          <w:noProof/>
        </w:rPr>
        <w:t>8</w:t>
      </w:r>
      <w:r w:rsidR="00056150" w:rsidRPr="007A7F2B">
        <w:fldChar w:fldCharType="end"/>
      </w:r>
      <w:r w:rsidR="004224B2" w:rsidRPr="007A7F2B">
        <w:t xml:space="preserve">. Later in the process we discovered that this was due to the fact that we did not put a lower bound on the </w:t>
      </w:r>
      <m:oMath>
        <m:sSub>
          <m:sSubPr>
            <m:ctrlPr>
              <w:rPr>
                <w:rFonts w:ascii="Cambria Math" w:hAnsi="Cambria Math"/>
                <w:i/>
              </w:rPr>
            </m:ctrlPr>
          </m:sSubPr>
          <m:e>
            <m:r>
              <w:rPr>
                <w:rFonts w:ascii="Cambria Math" w:hAnsi="Cambria Math"/>
              </w:rPr>
              <m:t>ϵ</m:t>
            </m:r>
          </m:e>
          <m:sub>
            <m:r>
              <w:rPr>
                <w:rFonts w:ascii="Cambria Math" w:hAnsi="Cambria Math"/>
              </w:rPr>
              <m:t>i</m:t>
            </m:r>
          </m:sub>
        </m:sSub>
      </m:oMath>
      <w:r w:rsidR="004224B2" w:rsidRPr="007A7F2B">
        <w:t xml:space="preserve"> (the mismatch penalty), resulting in the possibility of a negative </w:t>
      </w:r>
      <m:oMath>
        <m:sSub>
          <m:sSubPr>
            <m:ctrlPr>
              <w:rPr>
                <w:rFonts w:ascii="Cambria Math" w:hAnsi="Cambria Math"/>
                <w:i/>
              </w:rPr>
            </m:ctrlPr>
          </m:sSubPr>
          <m:e>
            <m:r>
              <w:rPr>
                <w:rFonts w:ascii="Cambria Math" w:hAnsi="Cambria Math"/>
              </w:rPr>
              <m:t>ϵ</m:t>
            </m:r>
          </m:e>
          <m:sub>
            <m:r>
              <w:rPr>
                <w:rFonts w:ascii="Cambria Math" w:hAnsi="Cambria Math"/>
              </w:rPr>
              <m:t>i</m:t>
            </m:r>
          </m:sub>
        </m:sSub>
      </m:oMath>
      <w:r w:rsidR="004224B2" w:rsidRPr="007A7F2B">
        <w:t xml:space="preserve"> which indicates an energy gain, which does not make sense for a mismatch penalty. </w:t>
      </w:r>
    </w:p>
    <w:p w14:paraId="2FF79482" w14:textId="65A2E212" w:rsidR="004224B2" w:rsidRPr="007A7F2B" w:rsidRDefault="004224B2" w:rsidP="00CD79C0">
      <w:r w:rsidRPr="007A7F2B">
        <w:t xml:space="preserve">However, this was not the </w:t>
      </w:r>
      <w:r w:rsidR="00407EC6" w:rsidRPr="007A7F2B">
        <w:t>most urgent</w:t>
      </w:r>
      <w:r w:rsidRPr="007A7F2B">
        <w:t xml:space="preserve"> problem </w:t>
      </w:r>
      <w:r w:rsidR="00407EC6" w:rsidRPr="007A7F2B">
        <w:t>to</w:t>
      </w:r>
      <w:r w:rsidRPr="007A7F2B">
        <w:t xml:space="preserve"> this fit. This fit took between 40 and 60 hours to finish, while the fit on the data of Boyle et al.  only needs 14 hours. </w:t>
      </w:r>
      <w:r w:rsidR="001935BC" w:rsidRPr="007A7F2B">
        <w:t>This difference is caused by the amount of points we fit, for Boyle</w:t>
      </w:r>
      <w:r w:rsidR="00056150" w:rsidRPr="007A7F2B">
        <w:t xml:space="preserve"> et al. </w:t>
      </w:r>
      <w:r w:rsidR="00056150" w:rsidRPr="007A7F2B">
        <w:fldChar w:fldCharType="begin" w:fldLock="1"/>
      </w:r>
      <w:r w:rsidR="002E5DD7">
        <w:instrText>ADDIN CSL_CITATION {"citationItems":[{"id":"ITEM-1","itemData":{"DOI":"10.1073/pnas.1700557114","ISBN":"1700557114","ISSN":"0027-8424","abstract":"A five-year old, spayed female, Bearded Collie was presented with a 24-hour history of non-weight-bearing lameness of the right thoracic limb after sustaining vehicular trauma. Radiographs revealed a craniolateral scapulohumeral luxation and a distally and medially displaced fracture of the lesser tubercle of the humerus. Open reduction and internal fixation of the fracture was achieved with lag screw fixation and an anti-rotational Kirschner wire. Surgical repair resulted in compression across the fracture line, anatomic reduction of the articular surface, and a stable scapulohumeral joint following reduction of the humeral head in the glenoid. Six weeks postoperatively, the patient exhibited no evidence of pain or lameness on the right thoracic limb and radiographs revealed complete healing of the fracture and normal articulation of the scapulohumeral joint. This is the first report of a lesser tubercle fracture associated with a craniolateral shoulder luxation. Surgical intervention resulted in the return of full shoulder joint function in this dog.","author":[{"dropping-particle":"","family":"Boyle","given":"Evan A.","non-dropping-particle":"","parse-names":false,"suffix":""},{"dropping-particle":"","family":"Andreasson","given":"Johan O. L.","non-dropping-particle":"","parse-names":false,"suffix":""},{"dropping-particle":"","family":"Chircus","given":"Lauren M.","non-dropping-particle":"","parse-names":false,"suffix":""},{"dropping-particle":"","family":"Sternberg","given":"Samuel H.","non-dropping-particle":"","parse-names":false,"suffix":""},{"dropping-particle":"","family":"Wu","given":"Michelle J.","non-dropping-particle":"","parse-names":false,"suffix":""},{"dropping-particle":"","family":"Guegler","given":"Chantal K.","non-dropping-particle":"","parse-names":false,"suffix":""},{"dropping-particle":"","family":"Doudna","given":"Jennifer A.","non-dropping-particle":"","parse-names":false,"suffix":""},{"dropping-particle":"","family":"Greenleaf","given":"William J.","non-dropping-particle":"","parse-names":false,"suffix":""}],"container-title":"Proceedings of the National Academy of Sciences","id":"ITEM-1","issue":"21","issued":{"date-parts":[["2017"]]},"page":"5461-5466","title":"High-throughput biochemical profiling reveals sequence determinants of dCas9 off-target binding and unbinding","type":"article-journal","volume":"114"},"uris":["http://www.mendeley.com/documents/?uuid=5d3bd9c9-c3d5-4909-940e-4419508f06a1"]}],"mendeley":{"formattedCitation":"(25)","plainTextFormattedCitation":"(25)","previouslyFormattedCitation":"(26)"},"properties":{"noteIndex":0},"schema":"https://github.com/citation-style-language/schema/raw/master/csl-citation.json"}</w:instrText>
      </w:r>
      <w:r w:rsidR="00056150" w:rsidRPr="007A7F2B">
        <w:fldChar w:fldCharType="separate"/>
      </w:r>
      <w:r w:rsidR="002E5DD7" w:rsidRPr="002E5DD7">
        <w:rPr>
          <w:noProof/>
        </w:rPr>
        <w:t>(25)</w:t>
      </w:r>
      <w:r w:rsidR="00056150" w:rsidRPr="007A7F2B">
        <w:fldChar w:fldCharType="end"/>
      </w:r>
      <w:r w:rsidR="001935BC" w:rsidRPr="007A7F2B">
        <w:t xml:space="preserve"> this were only 3 timepoints, while for Finkelstein we have 8 concentration points. </w:t>
      </w:r>
      <w:r w:rsidRPr="007A7F2B">
        <w:t>Those 60 hours is way too long if you want to be able to adjust properties and test it again. Therefore we decided to solve this problem first before we tried to improve the fit efficiency and quality. We came up with 3 ideas to make the code faster</w:t>
      </w:r>
      <w:r w:rsidR="00056150" w:rsidRPr="007A7F2B">
        <w:t>, which would us at the same time give us more insight in the data</w:t>
      </w:r>
      <w:r w:rsidRPr="007A7F2B">
        <w:t>:</w:t>
      </w:r>
    </w:p>
    <w:p w14:paraId="38898616" w14:textId="58B0381C" w:rsidR="004224B2" w:rsidRPr="007A7F2B" w:rsidRDefault="004224B2" w:rsidP="004224B2">
      <w:pPr>
        <w:pStyle w:val="ListParagraph"/>
        <w:numPr>
          <w:ilvl w:val="0"/>
          <w:numId w:val="11"/>
        </w:numPr>
      </w:pPr>
      <w:r w:rsidRPr="007A7F2B">
        <w:rPr>
          <w:i/>
        </w:rPr>
        <w:t>Usage of multiple processing with mpi4py in python</w:t>
      </w:r>
      <w:r w:rsidR="001935BC" w:rsidRPr="007A7F2B">
        <w:rPr>
          <w:i/>
        </w:rPr>
        <w:t>:</w:t>
      </w:r>
      <w:r w:rsidRPr="007A7F2B">
        <w:t xml:space="preserve"> </w:t>
      </w:r>
      <w:r w:rsidR="001935BC" w:rsidRPr="007A7F2B">
        <w:t>T</w:t>
      </w:r>
      <w:r w:rsidRPr="007A7F2B">
        <w:t xml:space="preserve">o be able to run the code on more than 20 cores spread out over different nodes. Due to technical difficulties, probably with the settings of the cluster, this was impossible to achieve. </w:t>
      </w:r>
    </w:p>
    <w:p w14:paraId="7093C72A" w14:textId="1F36DB14" w:rsidR="004224B2" w:rsidRPr="007A7F2B" w:rsidRDefault="004224B2" w:rsidP="004224B2">
      <w:pPr>
        <w:pStyle w:val="ListParagraph"/>
        <w:numPr>
          <w:ilvl w:val="0"/>
          <w:numId w:val="11"/>
        </w:numPr>
      </w:pPr>
      <w:r w:rsidRPr="007A7F2B">
        <w:rPr>
          <w:i/>
        </w:rPr>
        <w:t>Use less concentration points for the fi</w:t>
      </w:r>
      <w:r w:rsidR="00056150" w:rsidRPr="007A7F2B">
        <w:rPr>
          <w:i/>
        </w:rPr>
        <w:t>t</w:t>
      </w:r>
      <w:r w:rsidR="001935BC" w:rsidRPr="007A7F2B">
        <w:rPr>
          <w:i/>
        </w:rPr>
        <w:t>:</w:t>
      </w:r>
      <w:r w:rsidRPr="007A7F2B">
        <w:t xml:space="preserve">. </w:t>
      </w:r>
      <w:r w:rsidR="001935BC" w:rsidRPr="007A7F2B">
        <w:t>Since we fit the Hill-curve through these points, it maybe is possible to use less points and still be able to fit the correct curve.</w:t>
      </w:r>
    </w:p>
    <w:p w14:paraId="4107B1AF" w14:textId="1619EF33" w:rsidR="001935BC" w:rsidRPr="007A7F2B" w:rsidRDefault="001935BC" w:rsidP="004224B2">
      <w:pPr>
        <w:pStyle w:val="ListParagraph"/>
        <w:numPr>
          <w:ilvl w:val="0"/>
          <w:numId w:val="11"/>
        </w:numPr>
      </w:pPr>
      <w:r w:rsidRPr="007A7F2B">
        <w:rPr>
          <w:i/>
        </w:rPr>
        <w:t>Assume equilibrium</w:t>
      </w:r>
      <w:r w:rsidRPr="007A7F2B">
        <w:t xml:space="preserve">: Right now the </w:t>
      </w:r>
      <w:r w:rsidR="00056150" w:rsidRPr="007A7F2B">
        <w:t>most time expensive step</w:t>
      </w:r>
      <w:r w:rsidRPr="007A7F2B">
        <w:t xml:space="preserve"> for this fit is the calculation of the rate-matrix. Using the assumption of an equilibrium we do not need to use this matrix anymore to calculate the </w:t>
      </w:r>
      <m:oMath>
        <m:r>
          <w:rPr>
            <w:rFonts w:ascii="Cambria Math" w:hAnsi="Cambria Math"/>
          </w:rPr>
          <m:t>ABA</m:t>
        </m:r>
      </m:oMath>
      <w:r w:rsidRPr="007A7F2B">
        <w:t xml:space="preserve">. This can simply be done by adding the Boltzmann </w:t>
      </w:r>
      <w:r w:rsidR="00056150" w:rsidRPr="007A7F2B">
        <w:t>weights for every bound state:</w:t>
      </w:r>
    </w:p>
    <w:p w14:paraId="24EFFBD8" w14:textId="7BFA3F75" w:rsidR="001935BC" w:rsidRPr="007A7F2B" w:rsidRDefault="001935BC" w:rsidP="001935BC">
      <w:pPr>
        <w:pStyle w:val="ListParagraph"/>
      </w:pPr>
      <m:oMathPara>
        <m:oMath>
          <m:r>
            <w:rPr>
              <w:rFonts w:ascii="Cambria Math" w:hAnsi="Cambria Math"/>
            </w:rPr>
            <m:t>ABA=-</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 xml:space="preserve"> </m:t>
                  </m:r>
                  <m:nary>
                    <m:naryPr>
                      <m:chr m:val="∑"/>
                      <m:supHide m:val="1"/>
                      <m:ctrlPr>
                        <w:rPr>
                          <w:rFonts w:ascii="Cambria Math" w:hAnsi="Cambria Math"/>
                          <w:i/>
                        </w:rPr>
                      </m:ctrlPr>
                    </m:naryPr>
                    <m:sub>
                      <m:r>
                        <w:rPr>
                          <w:rFonts w:ascii="Cambria Math" w:hAnsi="Cambria Math"/>
                        </w:rPr>
                        <m:t>i=bound state</m:t>
                      </m:r>
                    </m:sub>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sup>
                      </m:sSup>
                    </m:e>
                  </m:nary>
                </m:e>
              </m:d>
            </m:e>
          </m:func>
        </m:oMath>
      </m:oMathPara>
    </w:p>
    <w:p w14:paraId="7D542B66" w14:textId="77777777" w:rsidR="00056150" w:rsidRPr="007A7F2B" w:rsidRDefault="00056150" w:rsidP="00056150">
      <w:pPr>
        <w:keepNext/>
        <w:jc w:val="center"/>
      </w:pPr>
      <w:r w:rsidRPr="007A7F2B">
        <w:rPr>
          <w:noProof/>
        </w:rPr>
        <w:drawing>
          <wp:inline distT="0" distB="0" distL="0" distR="0" wp14:anchorId="7D9677D0" wp14:editId="28969B1F">
            <wp:extent cx="4206240" cy="2836276"/>
            <wp:effectExtent l="0" t="0" r="0" b="0"/>
            <wp:docPr id="9" name="Picture 9" descr="C:\Users\Diewertje\AppData\Local\Microsoft\Windows\INetCache\Content.MSO\8755FF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iewertje\AppData\Local\Microsoft\Windows\INetCache\Content.MSO\8755FFD1.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15391" cy="2842447"/>
                    </a:xfrm>
                    <a:prstGeom prst="rect">
                      <a:avLst/>
                    </a:prstGeom>
                    <a:noFill/>
                    <a:ln>
                      <a:noFill/>
                    </a:ln>
                  </pic:spPr>
                </pic:pic>
              </a:graphicData>
            </a:graphic>
          </wp:inline>
        </w:drawing>
      </w:r>
    </w:p>
    <w:p w14:paraId="3768727B" w14:textId="578A15D8" w:rsidR="004224B2" w:rsidRPr="007A7F2B" w:rsidRDefault="00056150" w:rsidP="00056150">
      <w:pPr>
        <w:pStyle w:val="Caption"/>
        <w:jc w:val="center"/>
      </w:pPr>
      <w:bookmarkStart w:id="27" w:name="_Ref9587967"/>
      <w:r w:rsidRPr="007A7F2B">
        <w:t xml:space="preserve">Figure </w:t>
      </w:r>
      <w:fldSimple w:instr=" SEQ Figure \* ARABIC ">
        <w:r w:rsidR="00C16253">
          <w:rPr>
            <w:noProof/>
          </w:rPr>
          <w:t>8</w:t>
        </w:r>
      </w:fldSimple>
      <w:bookmarkEnd w:id="27"/>
      <w:r w:rsidRPr="007A7F2B">
        <w:t>: The first run of fits to the data of Finkelstein et al.. 50 fits are projected, showing a lot of diviation in the on-target Free energy landscape</w:t>
      </w:r>
    </w:p>
    <w:p w14:paraId="3EF34131" w14:textId="77777777" w:rsidR="00A8073F" w:rsidRPr="007A7F2B" w:rsidRDefault="00A8073F">
      <w:pPr>
        <w:rPr>
          <w:smallCaps/>
          <w:spacing w:val="5"/>
          <w:sz w:val="32"/>
          <w:szCs w:val="32"/>
        </w:rPr>
      </w:pPr>
      <w:r w:rsidRPr="007A7F2B">
        <w:br w:type="page"/>
      </w:r>
    </w:p>
    <w:p w14:paraId="5975C0F5" w14:textId="226605A5" w:rsidR="004F3FB9" w:rsidRPr="007A7F2B" w:rsidRDefault="00056150" w:rsidP="00EF0570">
      <w:pPr>
        <w:pStyle w:val="Heading1"/>
      </w:pPr>
      <w:bookmarkStart w:id="28" w:name="_Toc10029744"/>
      <w:r w:rsidRPr="007A7F2B">
        <w:lastRenderedPageBreak/>
        <w:t>The u</w:t>
      </w:r>
      <w:r w:rsidR="004F3FB9" w:rsidRPr="007A7F2B">
        <w:t>sage of less concentration points</w:t>
      </w:r>
      <w:bookmarkEnd w:id="28"/>
    </w:p>
    <w:p w14:paraId="2F548582" w14:textId="76426769" w:rsidR="00056150" w:rsidRPr="007A7F2B" w:rsidRDefault="00A27F33" w:rsidP="00056150">
      <w:r w:rsidRPr="007A7F2B">
        <w:t xml:space="preserve">Using less concentration points would mean that you have to do less calculations and therefore make the code faster. Now the question remains which and how many points you need to still make a good prediction for the </w:t>
      </w:r>
      <m:oMath>
        <m:r>
          <w:rPr>
            <w:rFonts w:ascii="Cambria Math" w:hAnsi="Cambria Math"/>
          </w:rPr>
          <m:t>ABA</m:t>
        </m:r>
      </m:oMath>
      <w:r w:rsidRPr="007A7F2B">
        <w:t>. In order to answer this question we looked back at the unprocessed data from Finkelstein et al.  from which we can calculate the occupa</w:t>
      </w:r>
      <w:r w:rsidR="00BC5D18" w:rsidRPr="007A7F2B">
        <w:t>ncy</w:t>
      </w:r>
      <w:r w:rsidRPr="007A7F2B">
        <w:t xml:space="preserve"> </w:t>
      </w:r>
      <m:oMath>
        <m:sSub>
          <m:sSubPr>
            <m:ctrlPr>
              <w:rPr>
                <w:rFonts w:ascii="Cambria Math" w:hAnsi="Cambria Math"/>
                <w:i/>
              </w:rPr>
            </m:ctrlPr>
          </m:sSubPr>
          <m:e>
            <m:r>
              <w:rPr>
                <w:rFonts w:ascii="Cambria Math" w:hAnsi="Cambria Math"/>
              </w:rPr>
              <m:t>(P</m:t>
            </m:r>
          </m:e>
          <m:sub>
            <m:r>
              <w:rPr>
                <w:rFonts w:ascii="Cambria Math" w:hAnsi="Cambria Math"/>
              </w:rPr>
              <m:t>bound</m:t>
            </m:r>
          </m:sub>
        </m:sSub>
        <m:r>
          <w:rPr>
            <w:rFonts w:ascii="Cambria Math" w:hAnsi="Cambria Math"/>
          </w:rPr>
          <m:t xml:space="preserve">) </m:t>
        </m:r>
      </m:oMath>
      <w:r w:rsidRPr="007A7F2B">
        <w:t xml:space="preserve">for every concentration. These values for the occupancy were than used in the Hill-equation to find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7A7F2B">
        <w:t xml:space="preserve"> and calculate the </w:t>
      </w:r>
      <m:oMath>
        <m:r>
          <w:rPr>
            <w:rFonts w:ascii="Cambria Math" w:hAnsi="Cambria Math"/>
          </w:rPr>
          <m:t>ABA</m:t>
        </m:r>
      </m:oMath>
      <w:r w:rsidRPr="007A7F2B">
        <w:t xml:space="preserve"> as was explained in section … (processing the data). For our previous fit this was only done with all the 8 concentration points, but now we will test if we can get the same result if we use less concentration points. </w:t>
      </w:r>
      <w:r w:rsidR="00BC5D18" w:rsidRPr="007A7F2B">
        <w:t xml:space="preserve">We will look at the error and the correlation coefficient between the </w:t>
      </w:r>
      <m:oMath>
        <m:r>
          <w:rPr>
            <w:rFonts w:ascii="Cambria Math" w:hAnsi="Cambria Math"/>
          </w:rPr>
          <m:t>ABA</m:t>
        </m:r>
      </m:oMath>
      <w:r w:rsidR="00BC5D18" w:rsidRPr="007A7F2B">
        <w:t xml:space="preserve"> value of all concentration points and the </w:t>
      </w:r>
      <m:oMath>
        <m:r>
          <w:rPr>
            <w:rFonts w:ascii="Cambria Math" w:hAnsi="Cambria Math"/>
          </w:rPr>
          <m:t>ABA</m:t>
        </m:r>
      </m:oMath>
      <w:r w:rsidR="00BC5D18" w:rsidRPr="007A7F2B">
        <w:t xml:space="preserve"> with less points. </w:t>
      </w:r>
    </w:p>
    <w:p w14:paraId="492CF4BA" w14:textId="53981815" w:rsidR="00BC5D18" w:rsidRPr="007A7F2B" w:rsidRDefault="00BC5D18" w:rsidP="00056150">
      <w:r w:rsidRPr="007A7F2B">
        <w:t xml:space="preserve">The least amount of points would be preferred, since this results in the least amount of calculations. Therefore we started by looking at every combination of 2 concentration points. For these we looked at the once with the lowest error (see </w:t>
      </w:r>
      <w:r w:rsidR="00C0336B" w:rsidRPr="007A7F2B">
        <w:fldChar w:fldCharType="begin"/>
      </w:r>
      <w:r w:rsidR="00C0336B" w:rsidRPr="007A7F2B">
        <w:instrText xml:space="preserve"> REF _Ref9596145 \h </w:instrText>
      </w:r>
      <w:r w:rsidR="00C0336B" w:rsidRPr="007A7F2B">
        <w:fldChar w:fldCharType="separate"/>
      </w:r>
      <w:r w:rsidR="00C16253" w:rsidRPr="007A7F2B">
        <w:t xml:space="preserve">Figure </w:t>
      </w:r>
      <w:r w:rsidR="00C16253">
        <w:rPr>
          <w:noProof/>
        </w:rPr>
        <w:t>9</w:t>
      </w:r>
      <w:r w:rsidR="00C0336B" w:rsidRPr="007A7F2B">
        <w:fldChar w:fldCharType="end"/>
      </w:r>
      <w:r w:rsidR="00C0336B" w:rsidRPr="007A7F2B">
        <w:t>A</w:t>
      </w:r>
      <w:r w:rsidRPr="007A7F2B">
        <w:t>) which in this case remains</w:t>
      </w:r>
      <w:r w:rsidR="00C0336B" w:rsidRPr="007A7F2B">
        <w:t xml:space="preserve"> at least</w:t>
      </w:r>
      <w:r w:rsidRPr="007A7F2B">
        <w:t xml:space="preserve"> 0.100232. Looking at the results for the combinations of 3 concentration points gives an lower err</w:t>
      </w:r>
      <w:r w:rsidR="00C0336B" w:rsidRPr="007A7F2B">
        <w:t>or</w:t>
      </w:r>
      <w:r w:rsidRPr="007A7F2B">
        <w:t xml:space="preserve"> for the concentrations [1 </w:t>
      </w:r>
      <w:proofErr w:type="spellStart"/>
      <w:r w:rsidRPr="007A7F2B">
        <w:t>nM</w:t>
      </w:r>
      <w:proofErr w:type="spellEnd"/>
      <w:r w:rsidRPr="007A7F2B">
        <w:t xml:space="preserve">, 30 </w:t>
      </w:r>
      <w:proofErr w:type="spellStart"/>
      <w:r w:rsidRPr="007A7F2B">
        <w:t>nM</w:t>
      </w:r>
      <w:proofErr w:type="spellEnd"/>
      <w:r w:rsidRPr="007A7F2B">
        <w:t xml:space="preserve">, 100 </w:t>
      </w:r>
      <w:proofErr w:type="spellStart"/>
      <w:r w:rsidRPr="007A7F2B">
        <w:t>nM</w:t>
      </w:r>
      <w:proofErr w:type="spellEnd"/>
      <w:r w:rsidRPr="007A7F2B">
        <w:t xml:space="preserve">] </w:t>
      </w:r>
      <w:r w:rsidR="00C0336B" w:rsidRPr="007A7F2B">
        <w:t xml:space="preserve">(See </w:t>
      </w:r>
      <w:r w:rsidR="00C0336B" w:rsidRPr="007A7F2B">
        <w:fldChar w:fldCharType="begin"/>
      </w:r>
      <w:r w:rsidR="00C0336B" w:rsidRPr="007A7F2B">
        <w:instrText xml:space="preserve"> REF _Ref9596145 \h </w:instrText>
      </w:r>
      <w:r w:rsidR="00C0336B" w:rsidRPr="007A7F2B">
        <w:fldChar w:fldCharType="separate"/>
      </w:r>
      <w:r w:rsidR="00C16253" w:rsidRPr="007A7F2B">
        <w:t xml:space="preserve">Figure </w:t>
      </w:r>
      <w:r w:rsidR="00C16253">
        <w:rPr>
          <w:noProof/>
        </w:rPr>
        <w:t>9</w:t>
      </w:r>
      <w:r w:rsidR="00C0336B" w:rsidRPr="007A7F2B">
        <w:fldChar w:fldCharType="end"/>
      </w:r>
      <w:r w:rsidR="00C0336B" w:rsidRPr="007A7F2B">
        <w:t>B). This only gives an error of approximately 7.7% for all the strands that were tested (7395 in total) while we are using only 3 concentration points</w:t>
      </w:r>
      <w:r w:rsidR="00CA7780" w:rsidRPr="007A7F2B">
        <w:t>, or an error of 10% using 2 points.</w:t>
      </w:r>
    </w:p>
    <w:p w14:paraId="1ECDBCD2" w14:textId="77777777" w:rsidR="00C0336B" w:rsidRPr="007A7F2B" w:rsidRDefault="00C0336B" w:rsidP="00C0336B">
      <w:pPr>
        <w:keepNext/>
        <w:jc w:val="center"/>
      </w:pPr>
      <w:r w:rsidRPr="007A7F2B">
        <w:rPr>
          <w:b/>
        </w:rPr>
        <w:t xml:space="preserve">A </w:t>
      </w:r>
      <w:r w:rsidR="00BC5D18" w:rsidRPr="007A7F2B">
        <w:rPr>
          <w:noProof/>
        </w:rPr>
        <w:drawing>
          <wp:inline distT="0" distB="0" distL="0" distR="0" wp14:anchorId="6E7AF933" wp14:editId="26F6E693">
            <wp:extent cx="1385668" cy="1178357"/>
            <wp:effectExtent l="0" t="0" r="5080" b="317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98E811.tmp"/>
                    <pic:cNvPicPr/>
                  </pic:nvPicPr>
                  <pic:blipFill rotWithShape="1">
                    <a:blip r:embed="rId17">
                      <a:extLst>
                        <a:ext uri="{28A0092B-C50C-407E-A947-70E740481C1C}">
                          <a14:useLocalDpi xmlns:a14="http://schemas.microsoft.com/office/drawing/2010/main" val="0"/>
                        </a:ext>
                      </a:extLst>
                    </a:blip>
                    <a:srcRect l="14650"/>
                    <a:stretch/>
                  </pic:blipFill>
                  <pic:spPr bwMode="auto">
                    <a:xfrm>
                      <a:off x="0" y="0"/>
                      <a:ext cx="1405864" cy="1195531"/>
                    </a:xfrm>
                    <a:prstGeom prst="rect">
                      <a:avLst/>
                    </a:prstGeom>
                    <a:ln>
                      <a:noFill/>
                    </a:ln>
                    <a:extLst>
                      <a:ext uri="{53640926-AAD7-44D8-BBD7-CCE9431645EC}">
                        <a14:shadowObscured xmlns:a14="http://schemas.microsoft.com/office/drawing/2010/main"/>
                      </a:ext>
                    </a:extLst>
                  </pic:spPr>
                </pic:pic>
              </a:graphicData>
            </a:graphic>
          </wp:inline>
        </w:drawing>
      </w:r>
      <w:r w:rsidR="00BC5D18" w:rsidRPr="007A7F2B">
        <w:tab/>
      </w:r>
      <w:r w:rsidRPr="007A7F2B">
        <w:t xml:space="preserve"> </w:t>
      </w:r>
      <w:r w:rsidRPr="007A7F2B">
        <w:rPr>
          <w:b/>
        </w:rPr>
        <w:t xml:space="preserve">B </w:t>
      </w:r>
      <w:r w:rsidR="00BC5D18" w:rsidRPr="007A7F2B">
        <w:rPr>
          <w:noProof/>
        </w:rPr>
        <w:drawing>
          <wp:inline distT="0" distB="0" distL="0" distR="0" wp14:anchorId="50AC7057" wp14:editId="74944D60">
            <wp:extent cx="1645920" cy="1717057"/>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98B296.tmp"/>
                    <pic:cNvPicPr/>
                  </pic:nvPicPr>
                  <pic:blipFill rotWithShape="1">
                    <a:blip r:embed="rId18">
                      <a:extLst>
                        <a:ext uri="{28A0092B-C50C-407E-A947-70E740481C1C}">
                          <a14:useLocalDpi xmlns:a14="http://schemas.microsoft.com/office/drawing/2010/main" val="0"/>
                        </a:ext>
                      </a:extLst>
                    </a:blip>
                    <a:srcRect l="11517"/>
                    <a:stretch/>
                  </pic:blipFill>
                  <pic:spPr bwMode="auto">
                    <a:xfrm>
                      <a:off x="0" y="0"/>
                      <a:ext cx="1657280" cy="1728908"/>
                    </a:xfrm>
                    <a:prstGeom prst="rect">
                      <a:avLst/>
                    </a:prstGeom>
                    <a:ln>
                      <a:noFill/>
                    </a:ln>
                    <a:extLst>
                      <a:ext uri="{53640926-AAD7-44D8-BBD7-CCE9431645EC}">
                        <a14:shadowObscured xmlns:a14="http://schemas.microsoft.com/office/drawing/2010/main"/>
                      </a:ext>
                    </a:extLst>
                  </pic:spPr>
                </pic:pic>
              </a:graphicData>
            </a:graphic>
          </wp:inline>
        </w:drawing>
      </w:r>
    </w:p>
    <w:p w14:paraId="38993319" w14:textId="62E54D0A" w:rsidR="00C0336B" w:rsidRPr="007A7F2B" w:rsidRDefault="00C0336B" w:rsidP="00C0336B">
      <w:pPr>
        <w:pStyle w:val="Caption"/>
        <w:jc w:val="center"/>
      </w:pPr>
      <w:bookmarkStart w:id="29" w:name="_Ref9596145"/>
      <w:r w:rsidRPr="007A7F2B">
        <w:t xml:space="preserve">Figure </w:t>
      </w:r>
      <w:fldSimple w:instr=" SEQ Figure \* ARABIC ">
        <w:r w:rsidR="00C16253">
          <w:rPr>
            <w:noProof/>
          </w:rPr>
          <w:t>9</w:t>
        </w:r>
      </w:fldSimple>
      <w:bookmarkEnd w:id="29"/>
      <w:r w:rsidRPr="007A7F2B">
        <w:t>: A) The selected concentration combinations (Error&lt;0.2) for having 2 concentration points. B) The selected concentration combinations (Error&lt;0.1) for having 3 concentration points.</w:t>
      </w:r>
    </w:p>
    <w:p w14:paraId="13709AAE" w14:textId="31678E05" w:rsidR="00BC5D18" w:rsidRPr="007A7F2B" w:rsidRDefault="00CA7780" w:rsidP="00056150">
      <w:r w:rsidRPr="007A7F2B">
        <w:t xml:space="preserve">Trying a fit with only the 2 concentration points [10,100] results in an average fitting-time of 36,58 hours. Trying the one with 3 concentration points [1,30,100] results in a n average fitting-time of 23.93 hours. We think that the reason for the longer time with less concentration points is that it has the </w:t>
      </w:r>
      <w:proofErr w:type="spellStart"/>
      <w:r w:rsidRPr="007A7F2B">
        <w:t>curve_fit</w:t>
      </w:r>
      <w:proofErr w:type="spellEnd"/>
      <w:r w:rsidRPr="007A7F2B">
        <w:t>() function in python has more difficulties with fitting the Hill-curve through these points, resulting in the fact that this now becomes the most time expensive step and slowing down the fit.</w:t>
      </w:r>
    </w:p>
    <w:p w14:paraId="6CC02D41" w14:textId="1405BDD3" w:rsidR="00407EC6" w:rsidRPr="007A7F2B" w:rsidRDefault="00407EC6" w:rsidP="00056150">
      <w:r w:rsidRPr="007A7F2B">
        <w:t>On top of that, we could also see that the fit</w:t>
      </w:r>
      <w:r w:rsidR="005A792D" w:rsidRPr="007A7F2B">
        <w:t>s with less concentration points do perform a bit less</w:t>
      </w:r>
      <w:r w:rsidRPr="007A7F2B">
        <w:t xml:space="preserve"> </w:t>
      </w:r>
      <w:r w:rsidR="005A792D" w:rsidRPr="007A7F2B">
        <w:t xml:space="preserve">(See </w:t>
      </w:r>
      <w:r w:rsidR="005A792D" w:rsidRPr="007A7F2B">
        <w:fldChar w:fldCharType="begin"/>
      </w:r>
      <w:r w:rsidR="005A792D" w:rsidRPr="007A7F2B">
        <w:instrText xml:space="preserve"> REF _Ref9598053 \h </w:instrText>
      </w:r>
      <w:r w:rsidR="005A792D" w:rsidRPr="007A7F2B">
        <w:fldChar w:fldCharType="separate"/>
      </w:r>
      <w:r w:rsidR="00C16253" w:rsidRPr="007A7F2B">
        <w:t xml:space="preserve">Figure </w:t>
      </w:r>
      <w:r w:rsidR="00C16253">
        <w:rPr>
          <w:noProof/>
        </w:rPr>
        <w:t>10</w:t>
      </w:r>
      <w:r w:rsidR="005A792D" w:rsidRPr="007A7F2B">
        <w:fldChar w:fldCharType="end"/>
      </w:r>
      <w:r w:rsidR="005A792D" w:rsidRPr="007A7F2B">
        <w:t>) but do still get the overall pattern. This indicates that we can indeed use 3 concentration points for our fit.</w:t>
      </w:r>
    </w:p>
    <w:p w14:paraId="31F3C228" w14:textId="77777777" w:rsidR="005A792D" w:rsidRPr="007A7F2B" w:rsidRDefault="00407EC6" w:rsidP="005A792D">
      <w:pPr>
        <w:keepNext/>
        <w:jc w:val="center"/>
      </w:pPr>
      <w:r w:rsidRPr="007A7F2B">
        <w:rPr>
          <w:noProof/>
        </w:rPr>
        <w:drawing>
          <wp:inline distT="0" distB="0" distL="0" distR="0" wp14:anchorId="6B29B9D0" wp14:editId="5BA03DCB">
            <wp:extent cx="1863969" cy="1422079"/>
            <wp:effectExtent l="0" t="0" r="3175" b="6985"/>
            <wp:docPr id="15" name="Picture 15" descr="C:\Users\Diewertje\AppData\Local\Microsoft\Windows\INetCache\Content.MSO\9A866D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iewertje\AppData\Local\Microsoft\Windows\INetCache\Content.MSO\9A866D3F.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02521" cy="1451491"/>
                    </a:xfrm>
                    <a:prstGeom prst="rect">
                      <a:avLst/>
                    </a:prstGeom>
                    <a:noFill/>
                    <a:ln>
                      <a:noFill/>
                    </a:ln>
                  </pic:spPr>
                </pic:pic>
              </a:graphicData>
            </a:graphic>
          </wp:inline>
        </w:drawing>
      </w:r>
      <w:r w:rsidRPr="007A7F2B">
        <w:rPr>
          <w:noProof/>
        </w:rPr>
        <w:drawing>
          <wp:inline distT="0" distB="0" distL="0" distR="0" wp14:anchorId="70A32CD7" wp14:editId="05154D73">
            <wp:extent cx="1828800" cy="1395248"/>
            <wp:effectExtent l="0" t="0" r="0" b="0"/>
            <wp:docPr id="13" name="Picture 13" descr="C:\Users\Diewertje\AppData\Local\Microsoft\Windows\INetCache\Content.MSO\1F6335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iewertje\AppData\Local\Microsoft\Windows\INetCache\Content.MSO\1F633543.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96584" cy="1446963"/>
                    </a:xfrm>
                    <a:prstGeom prst="rect">
                      <a:avLst/>
                    </a:prstGeom>
                    <a:noFill/>
                    <a:ln>
                      <a:noFill/>
                    </a:ln>
                  </pic:spPr>
                </pic:pic>
              </a:graphicData>
            </a:graphic>
          </wp:inline>
        </w:drawing>
      </w:r>
      <w:r w:rsidRPr="007A7F2B">
        <w:rPr>
          <w:noProof/>
        </w:rPr>
        <w:drawing>
          <wp:inline distT="0" distB="0" distL="0" distR="0" wp14:anchorId="36113362" wp14:editId="36635EA3">
            <wp:extent cx="1856935" cy="1416713"/>
            <wp:effectExtent l="0" t="0" r="0" b="0"/>
            <wp:docPr id="12" name="Picture 12" descr="C:\Users\Diewertje\AppData\Local\Microsoft\Windows\INetCache\Content.MSO\4AEF49A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iewertje\AppData\Local\Microsoft\Windows\INetCache\Content.MSO\4AEF49AD.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23691" cy="1467643"/>
                    </a:xfrm>
                    <a:prstGeom prst="rect">
                      <a:avLst/>
                    </a:prstGeom>
                    <a:noFill/>
                    <a:ln>
                      <a:noFill/>
                    </a:ln>
                  </pic:spPr>
                </pic:pic>
              </a:graphicData>
            </a:graphic>
          </wp:inline>
        </w:drawing>
      </w:r>
    </w:p>
    <w:p w14:paraId="04761CA9" w14:textId="7D2E5908" w:rsidR="00407EC6" w:rsidRPr="007A7F2B" w:rsidRDefault="005A792D" w:rsidP="005A792D">
      <w:pPr>
        <w:pStyle w:val="Caption"/>
        <w:jc w:val="center"/>
      </w:pPr>
      <w:bookmarkStart w:id="30" w:name="_Ref9598053"/>
      <w:r w:rsidRPr="007A7F2B">
        <w:t xml:space="preserve">Figure </w:t>
      </w:r>
      <w:fldSimple w:instr=" SEQ Figure \* ARABIC ">
        <w:r w:rsidR="00C16253">
          <w:rPr>
            <w:noProof/>
          </w:rPr>
          <w:t>10</w:t>
        </w:r>
      </w:fldSimple>
      <w:bookmarkEnd w:id="30"/>
      <w:r w:rsidRPr="007A7F2B">
        <w:t>: The double mismatch heatmap for: A) 9 concnetration points, b) 2 concentration points, c) 3 concentration points</w:t>
      </w:r>
    </w:p>
    <w:p w14:paraId="70939425" w14:textId="65B8CA73" w:rsidR="00407EC6" w:rsidRPr="007A7F2B" w:rsidRDefault="005A792D" w:rsidP="005A792D">
      <w:pPr>
        <w:pStyle w:val="Heading1"/>
      </w:pPr>
      <w:bookmarkStart w:id="31" w:name="_Toc10029745"/>
      <w:r w:rsidRPr="007A7F2B">
        <w:lastRenderedPageBreak/>
        <w:t>Assuming equilibrium</w:t>
      </w:r>
      <w:bookmarkEnd w:id="31"/>
    </w:p>
    <w:p w14:paraId="2460E69E" w14:textId="693C81A9" w:rsidR="009A316B" w:rsidRPr="009A316B" w:rsidRDefault="009A316B" w:rsidP="005A792D">
      <w:r w:rsidRPr="009A316B">
        <w:t>Finkelstein et al. fit their experimental data to</w:t>
      </w:r>
      <w:r>
        <w:t xml:space="preserve"> the Hill-equation, which would actually only hold in equilibrium. Since we were mimicking their experiment with our fit, we did exactly the same: calculating (measuring) the </w:t>
      </w:r>
      <m:oMath>
        <m:sSub>
          <m:sSubPr>
            <m:ctrlPr>
              <w:rPr>
                <w:rFonts w:ascii="Cambria Math" w:hAnsi="Cambria Math"/>
                <w:i/>
              </w:rPr>
            </m:ctrlPr>
          </m:sSubPr>
          <m:e>
            <m:r>
              <w:rPr>
                <w:rFonts w:ascii="Cambria Math" w:hAnsi="Cambria Math"/>
              </w:rPr>
              <m:t>P</m:t>
            </m:r>
          </m:e>
          <m:sub>
            <m:r>
              <w:rPr>
                <w:rFonts w:ascii="Cambria Math" w:hAnsi="Cambria Math"/>
              </w:rPr>
              <m:t>bnd</m:t>
            </m:r>
          </m:sub>
        </m:sSub>
      </m:oMath>
      <w:r>
        <w:t xml:space="preserve"> at different concentration points and fit this to the Hill-curve. </w:t>
      </w:r>
    </w:p>
    <w:p w14:paraId="4EF9501F" w14:textId="1FEFE490" w:rsidR="009A316B" w:rsidRDefault="009A316B" w:rsidP="005A792D">
      <w:r>
        <w:t xml:space="preserve">In the derivation of the Hill-equation we saw that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is equal to the sum of the Boltzmann factors</w:t>
      </w:r>
      <w:r>
        <w:t xml:space="preserve"> (see equation …). Therefore, if equilibrium is actually reached, we can substitute this in the equation for ABA to obtain equation … . </w:t>
      </w:r>
    </w:p>
    <w:p w14:paraId="5677B21A" w14:textId="77777777" w:rsidR="009A316B" w:rsidRPr="00C66E83" w:rsidRDefault="009A316B" w:rsidP="009A316B">
      <m:oMathPara>
        <m:oMath>
          <m:r>
            <w:rPr>
              <w:rFonts w:ascii="Cambria Math" w:hAnsi="Cambria Math"/>
            </w:rPr>
            <m:t>ABA=</m:t>
          </m:r>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d</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0</m:t>
                                  </m:r>
                                </m:sup>
                              </m:sSubSup>
                            </m:sup>
                          </m:sSup>
                        </m:e>
                      </m:nary>
                    </m:den>
                  </m:f>
                </m:e>
              </m:d>
            </m:e>
          </m:func>
          <m:r>
            <w:rPr>
              <w:rFonts w:ascii="Cambria Math" w:hAnsi="Cambria Math"/>
            </w:rPr>
            <m:t>=</m:t>
          </m:r>
          <m:r>
            <m:rPr>
              <m:sty m:val="p"/>
            </m:rP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n=PAM</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n</m:t>
                              </m:r>
                            </m:sub>
                            <m:sup>
                              <m:r>
                                <w:rPr>
                                  <w:rFonts w:ascii="Cambria Math" w:hAnsi="Cambria Math"/>
                                </w:rPr>
                                <m:t>0</m:t>
                              </m:r>
                            </m:sup>
                          </m:sSubSup>
                        </m:sup>
                      </m:sSup>
                    </m:e>
                  </m:nary>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 xml:space="preserve"> </m:t>
                  </m:r>
                  <m:nary>
                    <m:naryPr>
                      <m:chr m:val="∑"/>
                      <m:supHide m:val="1"/>
                      <m:ctrlPr>
                        <w:rPr>
                          <w:rFonts w:ascii="Cambria Math" w:hAnsi="Cambria Math"/>
                          <w:i/>
                        </w:rPr>
                      </m:ctrlPr>
                    </m:naryPr>
                    <m:sub>
                      <m:r>
                        <w:rPr>
                          <w:rFonts w:ascii="Cambria Math" w:hAnsi="Cambria Math"/>
                        </w:rPr>
                        <m:t>i=bound state</m:t>
                      </m:r>
                    </m:sub>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sup>
                      </m:sSup>
                    </m:e>
                  </m:nary>
                </m:e>
              </m:d>
            </m:e>
          </m:func>
        </m:oMath>
      </m:oMathPara>
    </w:p>
    <w:p w14:paraId="162E53E9" w14:textId="77777777" w:rsidR="003C620A" w:rsidRDefault="009A316B" w:rsidP="005A792D">
      <w:r>
        <w:t>With this expression we can immediately calculate the ABA from the energies that we can obtain directly from the parameters. Therefore there is no need anymore to do the calculation with the rate matrix (equation …) and the fitting to the Hill-curve (</w:t>
      </w:r>
      <w:proofErr w:type="spellStart"/>
      <w:r>
        <w:t>eq</w:t>
      </w:r>
      <w:proofErr w:type="spellEnd"/>
      <w:r>
        <w:t xml:space="preserve"> …), which will make the fit a lot faster. </w:t>
      </w:r>
    </w:p>
    <w:p w14:paraId="1874FC8E" w14:textId="77777777" w:rsidR="003C620A" w:rsidRDefault="003C620A" w:rsidP="005A792D"/>
    <w:p w14:paraId="1AA2DF0D" w14:textId="618DD36B" w:rsidR="003C620A" w:rsidRDefault="003C620A" w:rsidP="005A792D">
      <w:r w:rsidRPr="003267AE">
        <w:rPr>
          <w:highlight w:val="yellow"/>
        </w:rPr>
        <w:t>CANT WE TAKE THE PARAMETERS AND CALCULATE ABA IN BOTH WAYS AND THEREBY SAY IF EQUILIBRIUM IS REACHED OR NOT???</w:t>
      </w:r>
    </w:p>
    <w:p w14:paraId="12649FBD" w14:textId="3A44F705" w:rsidR="009A316B" w:rsidRDefault="003C620A" w:rsidP="005A792D">
      <w:r>
        <w:t>By enforcing equilibrium in this way, we will immediately know if equilibrium is actually reached, by comparing this result</w:t>
      </w:r>
      <w:r w:rsidR="003267AE">
        <w:t xml:space="preserve">s. </w:t>
      </w:r>
    </w:p>
    <w:p w14:paraId="51269535" w14:textId="77777777" w:rsidR="003C620A" w:rsidRDefault="003C620A" w:rsidP="005A792D"/>
    <w:p w14:paraId="4AE7AC30" w14:textId="7D3764E5" w:rsidR="009A316B" w:rsidRDefault="003C620A" w:rsidP="005A792D">
      <w:r>
        <w:t xml:space="preserve">The results </w:t>
      </w:r>
      <w:proofErr w:type="spellStart"/>
      <w:r>
        <w:t>form</w:t>
      </w:r>
      <w:proofErr w:type="spellEnd"/>
      <w:r>
        <w:t xml:space="preserve"> the fits….</w:t>
      </w:r>
    </w:p>
    <w:p w14:paraId="44518E6C" w14:textId="0307BE45" w:rsidR="00146FD3" w:rsidRPr="007A7F2B" w:rsidRDefault="00146FD3" w:rsidP="005A792D">
      <w:r w:rsidRPr="007A7F2B">
        <w:t>…</w:t>
      </w:r>
    </w:p>
    <w:p w14:paraId="3E009243" w14:textId="544D0B8A" w:rsidR="005A792D" w:rsidRPr="007A7F2B" w:rsidRDefault="005A792D" w:rsidP="005A792D">
      <w:r w:rsidRPr="007A7F2B">
        <w:t>Comparing the fit with and without equilibrium</w:t>
      </w:r>
      <w:r w:rsidR="008F754F" w:rsidRPr="007A7F2B">
        <w:t>:</w:t>
      </w:r>
    </w:p>
    <w:p w14:paraId="700D51E7" w14:textId="77777777" w:rsidR="00146FD3" w:rsidRPr="007A7F2B" w:rsidRDefault="008F754F" w:rsidP="005A792D">
      <w:pPr>
        <w:pStyle w:val="ListParagraph"/>
        <w:numPr>
          <w:ilvl w:val="0"/>
          <w:numId w:val="12"/>
        </w:numPr>
      </w:pPr>
      <w:r w:rsidRPr="007A7F2B">
        <w:t>What happens is that it just throws landscape up a lot. So it has higher rates, so it can still overcome it.</w:t>
      </w:r>
    </w:p>
    <w:p w14:paraId="6E85029C" w14:textId="1471E28F" w:rsidR="005A792D" w:rsidRPr="007A7F2B" w:rsidRDefault="008F754F" w:rsidP="005A792D">
      <w:pPr>
        <w:pStyle w:val="ListParagraph"/>
        <w:numPr>
          <w:ilvl w:val="0"/>
          <w:numId w:val="12"/>
        </w:numPr>
      </w:pPr>
      <w:r w:rsidRPr="007A7F2B">
        <w:t>Can equilibrium be assumed?</w:t>
      </w:r>
    </w:p>
    <w:p w14:paraId="08C56B1F" w14:textId="18AB32B8" w:rsidR="00BC5D18" w:rsidRPr="007A7F2B" w:rsidRDefault="00BC5D18" w:rsidP="00056150"/>
    <w:p w14:paraId="7AC587FE" w14:textId="6FE2254F" w:rsidR="00BC5D18" w:rsidRPr="007A7F2B" w:rsidRDefault="008F754F" w:rsidP="008F754F">
      <w:pPr>
        <w:pStyle w:val="Heading1"/>
      </w:pPr>
      <w:bookmarkStart w:id="32" w:name="_Toc10029746"/>
      <w:r w:rsidRPr="007A7F2B">
        <w:t>Comparison to Boyle</w:t>
      </w:r>
      <w:bookmarkEnd w:id="32"/>
    </w:p>
    <w:p w14:paraId="51BE4847" w14:textId="308ABCF9" w:rsidR="008F754F" w:rsidRPr="007A7F2B" w:rsidRDefault="008F754F" w:rsidP="008F754F">
      <w:r w:rsidRPr="007A7F2B">
        <w:t>….</w:t>
      </w:r>
    </w:p>
    <w:p w14:paraId="558061B1" w14:textId="393096D9" w:rsidR="008F754F" w:rsidRPr="007A7F2B" w:rsidRDefault="008F754F" w:rsidP="008F754F"/>
    <w:p w14:paraId="1817CA9E" w14:textId="63C4C352" w:rsidR="008F754F" w:rsidRPr="007A7F2B" w:rsidRDefault="008F754F" w:rsidP="008F754F"/>
    <w:p w14:paraId="0E861C46" w14:textId="77777777" w:rsidR="008F754F" w:rsidRPr="007A7F2B" w:rsidRDefault="008F754F" w:rsidP="008F754F"/>
    <w:p w14:paraId="6970D1BA" w14:textId="1924253E" w:rsidR="002A0E52" w:rsidRPr="007A7F2B" w:rsidRDefault="002A0E52" w:rsidP="002A0E52">
      <w:r w:rsidRPr="007A7F2B">
        <w:t>2 state model idea behind the rates</w:t>
      </w:r>
      <w:r w:rsidR="00062507" w:rsidRPr="007A7F2B">
        <w:t xml:space="preserve"> ???</w:t>
      </w:r>
    </w:p>
    <w:p w14:paraId="744678C8" w14:textId="4E94949B" w:rsidR="00D33D7B" w:rsidRPr="007A7F2B" w:rsidRDefault="00D33D7B" w:rsidP="00D33D7B"/>
    <w:p w14:paraId="33ADEB31" w14:textId="77777777" w:rsidR="008F754F" w:rsidRPr="007A7F2B" w:rsidRDefault="008F754F">
      <w:pPr>
        <w:rPr>
          <w:smallCaps/>
          <w:color w:val="262626" w:themeColor="text1" w:themeTint="D9"/>
          <w:sz w:val="52"/>
          <w:szCs w:val="52"/>
        </w:rPr>
      </w:pPr>
      <w:r w:rsidRPr="007A7F2B">
        <w:br w:type="page"/>
      </w:r>
    </w:p>
    <w:p w14:paraId="3515D334" w14:textId="49F76A18" w:rsidR="00D33D7B" w:rsidRPr="007A7F2B" w:rsidRDefault="00062507" w:rsidP="00062507">
      <w:pPr>
        <w:pStyle w:val="Title"/>
      </w:pPr>
      <w:bookmarkStart w:id="33" w:name="_Toc10029747"/>
      <w:r w:rsidRPr="007A7F2B">
        <w:lastRenderedPageBreak/>
        <w:t>Derived properties of Cas12</w:t>
      </w:r>
      <w:bookmarkEnd w:id="33"/>
      <w:r w:rsidR="00D33D7B" w:rsidRPr="007A7F2B">
        <w:br w:type="page"/>
      </w:r>
    </w:p>
    <w:p w14:paraId="5A85BFF9" w14:textId="319D70A0" w:rsidR="00277EDA" w:rsidRPr="007A7F2B" w:rsidRDefault="00277EDA" w:rsidP="00086587">
      <w:r w:rsidRPr="007A7F2B">
        <w:lastRenderedPageBreak/>
        <w:t>For in the introduction:</w:t>
      </w:r>
    </w:p>
    <w:p w14:paraId="302B8127" w14:textId="77777777" w:rsidR="00277EDA" w:rsidRPr="007A7F2B" w:rsidRDefault="00277EDA" w:rsidP="00277EDA">
      <w:pPr>
        <w:rPr>
          <w:rStyle w:val="Hyperlink"/>
          <w:color w:val="auto"/>
          <w:u w:val="none"/>
        </w:rPr>
      </w:pPr>
      <w:r w:rsidRPr="007A7F2B">
        <w:rPr>
          <w:rStyle w:val="Hyperlink"/>
          <w:color w:val="auto"/>
          <w:u w:val="none"/>
        </w:rPr>
        <w:t>conformational changes: ???? (other article Misha talked about?)</w:t>
      </w:r>
    </w:p>
    <w:p w14:paraId="10068160" w14:textId="3B500B63" w:rsidR="00277EDA" w:rsidRPr="007A7F2B" w:rsidRDefault="00846B30" w:rsidP="00277EDA">
      <w:pPr>
        <w:rPr>
          <w:rStyle w:val="Hyperlink"/>
          <w:color w:val="auto"/>
          <w:u w:val="none"/>
        </w:rPr>
      </w:pPr>
      <w:hyperlink r:id="rId22" w:history="1">
        <w:r w:rsidR="00277EDA" w:rsidRPr="007A7F2B">
          <w:rPr>
            <w:rStyle w:val="Hyperlink"/>
          </w:rPr>
          <w:t>https://www.annualreviews.org/doi/full/10.1146/annurev-biophys-062215-010822?url_ver=Z39.88-2003&amp;rfr_id=ori%3Arid%3Acrossref.org&amp;rfr_dat=cr_pub%3Dpubmed</w:t>
        </w:r>
      </w:hyperlink>
      <w:r w:rsidR="00277EDA" w:rsidRPr="007A7F2B">
        <w:rPr>
          <w:rStyle w:val="Hyperlink"/>
          <w:color w:val="auto"/>
          <w:u w:val="none"/>
        </w:rPr>
        <w:t xml:space="preserve"> </w:t>
      </w:r>
    </w:p>
    <w:p w14:paraId="649DE8EF" w14:textId="77777777" w:rsidR="00277EDA" w:rsidRPr="007A7F2B" w:rsidRDefault="00277EDA" w:rsidP="00277EDA">
      <w:pPr>
        <w:pStyle w:val="ListParagraph"/>
        <w:numPr>
          <w:ilvl w:val="0"/>
          <w:numId w:val="9"/>
        </w:numPr>
        <w:rPr>
          <w:color w:val="262626" w:themeColor="text1" w:themeTint="D9"/>
          <w:szCs w:val="52"/>
        </w:rPr>
      </w:pPr>
      <w:r w:rsidRPr="007A7F2B">
        <w:t>Loading guide RNA to cas9 complex (big)</w:t>
      </w:r>
    </w:p>
    <w:p w14:paraId="18FE0759" w14:textId="77777777" w:rsidR="00277EDA" w:rsidRPr="007A7F2B" w:rsidRDefault="00277EDA" w:rsidP="00277EDA">
      <w:pPr>
        <w:pStyle w:val="ListParagraph"/>
        <w:numPr>
          <w:ilvl w:val="0"/>
          <w:numId w:val="9"/>
        </w:numPr>
        <w:rPr>
          <w:color w:val="262626" w:themeColor="text1" w:themeTint="D9"/>
          <w:szCs w:val="52"/>
        </w:rPr>
      </w:pPr>
      <w:r w:rsidRPr="007A7F2B">
        <w:t>Upon binding to target DNA and PAM sequence (small)</w:t>
      </w:r>
    </w:p>
    <w:p w14:paraId="646C91BC" w14:textId="77777777" w:rsidR="00277EDA" w:rsidRPr="007A7F2B" w:rsidRDefault="00277EDA" w:rsidP="00277EDA">
      <w:r w:rsidRPr="007A7F2B">
        <w:t>Model, see site + figure 6 on site.</w:t>
      </w:r>
    </w:p>
    <w:p w14:paraId="341FC02D" w14:textId="77777777" w:rsidR="00277EDA" w:rsidRPr="007A7F2B" w:rsidRDefault="00277EDA" w:rsidP="00277EDA">
      <w:r w:rsidRPr="007A7F2B">
        <w:t>So if binding with target DNA and PAM sequence is only small, we do not take this into account. Our model starts from already loaded Cas9.</w:t>
      </w:r>
    </w:p>
    <w:p w14:paraId="7FF68A7B" w14:textId="411C40E2" w:rsidR="00277EDA" w:rsidRPr="007A7F2B" w:rsidRDefault="00277EDA" w:rsidP="00277EDA">
      <w:r w:rsidRPr="007A7F2B">
        <w:t>So only big difference with Zhang is the binding to PAM??</w:t>
      </w:r>
    </w:p>
    <w:p w14:paraId="09042C7A" w14:textId="77777777" w:rsidR="004D7589" w:rsidRPr="007A7F2B" w:rsidRDefault="004D7589"/>
    <w:p w14:paraId="0BFDF873" w14:textId="77777777" w:rsidR="004D7589" w:rsidRPr="007A7F2B" w:rsidRDefault="004D7589"/>
    <w:p w14:paraId="139219C4" w14:textId="3A9B5044" w:rsidR="004B1EFB" w:rsidRPr="007A7F2B" w:rsidRDefault="004D7589">
      <w:r w:rsidRPr="007A7F2B">
        <w:t>MATHTYPE</w:t>
      </w:r>
      <w:r w:rsidR="004B1EFB" w:rsidRPr="007A7F2B">
        <w:br w:type="page"/>
      </w:r>
    </w:p>
    <w:p w14:paraId="7971D716" w14:textId="6FAB4E72" w:rsidR="004B1EFB" w:rsidRPr="007A7F2B" w:rsidRDefault="004B1EFB" w:rsidP="004B1EFB">
      <w:pPr>
        <w:pStyle w:val="Title"/>
      </w:pPr>
      <w:bookmarkStart w:id="34" w:name="_Toc10029748"/>
      <w:r w:rsidRPr="007A7F2B">
        <w:lastRenderedPageBreak/>
        <w:t>Bibliography</w:t>
      </w:r>
      <w:bookmarkEnd w:id="34"/>
      <w:r w:rsidRPr="007A7F2B">
        <w:t xml:space="preserve"> </w:t>
      </w:r>
    </w:p>
    <w:p w14:paraId="5D04F44E" w14:textId="14F5FBBB" w:rsidR="002E5DD7" w:rsidRPr="002E5DD7" w:rsidRDefault="004B1EFB" w:rsidP="002E5DD7">
      <w:pPr>
        <w:widowControl w:val="0"/>
        <w:autoSpaceDE w:val="0"/>
        <w:autoSpaceDN w:val="0"/>
        <w:adjustRightInd w:val="0"/>
        <w:spacing w:line="240" w:lineRule="auto"/>
        <w:ind w:left="640" w:hanging="640"/>
        <w:rPr>
          <w:rFonts w:ascii="Calibri" w:hAnsi="Calibri" w:cs="Calibri"/>
          <w:noProof/>
          <w:szCs w:val="24"/>
        </w:rPr>
      </w:pPr>
      <w:r w:rsidRPr="007A7F2B">
        <w:fldChar w:fldCharType="begin" w:fldLock="1"/>
      </w:r>
      <w:r w:rsidRPr="007A7F2B">
        <w:instrText xml:space="preserve">ADDIN Mendeley Bibliography CSL_BIBLIOGRAPHY </w:instrText>
      </w:r>
      <w:r w:rsidRPr="007A7F2B">
        <w:fldChar w:fldCharType="separate"/>
      </w:r>
      <w:r w:rsidR="002E5DD7" w:rsidRPr="002E5DD7">
        <w:rPr>
          <w:rFonts w:ascii="Calibri" w:hAnsi="Calibri" w:cs="Calibri"/>
          <w:noProof/>
          <w:szCs w:val="24"/>
        </w:rPr>
        <w:t xml:space="preserve">1. </w:t>
      </w:r>
      <w:r w:rsidR="002E5DD7" w:rsidRPr="002E5DD7">
        <w:rPr>
          <w:rFonts w:ascii="Calibri" w:hAnsi="Calibri" w:cs="Calibri"/>
          <w:noProof/>
          <w:szCs w:val="24"/>
        </w:rPr>
        <w:tab/>
        <w:t xml:space="preserve">Lovell-Badge R. CRISPR babies: a view from the centre of the storm. Development. 2019; </w:t>
      </w:r>
    </w:p>
    <w:p w14:paraId="221D38AB"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2. </w:t>
      </w:r>
      <w:r w:rsidRPr="002E5DD7">
        <w:rPr>
          <w:rFonts w:ascii="Calibri" w:hAnsi="Calibri" w:cs="Calibri"/>
          <w:noProof/>
          <w:szCs w:val="24"/>
        </w:rPr>
        <w:tab/>
        <w:t xml:space="preserve">Quiberoni A, Moineau S, Rousseau GM, Reinheimer J, Ackermann HW. Streptococcus thermophilus bacteriophages. International Dairy Journal. 2010. </w:t>
      </w:r>
    </w:p>
    <w:p w14:paraId="5613B3EA"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3. </w:t>
      </w:r>
      <w:r w:rsidRPr="002E5DD7">
        <w:rPr>
          <w:rFonts w:ascii="Calibri" w:hAnsi="Calibri" w:cs="Calibri"/>
          <w:noProof/>
          <w:szCs w:val="24"/>
        </w:rPr>
        <w:tab/>
        <w:t xml:space="preserve">Horvath P, Romero DA, Coûté-Monvoisin AC, Richards M, Deveau H, Moineau S, et al. Diversity, activity, and evolution of CRISPR loci in Streptococcus thermophilus. J Bacteriol. 2008; </w:t>
      </w:r>
    </w:p>
    <w:p w14:paraId="4CE9EFE6"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4. </w:t>
      </w:r>
      <w:r w:rsidRPr="002E5DD7">
        <w:rPr>
          <w:rFonts w:ascii="Calibri" w:hAnsi="Calibri" w:cs="Calibri"/>
          <w:noProof/>
          <w:szCs w:val="24"/>
        </w:rPr>
        <w:tab/>
        <w:t xml:space="preserve">Sander JD, Joung JK. CRISPR-Cas systems for editing, regulating and targeting genomes. Nat Biotechnol. 2014; </w:t>
      </w:r>
    </w:p>
    <w:p w14:paraId="45A526DE"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5. </w:t>
      </w:r>
      <w:r w:rsidRPr="002E5DD7">
        <w:rPr>
          <w:rFonts w:ascii="Calibri" w:hAnsi="Calibri" w:cs="Calibri"/>
          <w:noProof/>
          <w:szCs w:val="24"/>
        </w:rPr>
        <w:tab/>
        <w:t xml:space="preserve">Chen B, Gilbert LA, Cimini BA, Schnitzbauer J, Zhang W, Li GW, et al. Dynamic imaging of genomic loci in living human cells by an optimized CRISPR/Cas system. Cell. 2013; </w:t>
      </w:r>
    </w:p>
    <w:p w14:paraId="6BD0E418"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6. </w:t>
      </w:r>
      <w:r w:rsidRPr="002E5DD7">
        <w:rPr>
          <w:rFonts w:ascii="Calibri" w:hAnsi="Calibri" w:cs="Calibri"/>
          <w:noProof/>
          <w:szCs w:val="24"/>
        </w:rPr>
        <w:tab/>
        <w:t xml:space="preserve">Wang H, Yang H, Shivalila CS, Dawlaty MM, Cheng AW, Zhang F, et al. One-step generation of mice carrying mutations in multiple genes by CRISPR/cas-mediated genome engineering. Cell. 2013; </w:t>
      </w:r>
    </w:p>
    <w:p w14:paraId="47CB5791"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7. </w:t>
      </w:r>
      <w:r w:rsidRPr="002E5DD7">
        <w:rPr>
          <w:rFonts w:ascii="Calibri" w:hAnsi="Calibri" w:cs="Calibri"/>
          <w:noProof/>
          <w:szCs w:val="24"/>
        </w:rPr>
        <w:tab/>
        <w:t xml:space="preserve">Li W, Teng F, Li T, Zhou Q. Simultaneous generation and germline transmission of multiple gene mutations in rat using CRISPR-Cas systems. Nat Biotechnol. 2013; </w:t>
      </w:r>
    </w:p>
    <w:p w14:paraId="5EEB306A"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8. </w:t>
      </w:r>
      <w:r w:rsidRPr="002E5DD7">
        <w:rPr>
          <w:rFonts w:ascii="Calibri" w:hAnsi="Calibri" w:cs="Calibri"/>
          <w:noProof/>
          <w:szCs w:val="24"/>
        </w:rPr>
        <w:tab/>
        <w:t xml:space="preserve">Wang T, Wei JJ, Sabatini DM, Lander ES. Genetic screens in human cells using the CRISPR-Cas9 system. BMJ Support Palliat Care. 2012; </w:t>
      </w:r>
    </w:p>
    <w:p w14:paraId="7FAD2B12"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9. </w:t>
      </w:r>
      <w:r w:rsidRPr="002E5DD7">
        <w:rPr>
          <w:rFonts w:ascii="Calibri" w:hAnsi="Calibri" w:cs="Calibri"/>
          <w:noProof/>
          <w:szCs w:val="24"/>
        </w:rPr>
        <w:tab/>
        <w:t xml:space="preserve">Shalem O, Sanjana NE, Hartenian E, Shi X, Scott DA, Mikkelsen TS, et al. Genome-scale CRISPR-Cas9 knockout screening in human cells. Science (80- ). 2014; </w:t>
      </w:r>
    </w:p>
    <w:p w14:paraId="315A4634"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10. </w:t>
      </w:r>
      <w:r w:rsidRPr="002E5DD7">
        <w:rPr>
          <w:rFonts w:ascii="Calibri" w:hAnsi="Calibri" w:cs="Calibri"/>
          <w:noProof/>
          <w:szCs w:val="24"/>
        </w:rPr>
        <w:tab/>
        <w:t xml:space="preserve">Citorik RJ, Mimee M, Lu TK. Sequence-specific antimicrobials using efficiently delivered RNA-guided nucleases. Nat Biotechnol. 2014; </w:t>
      </w:r>
    </w:p>
    <w:p w14:paraId="6F440BAF"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11. </w:t>
      </w:r>
      <w:r w:rsidRPr="002E5DD7">
        <w:rPr>
          <w:rFonts w:ascii="Calibri" w:hAnsi="Calibri" w:cs="Calibri"/>
          <w:noProof/>
          <w:szCs w:val="24"/>
        </w:rPr>
        <w:tab/>
        <w:t xml:space="preserve">Hille F, Richter H, Wong SP, Bratovič M, Ressel S, Charpentier E. The Biology of CRISPR-Cas: Backward and Forward. Cell. 2018; </w:t>
      </w:r>
    </w:p>
    <w:p w14:paraId="20812DC4"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12. </w:t>
      </w:r>
      <w:r w:rsidRPr="002E5DD7">
        <w:rPr>
          <w:rFonts w:ascii="Calibri" w:hAnsi="Calibri" w:cs="Calibri"/>
          <w:noProof/>
          <w:szCs w:val="24"/>
        </w:rPr>
        <w:tab/>
        <w:t xml:space="preserve">Barrangou R, Fremaux C, Deveau H, Richards M, Boyaval P, Moineau S, et al. CRISPR provides acquired resistance against viruses in prokaryotes. Science (80- ). 2007; </w:t>
      </w:r>
    </w:p>
    <w:p w14:paraId="16C56EFB"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13. </w:t>
      </w:r>
      <w:r w:rsidRPr="002E5DD7">
        <w:rPr>
          <w:rFonts w:ascii="Calibri" w:hAnsi="Calibri" w:cs="Calibri"/>
          <w:noProof/>
          <w:szCs w:val="24"/>
        </w:rPr>
        <w:tab/>
        <w:t xml:space="preserve">Garneau JE, Dupuis M-È, Villion M, Romero DA, Barrangou R, Boyaval P, et al. The CRISPR/Cas bacterial immune system cleaves bacteriophage and plasmid DNA. Nature. 2010; </w:t>
      </w:r>
    </w:p>
    <w:p w14:paraId="2F3F3E32"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14. </w:t>
      </w:r>
      <w:r w:rsidRPr="002E5DD7">
        <w:rPr>
          <w:rFonts w:ascii="Calibri" w:hAnsi="Calibri" w:cs="Calibri"/>
          <w:noProof/>
          <w:szCs w:val="24"/>
        </w:rPr>
        <w:tab/>
        <w:t xml:space="preserve">Makarova KS, Haft DH, Barrangou R, Brouns SJJ, Charpentier E, Horvath P, et al. Evolution and classification of the CRISPR-Cas systems. Nature Reviews Microbiology. 2011. </w:t>
      </w:r>
    </w:p>
    <w:p w14:paraId="2841C1AF"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15. </w:t>
      </w:r>
      <w:r w:rsidRPr="002E5DD7">
        <w:rPr>
          <w:rFonts w:ascii="Calibri" w:hAnsi="Calibri" w:cs="Calibri"/>
          <w:noProof/>
          <w:szCs w:val="24"/>
        </w:rPr>
        <w:tab/>
        <w:t xml:space="preserve">Rudin N, Sugarman E, Haber JE. Genetic and physical analysis of double-strand break repair and recombination in Saccharomyces cerevisiae. Genetics. 1989; </w:t>
      </w:r>
    </w:p>
    <w:p w14:paraId="7DB00EEB"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16. </w:t>
      </w:r>
      <w:r w:rsidRPr="002E5DD7">
        <w:rPr>
          <w:rFonts w:ascii="Calibri" w:hAnsi="Calibri" w:cs="Calibri"/>
          <w:noProof/>
          <w:szCs w:val="24"/>
        </w:rPr>
        <w:tab/>
        <w:t xml:space="preserve">Plessis A, Perrin A, Haber JE, Dujon B. Site-specific recombination determined by I-SceI, a mitochondrial group I intron-encoded endonuclease expressed in the yeast nucleus. Genetics. 1992; </w:t>
      </w:r>
    </w:p>
    <w:p w14:paraId="66393DFC"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17. </w:t>
      </w:r>
      <w:r w:rsidRPr="002E5DD7">
        <w:rPr>
          <w:rFonts w:ascii="Calibri" w:hAnsi="Calibri" w:cs="Calibri"/>
          <w:noProof/>
          <w:szCs w:val="24"/>
        </w:rPr>
        <w:tab/>
        <w:t xml:space="preserve">Rouet P, Smih F, Jasin M. Introduction of double-strand breaks into the genome of mouse cells by expression of a rare-cutting endonuclease. Mol Cell Biol. 1994; </w:t>
      </w:r>
    </w:p>
    <w:p w14:paraId="3D0BED0D"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18. </w:t>
      </w:r>
      <w:r w:rsidRPr="002E5DD7">
        <w:rPr>
          <w:rFonts w:ascii="Calibri" w:hAnsi="Calibri" w:cs="Calibri"/>
          <w:noProof/>
          <w:szCs w:val="24"/>
        </w:rPr>
        <w:tab/>
        <w:t xml:space="preserve">Bibikova M, Carroll D, Segal DJ, Trautman JK, Smith J, Kim Y-G, et al. Stimulation of Homologous Recombination through Targeted Cleavage by Chimeric Nucleases. Mol Cell Biol. 2002; </w:t>
      </w:r>
    </w:p>
    <w:p w14:paraId="0D91D2E8"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19. </w:t>
      </w:r>
      <w:r w:rsidRPr="002E5DD7">
        <w:rPr>
          <w:rFonts w:ascii="Calibri" w:hAnsi="Calibri" w:cs="Calibri"/>
          <w:noProof/>
          <w:szCs w:val="24"/>
        </w:rPr>
        <w:tab/>
        <w:t xml:space="preserve">Choulika A, Perrin A, Dujon B, Nicolas JF. Induction of homologous recombination in mammalian chromosomes by using the I-SceI system of Saccharomyces cerevisiae. Mol Cell Biol. 1995; </w:t>
      </w:r>
    </w:p>
    <w:p w14:paraId="2E54D730"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20. </w:t>
      </w:r>
      <w:r w:rsidRPr="002E5DD7">
        <w:rPr>
          <w:rFonts w:ascii="Calibri" w:hAnsi="Calibri" w:cs="Calibri"/>
          <w:noProof/>
          <w:szCs w:val="24"/>
        </w:rPr>
        <w:tab/>
        <w:t xml:space="preserve">Hsu PD, Lander ES, Zhang F. Development and applications of CRISPR-Cas9 for genome engineering. Cell. </w:t>
      </w:r>
      <w:r w:rsidRPr="002E5DD7">
        <w:rPr>
          <w:rFonts w:ascii="Calibri" w:hAnsi="Calibri" w:cs="Calibri"/>
          <w:noProof/>
          <w:szCs w:val="24"/>
        </w:rPr>
        <w:lastRenderedPageBreak/>
        <w:t xml:space="preserve">2014. </w:t>
      </w:r>
    </w:p>
    <w:p w14:paraId="07D01C2A"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21. </w:t>
      </w:r>
      <w:r w:rsidRPr="002E5DD7">
        <w:rPr>
          <w:rFonts w:ascii="Calibri" w:hAnsi="Calibri" w:cs="Calibri"/>
          <w:noProof/>
          <w:szCs w:val="24"/>
        </w:rPr>
        <w:tab/>
        <w:t xml:space="preserve">Haustein V, Schumacher U. A dynamic model for tumour growth and metastasis formation. J Clin Bioinforma. 2012;2(1):1–11. </w:t>
      </w:r>
    </w:p>
    <w:p w14:paraId="55D534EC"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22. </w:t>
      </w:r>
      <w:r w:rsidRPr="002E5DD7">
        <w:rPr>
          <w:rFonts w:ascii="Calibri" w:hAnsi="Calibri" w:cs="Calibri"/>
          <w:noProof/>
          <w:szCs w:val="24"/>
        </w:rPr>
        <w:tab/>
        <w:t xml:space="preserve">Hsu PD, Scott DA, Weinstein JA, Ran FA, Konermann S, Agarwala V, et al. DNA targeting specificity of RNA-guided Cas9 nucleases. Nat Biotechnol. 2013; </w:t>
      </w:r>
    </w:p>
    <w:p w14:paraId="6F5C2E61"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23. </w:t>
      </w:r>
      <w:r w:rsidRPr="002E5DD7">
        <w:rPr>
          <w:rFonts w:ascii="Calibri" w:hAnsi="Calibri" w:cs="Calibri"/>
          <w:noProof/>
          <w:szCs w:val="24"/>
        </w:rPr>
        <w:tab/>
        <w:t xml:space="preserve">Mali P, Aach J, Stranges PB, Esvelt KM, Moosburner M, Kosuri S, et al. CAS9 transcriptional activators for target specificity screening and paired nickases for cooperative genome engineering. Nat Biotechnol. 2013; </w:t>
      </w:r>
    </w:p>
    <w:p w14:paraId="3E6C279D"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24. </w:t>
      </w:r>
      <w:r w:rsidRPr="002E5DD7">
        <w:rPr>
          <w:rFonts w:ascii="Calibri" w:hAnsi="Calibri" w:cs="Calibri"/>
          <w:noProof/>
          <w:szCs w:val="24"/>
        </w:rPr>
        <w:tab/>
        <w:t xml:space="preserve">Pattanayak V, Lin S, Guilinger JP, Ma E, Doudna JA, Liu DR. High-throughput profiling of off-target DNA cleavage reveals RNA-programmed Cas9 nuclease specificity. Nat Biotechnol. 2013; </w:t>
      </w:r>
    </w:p>
    <w:p w14:paraId="56388CEC"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25. </w:t>
      </w:r>
      <w:r w:rsidRPr="002E5DD7">
        <w:rPr>
          <w:rFonts w:ascii="Calibri" w:hAnsi="Calibri" w:cs="Calibri"/>
          <w:noProof/>
          <w:szCs w:val="24"/>
        </w:rPr>
        <w:tab/>
        <w:t xml:space="preserve">Boyle EA, Andreasson JOL, Chircus LM, Sternberg SH, Wu MJ, Guegler CK, et al. High-throughput biochemical profiling reveals sequence determinants of dCas9 off-target binding and unbinding. Proc Natl Acad Sci. 2017;114(21):5461–6. </w:t>
      </w:r>
    </w:p>
    <w:p w14:paraId="5283203C"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26. </w:t>
      </w:r>
      <w:r w:rsidRPr="002E5DD7">
        <w:rPr>
          <w:rFonts w:ascii="Calibri" w:hAnsi="Calibri" w:cs="Calibri"/>
          <w:noProof/>
          <w:szCs w:val="24"/>
        </w:rPr>
        <w:tab/>
        <w:t>Jung C, Hawkins JA, Jones SK, Xiao Y, Rybarski JR, Dillard KE, et al. Massively Parallel Biophysical Analysis of CRISPR-Cas Complexes on Next Generation Sequencing Chips. Cell [Internet]. 2017;170(1):35–47.e13. Available from: http://dx.doi.org/10.1016/j.cell.2017.05.044</w:t>
      </w:r>
    </w:p>
    <w:p w14:paraId="0B788A39"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27. </w:t>
      </w:r>
      <w:r w:rsidRPr="002E5DD7">
        <w:rPr>
          <w:rFonts w:ascii="Calibri" w:hAnsi="Calibri" w:cs="Calibri"/>
          <w:noProof/>
          <w:szCs w:val="24"/>
        </w:rPr>
        <w:tab/>
        <w:t xml:space="preserve">Wu X, Scott DA, Kriz AJ, Chiu AC, Hsu PD, Dadon DB, et al. Genome-wide binding of the CRISPR endonuclease Cas9 in mammalian cells. Nat Biotechnol. 2014; </w:t>
      </w:r>
    </w:p>
    <w:p w14:paraId="2A5B59D1"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28. </w:t>
      </w:r>
      <w:r w:rsidRPr="002E5DD7">
        <w:rPr>
          <w:rFonts w:ascii="Calibri" w:hAnsi="Calibri" w:cs="Calibri"/>
          <w:noProof/>
          <w:szCs w:val="24"/>
        </w:rPr>
        <w:tab/>
        <w:t xml:space="preserve">Stemmer M, Thumberger T, Del Sol Keyer M, Wittbrodt J, Mateo JL. CCTop: An Intuitive, Flexible and Reliable CRISPR/Cas9 Target Prediction Tool. PLoS One. 2015; </w:t>
      </w:r>
    </w:p>
    <w:p w14:paraId="0D9167BE"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29. </w:t>
      </w:r>
      <w:r w:rsidRPr="002E5DD7">
        <w:rPr>
          <w:rFonts w:ascii="Calibri" w:hAnsi="Calibri" w:cs="Calibri"/>
          <w:noProof/>
          <w:szCs w:val="24"/>
        </w:rPr>
        <w:tab/>
        <w:t xml:space="preserve">Doench JG, Fusi N, Sullender M, Hegde M, Vaimberg EW, Donovan KF, et al. Optimized sgRNA design to maximize activity and minimize off-target effects of CRISPR-Cas9. Nat Biotechnol. 2016; </w:t>
      </w:r>
    </w:p>
    <w:p w14:paraId="1E459C12"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30. </w:t>
      </w:r>
      <w:r w:rsidRPr="002E5DD7">
        <w:rPr>
          <w:rFonts w:ascii="Calibri" w:hAnsi="Calibri" w:cs="Calibri"/>
          <w:noProof/>
          <w:szCs w:val="24"/>
        </w:rPr>
        <w:tab/>
        <w:t xml:space="preserve">Singh R, Kuscu C, Quinlan A, Qi Y, Adli M. Cas9-chromatin binding information enables more accurate CRISPR off-target prediction. Nucleic Acids Res. 2015; </w:t>
      </w:r>
    </w:p>
    <w:p w14:paraId="6F813348"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31. </w:t>
      </w:r>
      <w:r w:rsidRPr="002E5DD7">
        <w:rPr>
          <w:rFonts w:ascii="Calibri" w:hAnsi="Calibri" w:cs="Calibri"/>
          <w:noProof/>
          <w:szCs w:val="24"/>
        </w:rPr>
        <w:tab/>
        <w:t xml:space="preserve">Zhang D, Hurst T, Duan D, Chen S-J. Unified energetics analysis unravels SpCas9 cleavage activity for optimal gRNA design. Proc Natl Acad Sci. 2019;116(18):201820523. </w:t>
      </w:r>
    </w:p>
    <w:p w14:paraId="4A993BB4"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32. </w:t>
      </w:r>
      <w:r w:rsidRPr="002E5DD7">
        <w:rPr>
          <w:rFonts w:ascii="Calibri" w:hAnsi="Calibri" w:cs="Calibri"/>
          <w:noProof/>
          <w:szCs w:val="24"/>
        </w:rPr>
        <w:tab/>
        <w:t>Klein M, Eslami-Mossallam B, Arroyo DG, Depken M. Hybridization Kinetics Explains CRISPR-Cas Off-Targeting Rules. Cell Rep [Internet]. 2018;22(6):1413–23. Available from: https://doi.org/10.1016/j.celrep.2018.01.045</w:t>
      </w:r>
    </w:p>
    <w:p w14:paraId="73944D9E"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szCs w:val="24"/>
        </w:rPr>
      </w:pPr>
      <w:r w:rsidRPr="002E5DD7">
        <w:rPr>
          <w:rFonts w:ascii="Calibri" w:hAnsi="Calibri" w:cs="Calibri"/>
          <w:noProof/>
          <w:szCs w:val="24"/>
        </w:rPr>
        <w:t xml:space="preserve">33. </w:t>
      </w:r>
      <w:r w:rsidRPr="002E5DD7">
        <w:rPr>
          <w:rFonts w:ascii="Calibri" w:hAnsi="Calibri" w:cs="Calibri"/>
          <w:noProof/>
          <w:szCs w:val="24"/>
        </w:rPr>
        <w:tab/>
        <w:t xml:space="preserve">Kirkpatrick S, Gelatt CD, Vecchi MP. Optimization by Simulated Annealing. 1983;220(4598). </w:t>
      </w:r>
    </w:p>
    <w:p w14:paraId="1B728F73" w14:textId="77777777" w:rsidR="002E5DD7" w:rsidRPr="002E5DD7" w:rsidRDefault="002E5DD7" w:rsidP="002E5DD7">
      <w:pPr>
        <w:widowControl w:val="0"/>
        <w:autoSpaceDE w:val="0"/>
        <w:autoSpaceDN w:val="0"/>
        <w:adjustRightInd w:val="0"/>
        <w:spacing w:line="240" w:lineRule="auto"/>
        <w:ind w:left="640" w:hanging="640"/>
        <w:rPr>
          <w:rFonts w:ascii="Calibri" w:hAnsi="Calibri" w:cs="Calibri"/>
          <w:noProof/>
        </w:rPr>
      </w:pPr>
      <w:r w:rsidRPr="002E5DD7">
        <w:rPr>
          <w:rFonts w:ascii="Calibri" w:hAnsi="Calibri" w:cs="Calibri"/>
          <w:noProof/>
          <w:szCs w:val="24"/>
        </w:rPr>
        <w:t xml:space="preserve">34. </w:t>
      </w:r>
      <w:r w:rsidRPr="002E5DD7">
        <w:rPr>
          <w:rFonts w:ascii="Calibri" w:hAnsi="Calibri" w:cs="Calibri"/>
          <w:noProof/>
          <w:szCs w:val="24"/>
        </w:rPr>
        <w:tab/>
        <w:t>Brenda Harris. Viral Cycles: Lytic Lysogenic [Internet]. [cited 2019 May 29]. Available from: http://slideplayer.com/slide/9308462/</w:t>
      </w:r>
    </w:p>
    <w:p w14:paraId="29DAC11F" w14:textId="2A06FBE4" w:rsidR="004B1EFB" w:rsidRPr="007A7F2B" w:rsidRDefault="004B1EFB" w:rsidP="00972396">
      <w:r w:rsidRPr="007A7F2B">
        <w:fldChar w:fldCharType="end"/>
      </w:r>
    </w:p>
    <w:sectPr w:rsidR="004B1EFB" w:rsidRPr="007A7F2B" w:rsidSect="00132FB7">
      <w:footerReference w:type="default" r:id="rId2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466968" w14:textId="77777777" w:rsidR="004E2BDF" w:rsidRDefault="004E2BDF" w:rsidP="00132FB7">
      <w:pPr>
        <w:spacing w:after="0" w:line="240" w:lineRule="auto"/>
      </w:pPr>
      <w:r>
        <w:separator/>
      </w:r>
    </w:p>
  </w:endnote>
  <w:endnote w:type="continuationSeparator" w:id="0">
    <w:p w14:paraId="0A3FE8CF" w14:textId="77777777" w:rsidR="004E2BDF" w:rsidRDefault="004E2BDF" w:rsidP="00132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3144288"/>
      <w:docPartObj>
        <w:docPartGallery w:val="Page Numbers (Bottom of Page)"/>
        <w:docPartUnique/>
      </w:docPartObj>
    </w:sdtPr>
    <w:sdtContent>
      <w:p w14:paraId="3EBE2C7A" w14:textId="4641A735" w:rsidR="00413374" w:rsidRDefault="00413374">
        <w:pPr>
          <w:pStyle w:val="Footer"/>
          <w:jc w:val="center"/>
        </w:pPr>
        <w:r>
          <w:rPr>
            <w:noProof/>
          </w:rPr>
          <mc:AlternateContent>
            <mc:Choice Requires="wpg">
              <w:drawing>
                <wp:inline distT="0" distB="0" distL="0" distR="0" wp14:anchorId="552E8F04" wp14:editId="69F87051">
                  <wp:extent cx="418465" cy="221615"/>
                  <wp:effectExtent l="0" t="0" r="635" b="0"/>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17"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C6150" w14:textId="77777777" w:rsidR="00413374" w:rsidRDefault="00413374">
                                <w:pPr>
                                  <w:jc w:val="center"/>
                                  <w:rPr>
                                    <w:szCs w:val="18"/>
                                  </w:rPr>
                                </w:pPr>
                                <w:r>
                                  <w:rPr>
                                    <w:sz w:val="22"/>
                                    <w:szCs w:val="22"/>
                                  </w:rPr>
                                  <w:fldChar w:fldCharType="begin"/>
                                </w:r>
                                <w:r>
                                  <w:instrText xml:space="preserve"> PAGE    \* MERGEFORMAT </w:instrText>
                                </w:r>
                                <w:r>
                                  <w:rPr>
                                    <w:sz w:val="22"/>
                                    <w:szCs w:val="22"/>
                                  </w:rPr>
                                  <w:fldChar w:fldCharType="separate"/>
                                </w:r>
                                <w:r>
                                  <w:rPr>
                                    <w:i/>
                                    <w:iCs/>
                                    <w:noProof/>
                                    <w:sz w:val="18"/>
                                    <w:szCs w:val="18"/>
                                  </w:rPr>
                                  <w:t>2</w:t>
                                </w:r>
                                <w:r>
                                  <w:rPr>
                                    <w:i/>
                                    <w:iCs/>
                                    <w:noProof/>
                                    <w:sz w:val="18"/>
                                    <w:szCs w:val="18"/>
                                  </w:rPr>
                                  <w:fldChar w:fldCharType="end"/>
                                </w:r>
                              </w:p>
                            </w:txbxContent>
                          </wps:txbx>
                          <wps:bodyPr rot="0" vert="horz" wrap="square" lIns="0" tIns="0" rIns="0" bIns="0" anchor="ctr" anchorCtr="0" upright="1">
                            <a:noAutofit/>
                          </wps:bodyPr>
                        </wps:wsp>
                        <wpg:grpSp>
                          <wpg:cNvPr id="18" name="Group 64"/>
                          <wpg:cNvGrpSpPr>
                            <a:grpSpLocks/>
                          </wpg:cNvGrpSpPr>
                          <wpg:grpSpPr bwMode="auto">
                            <a:xfrm>
                              <a:off x="5494" y="739"/>
                              <a:ext cx="372" cy="72"/>
                              <a:chOff x="5486" y="739"/>
                              <a:chExt cx="372" cy="72"/>
                            </a:xfrm>
                          </wpg:grpSpPr>
                          <wps:wsp>
                            <wps:cNvPr id="19"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w14:anchorId="552E8F04" id="Group 16" o:spid="_x0000_s102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">
                  <v:shapetype id="_x0000_t202" coordsize="21600,21600" o:spt="202" path="m,l,21600r21600,l21600,xe">
                    <v:stroke joinstyle="miter"/>
                    <v:path gradientshapeok="t" o:connecttype="rect"/>
                  </v:shapetype>
                  <v:shape id="Text Box 63" o:spid="_x0000_s1028" type="#_x0000_t202" style="position:absolute;left:5351;top:800;width:659;height: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" filled="f" stroked="f">
                    <v:textbox inset="0,0,0,0">
                      <w:txbxContent>
                        <w:p w14:paraId="5FCC6150" w14:textId="77777777" w:rsidR="00413374" w:rsidRDefault="00413374">
                          <w:pPr>
                            <w:jc w:val="center"/>
                            <w:rPr>
                              <w:szCs w:val="18"/>
                            </w:rPr>
                          </w:pPr>
                          <w:r>
                            <w:rPr>
                              <w:sz w:val="22"/>
                              <w:szCs w:val="22"/>
                            </w:rPr>
                            <w:fldChar w:fldCharType="begin"/>
                          </w:r>
                          <w:r>
                            <w:instrText xml:space="preserve"> PAGE    \* MERGEFORMAT </w:instrText>
                          </w:r>
                          <w:r>
                            <w:rPr>
                              <w:sz w:val="22"/>
                              <w:szCs w:val="22"/>
                            </w:rPr>
                            <w:fldChar w:fldCharType="separate"/>
                          </w:r>
                          <w:r>
                            <w:rPr>
                              <w:i/>
                              <w:iCs/>
                              <w:noProof/>
                              <w:sz w:val="18"/>
                              <w:szCs w:val="18"/>
                            </w:rPr>
                            <w:t>2</w:t>
                          </w:r>
                          <w:r>
                            <w:rPr>
                              <w:i/>
                              <w:iCs/>
                              <w:noProof/>
                              <w:sz w:val="18"/>
                              <w:szCs w:val="18"/>
                            </w:rPr>
                            <w:fldChar w:fldCharType="end"/>
                          </w:r>
                        </w:p>
                      </w:txbxContent>
                    </v:textbox>
                  </v:shape>
                  <v:group id="Group 64" o:spid="_x0000_s1029" style="position:absolute;left:5494;top:739;width:372;height:72" coordorigin="5486,739" coordsize="37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oval id="Oval 65" o:spid="_x0000_s1030" style="position:absolute;left:54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" fillcolor="#84a2c6" stroked="f"/>
                    <v:oval id="Oval 66" o:spid="_x0000_s1031" style="position:absolute;left:563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" fillcolor="#84a2c6" stroked="f"/>
                    <v:oval id="Oval 67" o:spid="_x0000_s1032" style="position:absolute;left:5786;top:739;width:72;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" fillcolor="#84a2c6" stroked="f"/>
                  </v:group>
                  <w10:anchorlock/>
                </v:group>
              </w:pict>
            </mc:Fallback>
          </mc:AlternateContent>
        </w:r>
      </w:p>
    </w:sdtContent>
  </w:sdt>
  <w:p w14:paraId="2F90D21C" w14:textId="3F5FDB26" w:rsidR="00413374" w:rsidRDefault="0041337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07CCDB" w14:textId="77777777" w:rsidR="004E2BDF" w:rsidRDefault="004E2BDF" w:rsidP="00132FB7">
      <w:pPr>
        <w:spacing w:after="0" w:line="240" w:lineRule="auto"/>
      </w:pPr>
      <w:r>
        <w:separator/>
      </w:r>
    </w:p>
  </w:footnote>
  <w:footnote w:type="continuationSeparator" w:id="0">
    <w:p w14:paraId="43A87E8F" w14:textId="77777777" w:rsidR="004E2BDF" w:rsidRDefault="004E2BDF" w:rsidP="00132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E4A39"/>
    <w:multiLevelType w:val="hybridMultilevel"/>
    <w:tmpl w:val="806AF610"/>
    <w:lvl w:ilvl="0" w:tplc="0413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191050"/>
    <w:multiLevelType w:val="hybridMultilevel"/>
    <w:tmpl w:val="6FB4C5E2"/>
    <w:lvl w:ilvl="0" w:tplc="0413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62F4335"/>
    <w:multiLevelType w:val="hybridMultilevel"/>
    <w:tmpl w:val="4902257E"/>
    <w:lvl w:ilvl="0" w:tplc="D99CF6BC">
      <w:start w:val="2"/>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A4A0E07"/>
    <w:multiLevelType w:val="hybridMultilevel"/>
    <w:tmpl w:val="5A862362"/>
    <w:lvl w:ilvl="0" w:tplc="04662080">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F7B1435"/>
    <w:multiLevelType w:val="hybridMultilevel"/>
    <w:tmpl w:val="470E5868"/>
    <w:lvl w:ilvl="0" w:tplc="2C844E18">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06B7EE0"/>
    <w:multiLevelType w:val="hybridMultilevel"/>
    <w:tmpl w:val="CBE6CD5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2D40949"/>
    <w:multiLevelType w:val="hybridMultilevel"/>
    <w:tmpl w:val="EF3A2F26"/>
    <w:lvl w:ilvl="0" w:tplc="0413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35B3281"/>
    <w:multiLevelType w:val="hybridMultilevel"/>
    <w:tmpl w:val="B254B866"/>
    <w:lvl w:ilvl="0" w:tplc="DD0A7832">
      <w:start w:val="1"/>
      <w:numFmt w:val="bullet"/>
      <w:lvlText w:val=""/>
      <w:lvlJc w:val="left"/>
      <w:pPr>
        <w:ind w:left="720" w:hanging="360"/>
      </w:pPr>
      <w:rPr>
        <w:rFonts w:ascii="Symbol" w:eastAsiaTheme="minorEastAsia" w:hAnsi="Symbol" w:cstheme="minorBidi"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4B85523"/>
    <w:multiLevelType w:val="hybridMultilevel"/>
    <w:tmpl w:val="A9E09662"/>
    <w:lvl w:ilvl="0" w:tplc="0413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7680856"/>
    <w:multiLevelType w:val="hybridMultilevel"/>
    <w:tmpl w:val="8C02B768"/>
    <w:lvl w:ilvl="0" w:tplc="D04E0156">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23B439B"/>
    <w:multiLevelType w:val="hybridMultilevel"/>
    <w:tmpl w:val="AE2424E2"/>
    <w:lvl w:ilvl="0" w:tplc="0413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EAF1067"/>
    <w:multiLevelType w:val="hybridMultilevel"/>
    <w:tmpl w:val="E87679A8"/>
    <w:lvl w:ilvl="0" w:tplc="0413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8"/>
  </w:num>
  <w:num w:numId="4">
    <w:abstractNumId w:val="11"/>
  </w:num>
  <w:num w:numId="5">
    <w:abstractNumId w:val="0"/>
  </w:num>
  <w:num w:numId="6">
    <w:abstractNumId w:val="5"/>
  </w:num>
  <w:num w:numId="7">
    <w:abstractNumId w:val="9"/>
  </w:num>
  <w:num w:numId="8">
    <w:abstractNumId w:val="6"/>
  </w:num>
  <w:num w:numId="9">
    <w:abstractNumId w:val="7"/>
  </w:num>
  <w:num w:numId="10">
    <w:abstractNumId w:val="1"/>
  </w:num>
  <w:num w:numId="11">
    <w:abstractNumId w:val="1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677"/>
    <w:rsid w:val="00002A75"/>
    <w:rsid w:val="000068E0"/>
    <w:rsid w:val="00006B8E"/>
    <w:rsid w:val="000213E4"/>
    <w:rsid w:val="00021A92"/>
    <w:rsid w:val="0003664E"/>
    <w:rsid w:val="0004513A"/>
    <w:rsid w:val="0004650D"/>
    <w:rsid w:val="00047EEF"/>
    <w:rsid w:val="0005104E"/>
    <w:rsid w:val="00052CA9"/>
    <w:rsid w:val="00054938"/>
    <w:rsid w:val="00056150"/>
    <w:rsid w:val="00062507"/>
    <w:rsid w:val="000671EF"/>
    <w:rsid w:val="00073FFC"/>
    <w:rsid w:val="00086587"/>
    <w:rsid w:val="00094856"/>
    <w:rsid w:val="001072A1"/>
    <w:rsid w:val="00114B80"/>
    <w:rsid w:val="00132FB7"/>
    <w:rsid w:val="0013534C"/>
    <w:rsid w:val="00146FD3"/>
    <w:rsid w:val="00160514"/>
    <w:rsid w:val="001714F5"/>
    <w:rsid w:val="00192D71"/>
    <w:rsid w:val="001935BC"/>
    <w:rsid w:val="00193795"/>
    <w:rsid w:val="001B6996"/>
    <w:rsid w:val="001C036C"/>
    <w:rsid w:val="001C2B0F"/>
    <w:rsid w:val="001C3FE5"/>
    <w:rsid w:val="001E2C08"/>
    <w:rsid w:val="001E2FDD"/>
    <w:rsid w:val="001E443B"/>
    <w:rsid w:val="001E44A8"/>
    <w:rsid w:val="001F38DC"/>
    <w:rsid w:val="001F7AFC"/>
    <w:rsid w:val="00201028"/>
    <w:rsid w:val="0020286A"/>
    <w:rsid w:val="002055C0"/>
    <w:rsid w:val="00206331"/>
    <w:rsid w:val="0021655C"/>
    <w:rsid w:val="00220EF0"/>
    <w:rsid w:val="002311D2"/>
    <w:rsid w:val="00245CA6"/>
    <w:rsid w:val="002506B1"/>
    <w:rsid w:val="00262C82"/>
    <w:rsid w:val="00271BDA"/>
    <w:rsid w:val="0027382A"/>
    <w:rsid w:val="00274E96"/>
    <w:rsid w:val="00277CE4"/>
    <w:rsid w:val="00277EDA"/>
    <w:rsid w:val="002847FB"/>
    <w:rsid w:val="00287719"/>
    <w:rsid w:val="00291C32"/>
    <w:rsid w:val="00297C97"/>
    <w:rsid w:val="002A0E52"/>
    <w:rsid w:val="002A4D66"/>
    <w:rsid w:val="002A61B0"/>
    <w:rsid w:val="002B2E43"/>
    <w:rsid w:val="002C0C44"/>
    <w:rsid w:val="002E5DD7"/>
    <w:rsid w:val="002F17D4"/>
    <w:rsid w:val="002F188F"/>
    <w:rsid w:val="002F7AE7"/>
    <w:rsid w:val="002F7EF7"/>
    <w:rsid w:val="00306118"/>
    <w:rsid w:val="003267AE"/>
    <w:rsid w:val="003353EE"/>
    <w:rsid w:val="003473DD"/>
    <w:rsid w:val="003605CA"/>
    <w:rsid w:val="00377C9C"/>
    <w:rsid w:val="003A40F2"/>
    <w:rsid w:val="003B1860"/>
    <w:rsid w:val="003B6BA9"/>
    <w:rsid w:val="003C620A"/>
    <w:rsid w:val="003E0642"/>
    <w:rsid w:val="00401769"/>
    <w:rsid w:val="00405E2B"/>
    <w:rsid w:val="00407EC6"/>
    <w:rsid w:val="00413374"/>
    <w:rsid w:val="004224B2"/>
    <w:rsid w:val="00474EA3"/>
    <w:rsid w:val="004877CD"/>
    <w:rsid w:val="00491182"/>
    <w:rsid w:val="004B1EFB"/>
    <w:rsid w:val="004B32B9"/>
    <w:rsid w:val="004B4170"/>
    <w:rsid w:val="004C2855"/>
    <w:rsid w:val="004D7589"/>
    <w:rsid w:val="004E2BDF"/>
    <w:rsid w:val="004F3FB9"/>
    <w:rsid w:val="00521077"/>
    <w:rsid w:val="00532956"/>
    <w:rsid w:val="0053459D"/>
    <w:rsid w:val="00563270"/>
    <w:rsid w:val="00565052"/>
    <w:rsid w:val="00571909"/>
    <w:rsid w:val="00584F82"/>
    <w:rsid w:val="00587635"/>
    <w:rsid w:val="005A2709"/>
    <w:rsid w:val="005A792D"/>
    <w:rsid w:val="005C441E"/>
    <w:rsid w:val="005F34F9"/>
    <w:rsid w:val="00600F6E"/>
    <w:rsid w:val="006507D0"/>
    <w:rsid w:val="00651B04"/>
    <w:rsid w:val="00672153"/>
    <w:rsid w:val="00687972"/>
    <w:rsid w:val="006A0822"/>
    <w:rsid w:val="006A5F49"/>
    <w:rsid w:val="006D5117"/>
    <w:rsid w:val="006E29F5"/>
    <w:rsid w:val="00722425"/>
    <w:rsid w:val="00770C86"/>
    <w:rsid w:val="00784677"/>
    <w:rsid w:val="007A4C98"/>
    <w:rsid w:val="007A7F2B"/>
    <w:rsid w:val="007B31D6"/>
    <w:rsid w:val="007B3C39"/>
    <w:rsid w:val="007D3EFB"/>
    <w:rsid w:val="007E043F"/>
    <w:rsid w:val="00812D5D"/>
    <w:rsid w:val="00823B8A"/>
    <w:rsid w:val="00827A18"/>
    <w:rsid w:val="0083429B"/>
    <w:rsid w:val="00834BDD"/>
    <w:rsid w:val="0084482A"/>
    <w:rsid w:val="00846B30"/>
    <w:rsid w:val="008916FE"/>
    <w:rsid w:val="00895CE2"/>
    <w:rsid w:val="008B40EA"/>
    <w:rsid w:val="008B7DC9"/>
    <w:rsid w:val="008E45E4"/>
    <w:rsid w:val="008F754F"/>
    <w:rsid w:val="00922DB9"/>
    <w:rsid w:val="0092615D"/>
    <w:rsid w:val="0093245F"/>
    <w:rsid w:val="009340F2"/>
    <w:rsid w:val="00943D26"/>
    <w:rsid w:val="009605A9"/>
    <w:rsid w:val="00972396"/>
    <w:rsid w:val="00980375"/>
    <w:rsid w:val="009841D4"/>
    <w:rsid w:val="00994F0B"/>
    <w:rsid w:val="009A09DD"/>
    <w:rsid w:val="009A316B"/>
    <w:rsid w:val="009C0C6E"/>
    <w:rsid w:val="009C505C"/>
    <w:rsid w:val="009D01AD"/>
    <w:rsid w:val="009E7447"/>
    <w:rsid w:val="009F629B"/>
    <w:rsid w:val="00A06CA0"/>
    <w:rsid w:val="00A27F33"/>
    <w:rsid w:val="00A328B1"/>
    <w:rsid w:val="00A6254E"/>
    <w:rsid w:val="00A7072F"/>
    <w:rsid w:val="00A8073F"/>
    <w:rsid w:val="00A832B1"/>
    <w:rsid w:val="00A87741"/>
    <w:rsid w:val="00AA3598"/>
    <w:rsid w:val="00AA756E"/>
    <w:rsid w:val="00AC456B"/>
    <w:rsid w:val="00AE53A4"/>
    <w:rsid w:val="00AF1567"/>
    <w:rsid w:val="00B144CD"/>
    <w:rsid w:val="00B17EB9"/>
    <w:rsid w:val="00B25DC3"/>
    <w:rsid w:val="00B30051"/>
    <w:rsid w:val="00B548E1"/>
    <w:rsid w:val="00B84519"/>
    <w:rsid w:val="00B97F5C"/>
    <w:rsid w:val="00BA2D49"/>
    <w:rsid w:val="00BC5D18"/>
    <w:rsid w:val="00BD4633"/>
    <w:rsid w:val="00BD794C"/>
    <w:rsid w:val="00C0336B"/>
    <w:rsid w:val="00C16253"/>
    <w:rsid w:val="00C3258F"/>
    <w:rsid w:val="00C36AAB"/>
    <w:rsid w:val="00C40B54"/>
    <w:rsid w:val="00C52DF1"/>
    <w:rsid w:val="00C662A5"/>
    <w:rsid w:val="00C66E83"/>
    <w:rsid w:val="00C75C37"/>
    <w:rsid w:val="00C9491A"/>
    <w:rsid w:val="00CA7780"/>
    <w:rsid w:val="00CD2DF5"/>
    <w:rsid w:val="00CD79C0"/>
    <w:rsid w:val="00CE66AD"/>
    <w:rsid w:val="00CF4240"/>
    <w:rsid w:val="00D20B49"/>
    <w:rsid w:val="00D31ADB"/>
    <w:rsid w:val="00D32132"/>
    <w:rsid w:val="00D33D7B"/>
    <w:rsid w:val="00D36F85"/>
    <w:rsid w:val="00D50296"/>
    <w:rsid w:val="00D52256"/>
    <w:rsid w:val="00D61F2C"/>
    <w:rsid w:val="00DA36B8"/>
    <w:rsid w:val="00DC5E68"/>
    <w:rsid w:val="00DE4C60"/>
    <w:rsid w:val="00E125E2"/>
    <w:rsid w:val="00E27D46"/>
    <w:rsid w:val="00E46FF4"/>
    <w:rsid w:val="00E72050"/>
    <w:rsid w:val="00E75309"/>
    <w:rsid w:val="00E93FA5"/>
    <w:rsid w:val="00EA66B2"/>
    <w:rsid w:val="00EA6C6B"/>
    <w:rsid w:val="00EB0800"/>
    <w:rsid w:val="00EF0570"/>
    <w:rsid w:val="00EF100C"/>
    <w:rsid w:val="00EF13BD"/>
    <w:rsid w:val="00EF1E7B"/>
    <w:rsid w:val="00EF61B7"/>
    <w:rsid w:val="00F12DAD"/>
    <w:rsid w:val="00F158D4"/>
    <w:rsid w:val="00F163C2"/>
    <w:rsid w:val="00F270C9"/>
    <w:rsid w:val="00F34237"/>
    <w:rsid w:val="00F34729"/>
    <w:rsid w:val="00F42F14"/>
    <w:rsid w:val="00F53078"/>
    <w:rsid w:val="00F746E0"/>
    <w:rsid w:val="00F84523"/>
    <w:rsid w:val="00F87CAB"/>
    <w:rsid w:val="00FA5144"/>
    <w:rsid w:val="00FB2FF4"/>
    <w:rsid w:val="00FD67A0"/>
  </w:rsids>
  <m:mathPr>
    <m:mathFont m:val="Cambria Math"/>
    <m:brkBin m:val="before"/>
    <m:brkBinSub m:val="--"/>
    <m:smallFrac m:val="0"/>
    <m:dispDef/>
    <m:lMargin m:val="0"/>
    <m:rMargin m:val="0"/>
    <m:defJc m:val="centerGroup"/>
    <m:wrapIndent m:val="1440"/>
    <m:intLim m:val="subSup"/>
    <m:naryLim m:val="undOvr"/>
  </m:mathPr>
  <w:themeFontLang w:val="nl-NL"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F5A4E2"/>
  <w15:chartTrackingRefBased/>
  <w15:docId w15:val="{85E1C7F4-5E34-4A6C-A323-7DC23DC580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GB"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2D49"/>
  </w:style>
  <w:style w:type="paragraph" w:styleId="Heading1">
    <w:name w:val="heading 1"/>
    <w:basedOn w:val="Normal"/>
    <w:next w:val="Normal"/>
    <w:link w:val="Heading1Char"/>
    <w:uiPriority w:val="9"/>
    <w:qFormat/>
    <w:rsid w:val="00BA2D49"/>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BA2D49"/>
    <w:pPr>
      <w:spacing w:after="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BA2D49"/>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BA2D49"/>
    <w:pPr>
      <w:spacing w:after="0"/>
      <w:jc w:val="left"/>
      <w:outlineLvl w:val="3"/>
    </w:pPr>
    <w:rPr>
      <w:i/>
      <w:iCs/>
      <w:smallCaps/>
      <w:spacing w:val="10"/>
      <w:sz w:val="22"/>
      <w:szCs w:val="22"/>
    </w:rPr>
  </w:style>
  <w:style w:type="paragraph" w:styleId="Heading5">
    <w:name w:val="heading 5"/>
    <w:basedOn w:val="Normal"/>
    <w:next w:val="Normal"/>
    <w:link w:val="Heading5Char"/>
    <w:uiPriority w:val="9"/>
    <w:semiHidden/>
    <w:unhideWhenUsed/>
    <w:qFormat/>
    <w:rsid w:val="00BA2D49"/>
    <w:pPr>
      <w:spacing w:after="0"/>
      <w:jc w:val="left"/>
      <w:outlineLvl w:val="4"/>
    </w:pPr>
    <w:rPr>
      <w:smallCaps/>
      <w:color w:val="08A4EE" w:themeColor="accent6" w:themeShade="BF"/>
      <w:spacing w:val="10"/>
      <w:sz w:val="22"/>
      <w:szCs w:val="22"/>
    </w:rPr>
  </w:style>
  <w:style w:type="paragraph" w:styleId="Heading6">
    <w:name w:val="heading 6"/>
    <w:basedOn w:val="Normal"/>
    <w:next w:val="Normal"/>
    <w:link w:val="Heading6Char"/>
    <w:uiPriority w:val="9"/>
    <w:semiHidden/>
    <w:unhideWhenUsed/>
    <w:qFormat/>
    <w:rsid w:val="00BA2D49"/>
    <w:pPr>
      <w:spacing w:after="0"/>
      <w:jc w:val="left"/>
      <w:outlineLvl w:val="5"/>
    </w:pPr>
    <w:rPr>
      <w:smallCaps/>
      <w:color w:val="51C3F9" w:themeColor="accent6"/>
      <w:spacing w:val="5"/>
      <w:sz w:val="22"/>
      <w:szCs w:val="22"/>
    </w:rPr>
  </w:style>
  <w:style w:type="paragraph" w:styleId="Heading7">
    <w:name w:val="heading 7"/>
    <w:basedOn w:val="Normal"/>
    <w:next w:val="Normal"/>
    <w:link w:val="Heading7Char"/>
    <w:uiPriority w:val="9"/>
    <w:semiHidden/>
    <w:unhideWhenUsed/>
    <w:qFormat/>
    <w:rsid w:val="00BA2D49"/>
    <w:pPr>
      <w:spacing w:after="0"/>
      <w:jc w:val="left"/>
      <w:outlineLvl w:val="6"/>
    </w:pPr>
    <w:rPr>
      <w:b/>
      <w:bCs/>
      <w:smallCaps/>
      <w:color w:val="51C3F9" w:themeColor="accent6"/>
      <w:spacing w:val="10"/>
    </w:rPr>
  </w:style>
  <w:style w:type="paragraph" w:styleId="Heading8">
    <w:name w:val="heading 8"/>
    <w:basedOn w:val="Normal"/>
    <w:next w:val="Normal"/>
    <w:link w:val="Heading8Char"/>
    <w:uiPriority w:val="9"/>
    <w:semiHidden/>
    <w:unhideWhenUsed/>
    <w:qFormat/>
    <w:rsid w:val="00BA2D49"/>
    <w:pPr>
      <w:spacing w:after="0"/>
      <w:jc w:val="left"/>
      <w:outlineLvl w:val="7"/>
    </w:pPr>
    <w:rPr>
      <w:b/>
      <w:bCs/>
      <w:i/>
      <w:iCs/>
      <w:smallCaps/>
      <w:color w:val="08A4EE" w:themeColor="accent6" w:themeShade="BF"/>
    </w:rPr>
  </w:style>
  <w:style w:type="paragraph" w:styleId="Heading9">
    <w:name w:val="heading 9"/>
    <w:basedOn w:val="Normal"/>
    <w:next w:val="Normal"/>
    <w:link w:val="Heading9Char"/>
    <w:uiPriority w:val="9"/>
    <w:semiHidden/>
    <w:unhideWhenUsed/>
    <w:qFormat/>
    <w:rsid w:val="00BA2D49"/>
    <w:pPr>
      <w:spacing w:after="0"/>
      <w:jc w:val="left"/>
      <w:outlineLvl w:val="8"/>
    </w:pPr>
    <w:rPr>
      <w:b/>
      <w:bCs/>
      <w:i/>
      <w:iCs/>
      <w:smallCaps/>
      <w:color w:val="056E9F" w:themeColor="accent6"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A2D49"/>
    <w:pPr>
      <w:pBdr>
        <w:top w:val="single" w:sz="8" w:space="1" w:color="51C3F9" w:themeColor="accent6"/>
      </w:pBdr>
      <w:spacing w:after="120" w:line="240" w:lineRule="auto"/>
      <w:jc w:val="right"/>
    </w:pPr>
    <w:rPr>
      <w:smallCaps/>
      <w:color w:val="262626" w:themeColor="text1" w:themeTint="D9"/>
      <w:sz w:val="52"/>
      <w:szCs w:val="52"/>
    </w:rPr>
  </w:style>
  <w:style w:type="character" w:customStyle="1" w:styleId="TitleChar">
    <w:name w:val="Title Char"/>
    <w:basedOn w:val="DefaultParagraphFont"/>
    <w:link w:val="Title"/>
    <w:uiPriority w:val="10"/>
    <w:rsid w:val="00BA2D49"/>
    <w:rPr>
      <w:smallCaps/>
      <w:color w:val="262626" w:themeColor="text1" w:themeTint="D9"/>
      <w:sz w:val="52"/>
      <w:szCs w:val="52"/>
    </w:rPr>
  </w:style>
  <w:style w:type="character" w:customStyle="1" w:styleId="Heading1Char">
    <w:name w:val="Heading 1 Char"/>
    <w:basedOn w:val="DefaultParagraphFont"/>
    <w:link w:val="Heading1"/>
    <w:uiPriority w:val="9"/>
    <w:rsid w:val="00BA2D49"/>
    <w:rPr>
      <w:smallCaps/>
      <w:spacing w:val="5"/>
      <w:sz w:val="32"/>
      <w:szCs w:val="32"/>
    </w:rPr>
  </w:style>
  <w:style w:type="paragraph" w:styleId="ListParagraph">
    <w:name w:val="List Paragraph"/>
    <w:basedOn w:val="Normal"/>
    <w:uiPriority w:val="34"/>
    <w:qFormat/>
    <w:rsid w:val="00784677"/>
    <w:pPr>
      <w:ind w:left="720"/>
      <w:contextualSpacing/>
    </w:pPr>
  </w:style>
  <w:style w:type="character" w:styleId="PlaceholderText">
    <w:name w:val="Placeholder Text"/>
    <w:basedOn w:val="DefaultParagraphFont"/>
    <w:uiPriority w:val="99"/>
    <w:semiHidden/>
    <w:rsid w:val="00086587"/>
    <w:rPr>
      <w:color w:val="808080"/>
    </w:rPr>
  </w:style>
  <w:style w:type="paragraph" w:styleId="Caption">
    <w:name w:val="caption"/>
    <w:basedOn w:val="Normal"/>
    <w:next w:val="Normal"/>
    <w:uiPriority w:val="35"/>
    <w:unhideWhenUsed/>
    <w:qFormat/>
    <w:rsid w:val="00BA2D49"/>
    <w:rPr>
      <w:b/>
      <w:bCs/>
      <w:caps/>
      <w:sz w:val="16"/>
      <w:szCs w:val="16"/>
    </w:rPr>
  </w:style>
  <w:style w:type="character" w:styleId="Hyperlink">
    <w:name w:val="Hyperlink"/>
    <w:basedOn w:val="DefaultParagraphFont"/>
    <w:uiPriority w:val="99"/>
    <w:unhideWhenUsed/>
    <w:rsid w:val="00D33D7B"/>
    <w:rPr>
      <w:color w:val="EE7B08" w:themeColor="hyperlink"/>
      <w:u w:val="single"/>
    </w:rPr>
  </w:style>
  <w:style w:type="character" w:styleId="UnresolvedMention">
    <w:name w:val="Unresolved Mention"/>
    <w:basedOn w:val="DefaultParagraphFont"/>
    <w:uiPriority w:val="99"/>
    <w:semiHidden/>
    <w:unhideWhenUsed/>
    <w:rsid w:val="00D33D7B"/>
    <w:rPr>
      <w:color w:val="605E5C"/>
      <w:shd w:val="clear" w:color="auto" w:fill="E1DFDD"/>
    </w:rPr>
  </w:style>
  <w:style w:type="character" w:customStyle="1" w:styleId="Heading2Char">
    <w:name w:val="Heading 2 Char"/>
    <w:basedOn w:val="DefaultParagraphFont"/>
    <w:link w:val="Heading2"/>
    <w:uiPriority w:val="9"/>
    <w:rsid w:val="00BA2D49"/>
    <w:rPr>
      <w:smallCaps/>
      <w:spacing w:val="5"/>
      <w:sz w:val="28"/>
      <w:szCs w:val="28"/>
    </w:rPr>
  </w:style>
  <w:style w:type="character" w:customStyle="1" w:styleId="Heading3Char">
    <w:name w:val="Heading 3 Char"/>
    <w:basedOn w:val="DefaultParagraphFont"/>
    <w:link w:val="Heading3"/>
    <w:uiPriority w:val="9"/>
    <w:semiHidden/>
    <w:rsid w:val="00BA2D49"/>
    <w:rPr>
      <w:smallCaps/>
      <w:spacing w:val="5"/>
      <w:sz w:val="24"/>
      <w:szCs w:val="24"/>
    </w:rPr>
  </w:style>
  <w:style w:type="character" w:customStyle="1" w:styleId="Heading4Char">
    <w:name w:val="Heading 4 Char"/>
    <w:basedOn w:val="DefaultParagraphFont"/>
    <w:link w:val="Heading4"/>
    <w:uiPriority w:val="9"/>
    <w:semiHidden/>
    <w:rsid w:val="00BA2D49"/>
    <w:rPr>
      <w:i/>
      <w:iCs/>
      <w:smallCaps/>
      <w:spacing w:val="10"/>
      <w:sz w:val="22"/>
      <w:szCs w:val="22"/>
    </w:rPr>
  </w:style>
  <w:style w:type="character" w:customStyle="1" w:styleId="Heading5Char">
    <w:name w:val="Heading 5 Char"/>
    <w:basedOn w:val="DefaultParagraphFont"/>
    <w:link w:val="Heading5"/>
    <w:uiPriority w:val="9"/>
    <w:semiHidden/>
    <w:rsid w:val="00BA2D49"/>
    <w:rPr>
      <w:smallCaps/>
      <w:color w:val="08A4EE" w:themeColor="accent6" w:themeShade="BF"/>
      <w:spacing w:val="10"/>
      <w:sz w:val="22"/>
      <w:szCs w:val="22"/>
    </w:rPr>
  </w:style>
  <w:style w:type="character" w:customStyle="1" w:styleId="Heading6Char">
    <w:name w:val="Heading 6 Char"/>
    <w:basedOn w:val="DefaultParagraphFont"/>
    <w:link w:val="Heading6"/>
    <w:uiPriority w:val="9"/>
    <w:semiHidden/>
    <w:rsid w:val="00BA2D49"/>
    <w:rPr>
      <w:smallCaps/>
      <w:color w:val="51C3F9" w:themeColor="accent6"/>
      <w:spacing w:val="5"/>
      <w:sz w:val="22"/>
      <w:szCs w:val="22"/>
    </w:rPr>
  </w:style>
  <w:style w:type="character" w:customStyle="1" w:styleId="Heading7Char">
    <w:name w:val="Heading 7 Char"/>
    <w:basedOn w:val="DefaultParagraphFont"/>
    <w:link w:val="Heading7"/>
    <w:uiPriority w:val="9"/>
    <w:semiHidden/>
    <w:rsid w:val="00BA2D49"/>
    <w:rPr>
      <w:b/>
      <w:bCs/>
      <w:smallCaps/>
      <w:color w:val="51C3F9" w:themeColor="accent6"/>
      <w:spacing w:val="10"/>
    </w:rPr>
  </w:style>
  <w:style w:type="character" w:customStyle="1" w:styleId="Heading8Char">
    <w:name w:val="Heading 8 Char"/>
    <w:basedOn w:val="DefaultParagraphFont"/>
    <w:link w:val="Heading8"/>
    <w:uiPriority w:val="9"/>
    <w:semiHidden/>
    <w:rsid w:val="00BA2D49"/>
    <w:rPr>
      <w:b/>
      <w:bCs/>
      <w:i/>
      <w:iCs/>
      <w:smallCaps/>
      <w:color w:val="08A4EE" w:themeColor="accent6" w:themeShade="BF"/>
    </w:rPr>
  </w:style>
  <w:style w:type="character" w:customStyle="1" w:styleId="Heading9Char">
    <w:name w:val="Heading 9 Char"/>
    <w:basedOn w:val="DefaultParagraphFont"/>
    <w:link w:val="Heading9"/>
    <w:uiPriority w:val="9"/>
    <w:semiHidden/>
    <w:rsid w:val="00BA2D49"/>
    <w:rPr>
      <w:b/>
      <w:bCs/>
      <w:i/>
      <w:iCs/>
      <w:smallCaps/>
      <w:color w:val="056E9F" w:themeColor="accent6" w:themeShade="80"/>
    </w:rPr>
  </w:style>
  <w:style w:type="paragraph" w:styleId="Subtitle">
    <w:name w:val="Subtitle"/>
    <w:basedOn w:val="Normal"/>
    <w:next w:val="Normal"/>
    <w:link w:val="SubtitleChar"/>
    <w:uiPriority w:val="11"/>
    <w:qFormat/>
    <w:rsid w:val="00BA2D49"/>
    <w:pPr>
      <w:spacing w:after="720" w:line="240" w:lineRule="auto"/>
      <w:jc w:val="right"/>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BA2D49"/>
    <w:rPr>
      <w:rFonts w:asciiTheme="majorHAnsi" w:eastAsiaTheme="majorEastAsia" w:hAnsiTheme="majorHAnsi" w:cstheme="majorBidi"/>
    </w:rPr>
  </w:style>
  <w:style w:type="character" w:styleId="Strong">
    <w:name w:val="Strong"/>
    <w:uiPriority w:val="22"/>
    <w:qFormat/>
    <w:rsid w:val="00BA2D49"/>
    <w:rPr>
      <w:b/>
      <w:bCs/>
      <w:color w:val="51C3F9" w:themeColor="accent6"/>
    </w:rPr>
  </w:style>
  <w:style w:type="character" w:styleId="Emphasis">
    <w:name w:val="Emphasis"/>
    <w:uiPriority w:val="20"/>
    <w:qFormat/>
    <w:rsid w:val="00BA2D49"/>
    <w:rPr>
      <w:b/>
      <w:bCs/>
      <w:i/>
      <w:iCs/>
      <w:spacing w:val="10"/>
    </w:rPr>
  </w:style>
  <w:style w:type="paragraph" w:styleId="NoSpacing">
    <w:name w:val="No Spacing"/>
    <w:uiPriority w:val="1"/>
    <w:qFormat/>
    <w:rsid w:val="00BA2D49"/>
    <w:pPr>
      <w:spacing w:after="0" w:line="240" w:lineRule="auto"/>
    </w:pPr>
  </w:style>
  <w:style w:type="paragraph" w:styleId="Quote">
    <w:name w:val="Quote"/>
    <w:basedOn w:val="Normal"/>
    <w:next w:val="Normal"/>
    <w:link w:val="QuoteChar"/>
    <w:uiPriority w:val="29"/>
    <w:qFormat/>
    <w:rsid w:val="00BA2D49"/>
    <w:rPr>
      <w:i/>
      <w:iCs/>
    </w:rPr>
  </w:style>
  <w:style w:type="character" w:customStyle="1" w:styleId="QuoteChar">
    <w:name w:val="Quote Char"/>
    <w:basedOn w:val="DefaultParagraphFont"/>
    <w:link w:val="Quote"/>
    <w:uiPriority w:val="29"/>
    <w:rsid w:val="00BA2D49"/>
    <w:rPr>
      <w:i/>
      <w:iCs/>
    </w:rPr>
  </w:style>
  <w:style w:type="paragraph" w:styleId="IntenseQuote">
    <w:name w:val="Intense Quote"/>
    <w:basedOn w:val="Normal"/>
    <w:next w:val="Normal"/>
    <w:link w:val="IntenseQuoteChar"/>
    <w:uiPriority w:val="30"/>
    <w:qFormat/>
    <w:rsid w:val="00BA2D49"/>
    <w:pPr>
      <w:pBdr>
        <w:top w:val="single" w:sz="8" w:space="1" w:color="51C3F9" w:themeColor="accent6"/>
      </w:pBdr>
      <w:spacing w:before="140" w:after="140"/>
      <w:ind w:left="1440" w:right="1440"/>
    </w:pPr>
    <w:rPr>
      <w:b/>
      <w:bCs/>
      <w:i/>
      <w:iCs/>
    </w:rPr>
  </w:style>
  <w:style w:type="character" w:customStyle="1" w:styleId="IntenseQuoteChar">
    <w:name w:val="Intense Quote Char"/>
    <w:basedOn w:val="DefaultParagraphFont"/>
    <w:link w:val="IntenseQuote"/>
    <w:uiPriority w:val="30"/>
    <w:rsid w:val="00BA2D49"/>
    <w:rPr>
      <w:b/>
      <w:bCs/>
      <w:i/>
      <w:iCs/>
    </w:rPr>
  </w:style>
  <w:style w:type="character" w:styleId="SubtleEmphasis">
    <w:name w:val="Subtle Emphasis"/>
    <w:uiPriority w:val="19"/>
    <w:qFormat/>
    <w:rsid w:val="00BA2D49"/>
    <w:rPr>
      <w:i/>
      <w:iCs/>
    </w:rPr>
  </w:style>
  <w:style w:type="character" w:styleId="IntenseEmphasis">
    <w:name w:val="Intense Emphasis"/>
    <w:uiPriority w:val="21"/>
    <w:qFormat/>
    <w:rsid w:val="00BA2D49"/>
    <w:rPr>
      <w:b/>
      <w:bCs/>
      <w:i/>
      <w:iCs/>
      <w:color w:val="51C3F9" w:themeColor="accent6"/>
      <w:spacing w:val="10"/>
    </w:rPr>
  </w:style>
  <w:style w:type="character" w:styleId="SubtleReference">
    <w:name w:val="Subtle Reference"/>
    <w:uiPriority w:val="31"/>
    <w:qFormat/>
    <w:rsid w:val="00BA2D49"/>
    <w:rPr>
      <w:b/>
      <w:bCs/>
    </w:rPr>
  </w:style>
  <w:style w:type="character" w:styleId="IntenseReference">
    <w:name w:val="Intense Reference"/>
    <w:uiPriority w:val="32"/>
    <w:qFormat/>
    <w:rsid w:val="00BA2D49"/>
    <w:rPr>
      <w:b/>
      <w:bCs/>
      <w:smallCaps/>
      <w:spacing w:val="5"/>
      <w:sz w:val="22"/>
      <w:szCs w:val="22"/>
      <w:u w:val="single"/>
    </w:rPr>
  </w:style>
  <w:style w:type="character" w:styleId="BookTitle">
    <w:name w:val="Book Title"/>
    <w:uiPriority w:val="33"/>
    <w:qFormat/>
    <w:rsid w:val="00BA2D49"/>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BA2D49"/>
    <w:pPr>
      <w:outlineLvl w:val="9"/>
    </w:pPr>
  </w:style>
  <w:style w:type="paragraph" w:styleId="TOC1">
    <w:name w:val="toc 1"/>
    <w:basedOn w:val="Normal"/>
    <w:next w:val="Normal"/>
    <w:autoRedefine/>
    <w:uiPriority w:val="39"/>
    <w:unhideWhenUsed/>
    <w:rsid w:val="008E45E4"/>
    <w:pPr>
      <w:spacing w:after="100"/>
    </w:pPr>
  </w:style>
  <w:style w:type="paragraph" w:styleId="TOC2">
    <w:name w:val="toc 2"/>
    <w:basedOn w:val="Normal"/>
    <w:next w:val="Normal"/>
    <w:autoRedefine/>
    <w:uiPriority w:val="39"/>
    <w:unhideWhenUsed/>
    <w:rsid w:val="008E45E4"/>
    <w:pPr>
      <w:spacing w:after="100"/>
      <w:ind w:left="200"/>
    </w:pPr>
  </w:style>
  <w:style w:type="paragraph" w:styleId="TOC3">
    <w:name w:val="toc 3"/>
    <w:basedOn w:val="Normal"/>
    <w:next w:val="Normal"/>
    <w:autoRedefine/>
    <w:uiPriority w:val="39"/>
    <w:unhideWhenUsed/>
    <w:rsid w:val="008E45E4"/>
    <w:pPr>
      <w:spacing w:after="100" w:line="259" w:lineRule="auto"/>
      <w:ind w:left="440"/>
      <w:jc w:val="left"/>
    </w:pPr>
    <w:rPr>
      <w:rFonts w:cs="Times New Roman"/>
      <w:sz w:val="22"/>
      <w:szCs w:val="22"/>
      <w:lang w:val="en-US"/>
    </w:rPr>
  </w:style>
  <w:style w:type="paragraph" w:styleId="TOC6">
    <w:name w:val="toc 6"/>
    <w:basedOn w:val="Normal"/>
    <w:next w:val="Normal"/>
    <w:autoRedefine/>
    <w:uiPriority w:val="39"/>
    <w:semiHidden/>
    <w:unhideWhenUsed/>
    <w:rsid w:val="008E45E4"/>
    <w:pPr>
      <w:spacing w:after="100"/>
      <w:ind w:left="1000"/>
    </w:pPr>
  </w:style>
  <w:style w:type="character" w:styleId="FollowedHyperlink">
    <w:name w:val="FollowedHyperlink"/>
    <w:basedOn w:val="DefaultParagraphFont"/>
    <w:uiPriority w:val="99"/>
    <w:semiHidden/>
    <w:unhideWhenUsed/>
    <w:rsid w:val="00FB2FF4"/>
    <w:rPr>
      <w:color w:val="977B2D" w:themeColor="followedHyperlink"/>
      <w:u w:val="single"/>
    </w:rPr>
  </w:style>
  <w:style w:type="paragraph" w:styleId="Header">
    <w:name w:val="header"/>
    <w:basedOn w:val="Normal"/>
    <w:link w:val="HeaderChar"/>
    <w:uiPriority w:val="99"/>
    <w:unhideWhenUsed/>
    <w:rsid w:val="00132F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132FB7"/>
  </w:style>
  <w:style w:type="paragraph" w:styleId="Footer">
    <w:name w:val="footer"/>
    <w:basedOn w:val="Normal"/>
    <w:link w:val="FooterChar"/>
    <w:uiPriority w:val="99"/>
    <w:unhideWhenUsed/>
    <w:rsid w:val="00132F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132FB7"/>
  </w:style>
  <w:style w:type="paragraph" w:styleId="BalloonText">
    <w:name w:val="Balloon Text"/>
    <w:basedOn w:val="Normal"/>
    <w:link w:val="BalloonTextChar"/>
    <w:uiPriority w:val="99"/>
    <w:semiHidden/>
    <w:unhideWhenUsed/>
    <w:rsid w:val="000451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4513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tmp"/><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9.tmp"/><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3.tm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images.rapgenius.com/2706b9820eb743f64cb7da7226262e80.1000x426x1.jpg" TargetMode="External"/><Relationship Id="rId22" Type="http://schemas.openxmlformats.org/officeDocument/2006/relationships/hyperlink" Target="https://www.annualreviews.org/doi/full/10.1146/annurev-biophys-062215-010822?url_ver=Z39.88-2003&amp;rfr_id=ori%3Arid%3Acrossref.org&amp;rfr_dat=cr_pub%3Dpubmed" TargetMode="External"/></Relationships>
</file>

<file path=word/theme/theme1.xml><?xml version="1.0" encoding="utf-8"?>
<a:theme xmlns:a="http://schemas.openxmlformats.org/drawingml/2006/main" name="Kantoorthema">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0F7EE7-45BD-40CB-A017-834A37C1C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29354</Words>
  <Characters>167324</Characters>
  <Application>Microsoft Office Word</Application>
  <DocSecurity>0</DocSecurity>
  <Lines>1394</Lines>
  <Paragraphs>392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Diewertje Dekker</dc:creator>
  <cp:keywords/>
  <dc:description/>
  <cp:lastModifiedBy>Diewertje Dekker</cp:lastModifiedBy>
  <cp:revision>72</cp:revision>
  <cp:lastPrinted>2019-05-24T12:19:00Z</cp:lastPrinted>
  <dcterms:created xsi:type="dcterms:W3CDTF">2019-04-29T13:31:00Z</dcterms:created>
  <dcterms:modified xsi:type="dcterms:W3CDTF">2019-05-29T15:03:00Z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http://www.zotero.org/styles/vancouver</vt:lpwstr>
  </property>
  <property fmtid="{D5CDD505-2E9C-101B-9397-08002B2CF9AE}" pid="4" name="Mendeley Unique User Id_1">
    <vt:lpwstr>37131909-9854-3ad8-9322-014fe0556a64</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