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Shrinkflation poster: guide for presenting</w:t>
      </w:r>
    </w:p>
    <w:p>
      <w:r>
        <w:rPr>
          <w:b w:val="0"/>
          <w:color w:val="52514E"/>
        </w:rPr>
        <w:t>DAO2702 group assignment. What each chart says, how to read it, why it is on the poster and what to answer when asked.</w:t>
      </w:r>
    </w:p>
    <w:p>
      <w:pPr>
        <w:pStyle w:val="Heading1"/>
      </w:pPr>
      <w:r>
        <w:t>1. The story in one minute</w:t>
      </w:r>
    </w:p>
    <w:p>
      <w:r>
        <w:rPr>
          <w:b w:val="0"/>
        </w:rPr>
        <w:t>If you only get a minute, say this. Singapore's private homes did shrink to keep the price tag within reach. Homes built on land sold from 2009 to 2013 are about 40% smaller than homes on earlier land, and the gap is the same within each district. It worked because a new launch is priced per square foot, so a smaller unit means a lower price tag. The shrink happened in the years when home prices were furthest ahead of incomes.</w:t>
      </w:r>
    </w:p>
    <w:p>
      <w:r>
        <w:rPr>
          <w:b w:val="0"/>
        </w:rPr>
        <w:t>In 2019 URA tightened its cap on how many units a project may build, and the shrink stopped. Prices per square foot kept rising, so the price tag rises instead: a typical new launch cost 49% more in 2025 than in late 2020, and at 2025 launch prices the median household can borrow for less floor area than the median new unit.</w:t>
      </w:r>
    </w:p>
    <w:p>
      <w:pPr>
        <w:pStyle w:val="Heading1"/>
      </w:pPr>
      <w:r>
        <w:t>2. How the poster is built</w:t>
      </w:r>
    </w:p>
    <w:p>
      <w:pPr>
        <w:pStyle w:val="ListBullet"/>
      </w:pPr>
      <w:r>
        <w:rPr>
          <w:b/>
        </w:rPr>
        <w:t>Top:</w:t>
      </w:r>
      <w:r>
        <w:rPr>
          <w:b w:val="0"/>
        </w:rPr>
        <w:t xml:space="preserve"> the question, and six key terms you need to read the charts.</w:t>
      </w:r>
    </w:p>
    <w:p>
      <w:pPr>
        <w:pStyle w:val="ListBullet"/>
      </w:pPr>
      <w:r>
        <w:rPr>
          <w:b/>
        </w:rPr>
        <w:t>Row 1, what shrank (charts 1 to 3):</w:t>
      </w:r>
      <w:r>
        <w:rPr>
          <w:b w:val="0"/>
        </w:rPr>
        <w:t xml:space="preserve"> the size gap today, when it opened, and which sizes disappeared.</w:t>
      </w:r>
    </w:p>
    <w:p>
      <w:pPr>
        <w:pStyle w:val="ListBullet"/>
      </w:pPr>
      <w:r>
        <w:rPr>
          <w:b/>
        </w:rPr>
        <w:t>Row 2, is it real and how does it work (4 to 6):</w:t>
      </w:r>
      <w:r>
        <w:rPr>
          <w:b w:val="0"/>
        </w:rPr>
        <w:t xml:space="preserve"> a check that it is not location, what the shrink did to price tags, and how a launch is priced.</w:t>
      </w:r>
    </w:p>
    <w:p>
      <w:pPr>
        <w:pStyle w:val="ListBullet"/>
      </w:pPr>
      <w:r>
        <w:rPr>
          <w:b/>
        </w:rPr>
        <w:t>Row 3, why it happened and what changed (7 to 9):</w:t>
      </w:r>
      <w:r>
        <w:rPr>
          <w:b w:val="0"/>
        </w:rPr>
        <w:t xml:space="preserve"> affordability over 25 years, what a household can borrow, and what happened after the cap.</w:t>
      </w:r>
    </w:p>
    <w:p>
      <w:pPr>
        <w:pStyle w:val="ListBullet"/>
      </w:pPr>
      <w:r>
        <w:rPr>
          <w:b/>
        </w:rPr>
        <w:t>Bottom:</w:t>
      </w:r>
      <w:r>
        <w:rPr>
          <w:b w:val="0"/>
        </w:rPr>
        <w:t xml:space="preserve"> the answer, three findings that match the three rows, and a small footnote with data, limitations and sources.</w:t>
      </w:r>
    </w:p>
    <w:p>
      <w:r>
        <w:rPr>
          <w:b w:val="0"/>
        </w:rPr>
        <w:t>Every chart has one bold line on top. That line is the single most important takeaway, with a number you can read off the chart. When you present, say that line first, then point to where it comes from on the chart.</w:t>
      </w:r>
    </w:p>
    <w:p>
      <w:pPr>
        <w:pStyle w:val="Heading1"/>
      </w:pPr>
      <w:r>
        <w:t>3. Key terms</w:t>
      </w:r>
    </w:p>
    <w:tbl>
      <w:tblPr>
        <w:tblStyle w:val="TableGrid"/>
        <w:tblW w:type="auto" w:w="0"/>
        <w:jc w:val="center"/>
        <w:tblLayout w:type="fixed"/>
        <w:tblLook w:firstColumn="1" w:firstRow="1" w:lastColumn="0" w:lastRow="0" w:noHBand="0" w:noVBand="1" w:val="04A0"/>
      </w:tblPr>
      <w:tblGrid>
        <w:gridCol w:w="1928"/>
        <w:gridCol w:w="6350"/>
        <w:gridCol w:w="1134"/>
      </w:tblGrid>
      <w:tr>
        <w:tc>
          <w:tcPr>
            <w:tcW w:type="dxa" w:w="1928"/>
            <w:shd w:val="clear" w:color="auto" w:fill="E3ECF8"/>
          </w:tcPr>
          <w:p>
            <w:pPr>
              <w:spacing w:after="20" w:line="252" w:lineRule="auto"/>
            </w:pPr>
            <w:r>
              <w:rPr>
                <w:b/>
                <w:sz w:val="18"/>
              </w:rPr>
              <w:t>Term</w:t>
            </w:r>
          </w:p>
        </w:tc>
        <w:tc>
          <w:tcPr>
            <w:tcW w:type="dxa" w:w="6350"/>
            <w:shd w:val="clear" w:color="auto" w:fill="E3ECF8"/>
          </w:tcPr>
          <w:p>
            <w:pPr>
              <w:spacing w:after="20" w:line="252" w:lineRule="auto"/>
            </w:pPr>
            <w:r>
              <w:rPr>
                <w:b/>
                <w:sz w:val="18"/>
              </w:rPr>
              <w:t>What it means</w:t>
            </w:r>
          </w:p>
        </w:tc>
        <w:tc>
          <w:tcPr>
            <w:tcW w:type="dxa" w:w="1134"/>
            <w:shd w:val="clear" w:color="auto" w:fill="E3ECF8"/>
          </w:tcPr>
          <w:p>
            <w:pPr>
              <w:spacing w:after="20" w:line="252" w:lineRule="auto"/>
            </w:pPr>
            <w:r>
              <w:rPr>
                <w:b/>
                <w:sz w:val="18"/>
              </w:rPr>
              <w:t>Charts</w:t>
            </w:r>
          </w:p>
        </w:tc>
      </w:tr>
      <w:tr>
        <w:tc>
          <w:tcPr>
            <w:tcW w:type="dxa" w:w="1928"/>
          </w:tcPr>
          <w:p>
            <w:pPr>
              <w:spacing w:after="20" w:line="252" w:lineRule="auto"/>
            </w:pPr>
            <w:r>
              <w:rPr>
                <w:b/>
                <w:sz w:val="18"/>
              </w:rPr>
              <w:t>Shrinkflation</w:t>
            </w:r>
          </w:p>
        </w:tc>
        <w:tc>
          <w:tcPr>
            <w:tcW w:type="dxa" w:w="6350"/>
          </w:tcPr>
          <w:p>
            <w:pPr>
              <w:spacing w:after="20" w:line="252" w:lineRule="auto"/>
            </w:pPr>
            <w:r>
              <w:rPr>
                <w:b w:val="0"/>
                <w:sz w:val="18"/>
              </w:rPr>
              <w:t>A product shrinks while its price stays put, so the price per unit rises without the price tag moving. The UK statistics office (ONS) uses the term for groceries. Here the product is floor area.</w:t>
            </w:r>
          </w:p>
        </w:tc>
        <w:tc>
          <w:tcPr>
            <w:tcW w:type="dxa" w:w="1134"/>
          </w:tcPr>
          <w:p>
            <w:pPr>
              <w:spacing w:after="20" w:line="252" w:lineRule="auto"/>
            </w:pPr>
            <w:r>
              <w:rPr>
                <w:b w:val="0"/>
                <w:sz w:val="18"/>
              </w:rPr>
              <w:t>All</w:t>
            </w:r>
          </w:p>
        </w:tc>
      </w:tr>
      <w:tr>
        <w:tc>
          <w:tcPr>
            <w:tcW w:type="dxa" w:w="1928"/>
          </w:tcPr>
          <w:p>
            <w:pPr>
              <w:spacing w:after="20" w:line="252" w:lineRule="auto"/>
            </w:pPr>
            <w:r>
              <w:rPr>
                <w:b/>
                <w:sz w:val="18"/>
              </w:rPr>
              <w:t>PSF</w:t>
            </w:r>
          </w:p>
        </w:tc>
        <w:tc>
          <w:tcPr>
            <w:tcW w:type="dxa" w:w="6350"/>
          </w:tcPr>
          <w:p>
            <w:pPr>
              <w:spacing w:after="20" w:line="252" w:lineRule="auto"/>
            </w:pPr>
            <w:r>
              <w:rPr>
                <w:b w:val="0"/>
                <w:sz w:val="18"/>
              </w:rPr>
              <w:t>Price per square foot: price ÷ floor area.</w:t>
            </w:r>
          </w:p>
        </w:tc>
        <w:tc>
          <w:tcPr>
            <w:tcW w:type="dxa" w:w="1134"/>
          </w:tcPr>
          <w:p>
            <w:pPr>
              <w:spacing w:after="20" w:line="252" w:lineRule="auto"/>
            </w:pPr>
            <w:r>
              <w:rPr>
                <w:b w:val="0"/>
                <w:sz w:val="18"/>
              </w:rPr>
              <w:t>5, 6, 8, 9</w:t>
            </w:r>
          </w:p>
        </w:tc>
      </w:tr>
      <w:tr>
        <w:tc>
          <w:tcPr>
            <w:tcW w:type="dxa" w:w="1928"/>
          </w:tcPr>
          <w:p>
            <w:pPr>
              <w:spacing w:after="20" w:line="252" w:lineRule="auto"/>
            </w:pPr>
            <w:r>
              <w:rPr>
                <w:b/>
                <w:sz w:val="18"/>
              </w:rPr>
              <w:t>Price tag</w:t>
            </w:r>
          </w:p>
        </w:tc>
        <w:tc>
          <w:tcPr>
            <w:tcW w:type="dxa" w:w="6350"/>
          </w:tcPr>
          <w:p>
            <w:pPr>
              <w:spacing w:after="20" w:line="252" w:lineRule="auto"/>
            </w:pPr>
            <w:r>
              <w:rPr>
                <w:b w:val="0"/>
                <w:sz w:val="18"/>
              </w:rPr>
              <w:t>The total price of a home, floor area × PSF. It is what a buyer pays and borrows against.</w:t>
            </w:r>
          </w:p>
        </w:tc>
        <w:tc>
          <w:tcPr>
            <w:tcW w:type="dxa" w:w="1134"/>
          </w:tcPr>
          <w:p>
            <w:pPr>
              <w:spacing w:after="20" w:line="252" w:lineRule="auto"/>
            </w:pPr>
            <w:r>
              <w:rPr>
                <w:b w:val="0"/>
                <w:sz w:val="18"/>
              </w:rPr>
              <w:t>5, 8, 9</w:t>
            </w:r>
          </w:p>
        </w:tc>
      </w:tr>
      <w:tr>
        <w:tc>
          <w:tcPr>
            <w:tcW w:type="dxa" w:w="1928"/>
          </w:tcPr>
          <w:p>
            <w:pPr>
              <w:spacing w:after="20" w:line="252" w:lineRule="auto"/>
            </w:pPr>
            <w:r>
              <w:rPr>
                <w:b/>
                <w:sz w:val="18"/>
              </w:rPr>
              <w:t>New launch, resale, sub sale</w:t>
            </w:r>
          </w:p>
        </w:tc>
        <w:tc>
          <w:tcPr>
            <w:tcW w:type="dxa" w:w="6350"/>
          </w:tcPr>
          <w:p>
            <w:pPr>
              <w:spacing w:after="20" w:line="252" w:lineRule="auto"/>
            </w:pPr>
            <w:r>
              <w:rPr>
                <w:b w:val="0"/>
                <w:sz w:val="18"/>
              </w:rPr>
              <w:t>New launch: bought from the developer. Resale: second-hand. Sub sale: bought from someone who bought from the developer before the building was finished. Sub sales (4% of 2025) are left out of new-vs-resale comparisons.</w:t>
            </w:r>
          </w:p>
        </w:tc>
        <w:tc>
          <w:tcPr>
            <w:tcW w:type="dxa" w:w="1134"/>
          </w:tcPr>
          <w:p>
            <w:pPr>
              <w:spacing w:after="20" w:line="252" w:lineRule="auto"/>
            </w:pPr>
            <w:r>
              <w:rPr>
                <w:b w:val="0"/>
                <w:sz w:val="18"/>
              </w:rPr>
              <w:t>1, 6, 9</w:t>
            </w:r>
          </w:p>
        </w:tc>
      </w:tr>
      <w:tr>
        <w:tc>
          <w:tcPr>
            <w:tcW w:type="dxa" w:w="1928"/>
          </w:tcPr>
          <w:p>
            <w:pPr>
              <w:spacing w:after="20" w:line="252" w:lineRule="auto"/>
            </w:pPr>
            <w:r>
              <w:rPr>
                <w:b/>
                <w:sz w:val="18"/>
              </w:rPr>
              <w:t>Lease-start year</w:t>
            </w:r>
          </w:p>
        </w:tc>
        <w:tc>
          <w:tcPr>
            <w:tcW w:type="dxa" w:w="6350"/>
          </w:tcPr>
          <w:p>
            <w:pPr>
              <w:spacing w:after="20" w:line="252" w:lineRule="auto"/>
            </w:pPr>
            <w:r>
              <w:rPr>
                <w:b w:val="0"/>
                <w:sz w:val="18"/>
              </w:rPr>
              <w:t>The year a 99-year lease began. For a condo on government land it is roughly when the land was sold, which is when the developer planned the unit sizes. We use it as a home's vintage. Freehold homes have none, so the vintage charts use 99-year leaseholds only.</w:t>
            </w:r>
          </w:p>
        </w:tc>
        <w:tc>
          <w:tcPr>
            <w:tcW w:type="dxa" w:w="1134"/>
          </w:tcPr>
          <w:p>
            <w:pPr>
              <w:spacing w:after="20" w:line="252" w:lineRule="auto"/>
            </w:pPr>
            <w:r>
              <w:rPr>
                <w:b w:val="0"/>
                <w:sz w:val="18"/>
              </w:rPr>
              <w:t>2 to 5</w:t>
            </w:r>
          </w:p>
        </w:tc>
      </w:tr>
      <w:tr>
        <w:tc>
          <w:tcPr>
            <w:tcW w:type="dxa" w:w="1928"/>
          </w:tcPr>
          <w:p>
            <w:pPr>
              <w:spacing w:after="20" w:line="252" w:lineRule="auto"/>
            </w:pPr>
            <w:r>
              <w:rPr>
                <w:b/>
                <w:sz w:val="18"/>
              </w:rPr>
              <w:t>Shoebox</w:t>
            </w:r>
          </w:p>
        </w:tc>
        <w:tc>
          <w:tcPr>
            <w:tcW w:type="dxa" w:w="6350"/>
          </w:tcPr>
          <w:p>
            <w:pPr>
              <w:spacing w:after="20" w:line="252" w:lineRule="auto"/>
            </w:pPr>
            <w:r>
              <w:rPr>
                <w:b w:val="0"/>
                <w:sz w:val="18"/>
              </w:rPr>
              <w:t>A unit of 506 sq ft (47 m²) or less.</w:t>
            </w:r>
          </w:p>
        </w:tc>
        <w:tc>
          <w:tcPr>
            <w:tcW w:type="dxa" w:w="1134"/>
          </w:tcPr>
          <w:p>
            <w:pPr>
              <w:spacing w:after="20" w:line="252" w:lineRule="auto"/>
            </w:pPr>
            <w:r>
              <w:rPr>
                <w:b w:val="0"/>
                <w:sz w:val="18"/>
              </w:rPr>
              <w:t>3</w:t>
            </w:r>
          </w:p>
        </w:tc>
      </w:tr>
      <w:tr>
        <w:tc>
          <w:tcPr>
            <w:tcW w:type="dxa" w:w="1928"/>
          </w:tcPr>
          <w:p>
            <w:pPr>
              <w:spacing w:after="20" w:line="252" w:lineRule="auto"/>
            </w:pPr>
            <w:r>
              <w:rPr>
                <w:b/>
                <w:sz w:val="18"/>
              </w:rPr>
              <w:t>URA unit cap</w:t>
            </w:r>
          </w:p>
        </w:tc>
        <w:tc>
          <w:tcPr>
            <w:tcW w:type="dxa" w:w="6350"/>
          </w:tcPr>
          <w:p>
            <w:pPr>
              <w:spacing w:after="20" w:line="252" w:lineRule="auto"/>
            </w:pPr>
            <w:r>
              <w:rPr>
                <w:b w:val="0"/>
                <w:sz w:val="18"/>
              </w:rPr>
              <w:t>Since January 2012 a condo outside the Central Area may have at most total floor area ÷ 70 m² units. From 17 January 2019 the divisor is 85 m². More floor area per unit puts a floor under the average unit size.</w:t>
            </w:r>
          </w:p>
        </w:tc>
        <w:tc>
          <w:tcPr>
            <w:tcW w:type="dxa" w:w="1134"/>
          </w:tcPr>
          <w:p>
            <w:pPr>
              <w:spacing w:after="20" w:line="252" w:lineRule="auto"/>
            </w:pPr>
            <w:r>
              <w:rPr>
                <w:b w:val="0"/>
                <w:sz w:val="18"/>
              </w:rPr>
              <w:t>2, 3, 5, 9</w:t>
            </w:r>
          </w:p>
        </w:tc>
      </w:tr>
      <w:tr>
        <w:tc>
          <w:tcPr>
            <w:tcW w:type="dxa" w:w="1928"/>
          </w:tcPr>
          <w:p>
            <w:pPr>
              <w:spacing w:after="20" w:line="252" w:lineRule="auto"/>
            </w:pPr>
            <w:r>
              <w:rPr>
                <w:b/>
                <w:sz w:val="18"/>
              </w:rPr>
              <w:t>MAS loan limit (TDSR)</w:t>
            </w:r>
          </w:p>
        </w:tc>
        <w:tc>
          <w:tcPr>
            <w:tcW w:type="dxa" w:w="6350"/>
          </w:tcPr>
          <w:p>
            <w:pPr>
              <w:spacing w:after="20" w:line="252" w:lineRule="auto"/>
            </w:pPr>
            <w:r>
              <w:rPr>
                <w:b w:val="0"/>
                <w:sz w:val="18"/>
              </w:rPr>
              <w:t>Total debt servicing ratio: all loan repayments can take at most 55% of gross monthly income, worked out at 4% interest or the actual rate, whichever is higher. Banks lend at most 75% of the price on a loan of 30 years or less.</w:t>
            </w:r>
          </w:p>
        </w:tc>
        <w:tc>
          <w:tcPr>
            <w:tcW w:type="dxa" w:w="1134"/>
          </w:tcPr>
          <w:p>
            <w:pPr>
              <w:spacing w:after="20" w:line="252" w:lineRule="auto"/>
            </w:pPr>
            <w:r>
              <w:rPr>
                <w:b w:val="0"/>
                <w:sz w:val="18"/>
              </w:rPr>
              <w:t>8</w:t>
            </w:r>
          </w:p>
        </w:tc>
      </w:tr>
      <w:tr>
        <w:tc>
          <w:tcPr>
            <w:tcW w:type="dxa" w:w="1928"/>
          </w:tcPr>
          <w:p>
            <w:pPr>
              <w:spacing w:after="20" w:line="252" w:lineRule="auto"/>
            </w:pPr>
            <w:r>
              <w:rPr>
                <w:b/>
                <w:sz w:val="18"/>
              </w:rPr>
              <w:t>CCR, RCR, OCR</w:t>
            </w:r>
          </w:p>
        </w:tc>
        <w:tc>
          <w:tcPr>
            <w:tcW w:type="dxa" w:w="6350"/>
          </w:tcPr>
          <w:p>
            <w:pPr>
              <w:spacing w:after="20" w:line="252" w:lineRule="auto"/>
            </w:pPr>
            <w:r>
              <w:rPr>
                <w:b w:val="0"/>
                <w:sz w:val="18"/>
              </w:rPr>
              <w:t>URA's three regions: core central (prime), rest of central (city fringe) and outside central (suburbs).</w:t>
            </w:r>
          </w:p>
        </w:tc>
        <w:tc>
          <w:tcPr>
            <w:tcW w:type="dxa" w:w="1134"/>
          </w:tcPr>
          <w:p>
            <w:pPr>
              <w:spacing w:after="20" w:line="252" w:lineRule="auto"/>
            </w:pPr>
            <w:r>
              <w:rPr>
                <w:b w:val="0"/>
                <w:sz w:val="18"/>
              </w:rPr>
              <w:t>9</w:t>
            </w:r>
          </w:p>
        </w:tc>
      </w:tr>
      <w:tr>
        <w:tc>
          <w:tcPr>
            <w:tcW w:type="dxa" w:w="1928"/>
          </w:tcPr>
          <w:p>
            <w:pPr>
              <w:spacing w:after="20" w:line="252" w:lineRule="auto"/>
            </w:pPr>
            <w:r>
              <w:rPr>
                <w:b/>
                <w:sz w:val="18"/>
              </w:rPr>
              <w:t>Median</w:t>
            </w:r>
          </w:p>
        </w:tc>
        <w:tc>
          <w:tcPr>
            <w:tcW w:type="dxa" w:w="6350"/>
          </w:tcPr>
          <w:p>
            <w:pPr>
              <w:spacing w:after="20" w:line="252" w:lineRule="auto"/>
            </w:pPr>
            <w:r>
              <w:rPr>
                <w:b w:val="0"/>
                <w:sz w:val="18"/>
              </w:rPr>
              <w:t>The middle value. Used throughout because a few very large or very expensive homes would pull an average.</w:t>
            </w:r>
          </w:p>
        </w:tc>
        <w:tc>
          <w:tcPr>
            <w:tcW w:type="dxa" w:w="1134"/>
          </w:tcPr>
          <w:p>
            <w:pPr>
              <w:spacing w:after="20" w:line="252" w:lineRule="auto"/>
            </w:pPr>
            <w:r>
              <w:rPr>
                <w:b w:val="0"/>
                <w:sz w:val="18"/>
              </w:rPr>
              <w:t>All</w:t>
            </w:r>
          </w:p>
        </w:tc>
      </w:tr>
    </w:tbl>
    <w:p/>
    <w:p>
      <w:pPr>
        <w:pStyle w:val="Heading1"/>
      </w:pPr>
      <w:r>
        <w:t>4. Data and cleaning</w:t>
      </w:r>
    </w:p>
    <w:p>
      <w:pPr>
        <w:pStyle w:val="ListBullet"/>
      </w:pPr>
      <w:r>
        <w:rPr>
          <w:b/>
        </w:rPr>
        <w:t>properties2025.csv</w:t>
      </w:r>
      <w:r>
        <w:rPr>
          <w:b w:val="0"/>
        </w:rPr>
        <w:t xml:space="preserve"> (course dataset): 24,151 private home transactions in 2025, 12 columns.</w:t>
      </w:r>
    </w:p>
    <w:p>
      <w:pPr>
        <w:pStyle w:val="ListBullet"/>
      </w:pPr>
      <w:r>
        <w:rPr>
          <w:b/>
        </w:rPr>
        <w:t>properties23.csv</w:t>
      </w:r>
      <w:r>
        <w:rPr>
          <w:b w:val="0"/>
        </w:rPr>
        <w:t xml:space="preserve"> (Lecture 6): 74,571 transactions from Aug 2020 to Dec 2023 with the same columns. Aug to Oct 2021 is missing in the file, and neither file covers 2024.</w:t>
      </w:r>
    </w:p>
    <w:p>
      <w:pPr>
        <w:pStyle w:val="ListBullet"/>
      </w:pPr>
      <w:r>
        <w:rPr>
          <w:b/>
        </w:rPr>
        <w:t>Cleaning:</w:t>
      </w:r>
      <w:r>
        <w:rPr>
          <w:b w:val="0"/>
        </w:rPr>
        <w:t xml:space="preserve"> the 2025 file spells freehold as "freenhold" in 4,600 rows, which is fixed. 155 rows with floor area under 200 or over 5,000 sq ft are dropped (20 from 2025, 135 from 2020 to 2023). They are en-bloc sales of whole buildings and penthouses. 98,567 rows remain.</w:t>
      </w:r>
    </w:p>
    <w:p>
      <w:pPr>
        <w:pStyle w:val="ListBullet"/>
      </w:pPr>
      <w:r>
        <w:rPr>
          <w:b/>
        </w:rPr>
        <w:t>Vintage charts (2 to 5)</w:t>
      </w:r>
      <w:r>
        <w:rPr>
          <w:b w:val="0"/>
        </w:rPr>
        <w:t xml:space="preserve"> use the 66,237 sales of 99-year leaseholds with a lease-start year from 1990 onwards.</w:t>
      </w:r>
    </w:p>
    <w:p>
      <w:pPr>
        <w:pStyle w:val="ListBullet"/>
      </w:pPr>
      <w:r>
        <w:rPr>
          <w:b/>
        </w:rPr>
        <w:t>Outside data:</w:t>
      </w:r>
      <w:r>
        <w:rPr>
          <w:b w:val="0"/>
        </w:rPr>
        <w:t xml:space="preserve"> URA's private residential price index (quarterly, 1Q2009 = 100) and SingStat's yearly change in median household employment income, both from data.gov.sg; the 2025 median household income of S$12,446 from SingStat's Key Household Income Trends 2025; MAS loan rules; URA circular DC18-06.</w:t>
      </w:r>
    </w:p>
    <w:p>
      <w:pPr>
        <w:pStyle w:val="ListBullet"/>
      </w:pPr>
      <w:r>
        <w:rPr>
          <w:b/>
        </w:rPr>
        <w:t>Tools:</w:t>
      </w:r>
      <w:r>
        <w:rPr>
          <w:b w:val="0"/>
        </w:rPr>
        <w:t xml:space="preserve"> Python with Polars for the data, matplotlib for the charts and statsmodels for the regression. Everything is in shrinkflation.ipynb and runs top to bottom.</w:t>
      </w:r>
    </w:p>
    <w:p>
      <w:pPr>
        <w:pStyle w:val="Heading1"/>
      </w:pPr>
      <w:r>
        <w:t>5. Chart by chart</w:t>
      </w:r>
    </w:p>
    <w:p>
      <w:r>
        <w:rPr>
          <w:b w:val="0"/>
        </w:rPr>
        <w:t>Each chart below has the takeaway from the poster, what it shows, how to read it, why we picked that chart type, what to watch out for, and answers to questions you might get.</w:t>
      </w:r>
    </w:p>
    <w:p>
      <w:pPr>
        <w:pStyle w:val="Heading2"/>
        <w:pageBreakBefore/>
      </w:pPr>
      <w:r>
        <w:t>Chart 1: back-to-back histogram</w:t>
      </w:r>
    </w:p>
    <w:p>
      <w:pPr>
        <w:keepNext/>
      </w:pPr>
      <w:r>
        <w:rPr>
          <w:b/>
          <w:color w:val="C44E1E"/>
          <w:sz w:val="22"/>
        </w:rPr>
        <w:t>New launches are 21% smaller than resale homes</w:t>
      </w:r>
    </w:p>
    <w:p>
      <w:pPr>
        <w:jc w:val="center"/>
      </w:pPr>
      <w:r>
        <w:drawing>
          <wp:inline xmlns:a="http://schemas.openxmlformats.org/drawingml/2006/main" xmlns:pic="http://schemas.openxmlformats.org/drawingml/2006/picture">
            <wp:extent cx="3096000" cy="2558136"/>
            <wp:docPr id="1" name="Picture 1"/>
            <wp:cNvGraphicFramePr>
              <a:graphicFrameLocks noChangeAspect="1"/>
            </wp:cNvGraphicFramePr>
            <a:graphic>
              <a:graphicData uri="http://schemas.openxmlformats.org/drawingml/2006/picture">
                <pic:pic>
                  <pic:nvPicPr>
                    <pic:cNvPr id="0" name="01_histogram.png"/>
                    <pic:cNvPicPr/>
                  </pic:nvPicPr>
                  <pic:blipFill>
                    <a:blip r:embed="rId10"/>
                    <a:stretch>
                      <a:fillRect/>
                    </a:stretch>
                  </pic:blipFill>
                  <pic:spPr>
                    <a:xfrm>
                      <a:off x="0" y="0"/>
                      <a:ext cx="3096000" cy="2558136"/>
                    </a:xfrm>
                    <a:prstGeom prst="rect"/>
                  </pic:spPr>
                </pic:pic>
              </a:graphicData>
            </a:graphic>
          </wp:inline>
        </w:drawing>
      </w:r>
    </w:p>
    <w:p>
      <w:pPr>
        <w:pStyle w:val="Heading3"/>
      </w:pPr>
      <w:r>
        <w:t>What it shows</w:t>
      </w:r>
    </w:p>
    <w:p>
      <w:r>
        <w:rPr>
          <w:b w:val="0"/>
        </w:rPr>
        <w:t>The size of every home sold in 2025, split into new launches (10,643 sales) and resale homes (12,549). The median new unit has 797 sq ft, the median resale home 1,012 sq ft. Homes of 1,200 sq ft or more make up 34% of resale sales but only 18% of new launches. New launches also cost far more per sq ft: S$2,572 against S$1,747.</w:t>
      </w:r>
    </w:p>
    <w:p>
      <w:pPr>
        <w:pStyle w:val="Heading3"/>
      </w:pPr>
      <w:r>
        <w:t>How to read it</w:t>
      </w:r>
    </w:p>
    <w:p>
      <w:pPr>
        <w:pStyle w:val="ListBullet"/>
      </w:pPr>
      <w:r>
        <w:rPr>
          <w:b w:val="0"/>
        </w:rPr>
        <w:t>Each bar is a 50 sq ft band. Orange bars above the axis are new launches, blue bars below are resale.</w:t>
      </w:r>
    </w:p>
    <w:p>
      <w:pPr>
        <w:pStyle w:val="ListBullet"/>
      </w:pPr>
      <w:r>
        <w:rPr>
          <w:b w:val="0"/>
        </w:rPr>
        <w:t>Bar height is that band's share of its own group, so both groups add up to 100% and can be compared even though their sales counts differ.</w:t>
      </w:r>
    </w:p>
    <w:p>
      <w:pPr>
        <w:pStyle w:val="ListBullet"/>
      </w:pPr>
      <w:r>
        <w:rPr>
          <w:b w:val="0"/>
        </w:rPr>
        <w:t>The black lines mark the two medians. The grey area is 1,200 sq ft and up.</w:t>
      </w:r>
    </w:p>
    <w:p>
      <w:pPr>
        <w:pStyle w:val="Heading3"/>
      </w:pPr>
      <w:r>
        <w:t>Why this chart</w:t>
      </w:r>
    </w:p>
    <w:p>
      <w:r>
        <w:rPr>
          <w:b w:val="0"/>
        </w:rPr>
        <w:t>A histogram shows the whole shape of the sizes, not just an average. Putting the two groups back to back stops the bars from overlapping, which turns two histograms on one axis into a muddy block. It also shows where the gap sits: new launches pile up between 500 and 900 sq ft, and the long right tail is almost all blue.</w:t>
      </w:r>
    </w:p>
    <w:p>
      <w:pPr>
        <w:pStyle w:val="Heading3"/>
      </w:pPr>
      <w:r>
        <w:t>Watch out for</w:t>
      </w:r>
    </w:p>
    <w:p>
      <w:r>
        <w:rPr>
          <w:b w:val="0"/>
        </w:rPr>
        <w:t>This compares what sold in 2025, not like-for-like homes. Resale homes are older and some are in different places. That is why charts 2 to 4 compare homes by the year their land was sold and check for district.</w:t>
      </w:r>
    </w:p>
    <w:p>
      <w:pPr>
        <w:pStyle w:val="Heading3"/>
      </w:pPr>
      <w:r>
        <w:t>If someone asks</w:t>
      </w:r>
    </w:p>
    <w:p>
      <w:pPr>
        <w:pStyle w:val="ListBullet"/>
      </w:pPr>
      <w:r>
        <w:rPr>
          <w:b w:val="0"/>
        </w:rPr>
        <w:t>Why medians? Floor area and price are skewed by a few very large homes. The median is the typical home.</w:t>
      </w:r>
    </w:p>
    <w:p>
      <w:pPr>
        <w:pStyle w:val="ListBullet"/>
      </w:pPr>
      <w:r>
        <w:rPr>
          <w:b w:val="0"/>
        </w:rPr>
        <w:t>Where are sub sales? They are new homes resold before completion, so they belong to neither group (939 sales, 4%).</w:t>
      </w:r>
    </w:p>
    <w:p>
      <w:r>
        <w:rPr>
          <w:b w:val="0"/>
          <w:color w:val="52514E"/>
        </w:rPr>
        <w:t>Lead into chart 2: "So new homes are smaller today. Chart 2 shows when that happened."</w:t>
      </w:r>
    </w:p>
    <w:p>
      <w:pPr>
        <w:pStyle w:val="Heading2"/>
        <w:pageBreakBefore/>
      </w:pPr>
      <w:r>
        <w:t>Chart 2: line with interquartile band</w:t>
      </w:r>
    </w:p>
    <w:p>
      <w:pPr>
        <w:keepNext/>
      </w:pPr>
      <w:r>
        <w:rPr>
          <w:b/>
          <w:color w:val="C44E1E"/>
          <w:sz w:val="22"/>
        </w:rPr>
        <w:t>Homes shrank 43% for land sold after 2008</w:t>
      </w:r>
    </w:p>
    <w:p>
      <w:pPr>
        <w:jc w:val="center"/>
      </w:pPr>
      <w:r>
        <w:drawing>
          <wp:inline xmlns:a="http://schemas.openxmlformats.org/drawingml/2006/main" xmlns:pic="http://schemas.openxmlformats.org/drawingml/2006/picture">
            <wp:extent cx="3096000" cy="2558136"/>
            <wp:docPr id="2" name="Picture 2"/>
            <wp:cNvGraphicFramePr>
              <a:graphicFrameLocks noChangeAspect="1"/>
            </wp:cNvGraphicFramePr>
            <a:graphic>
              <a:graphicData uri="http://schemas.openxmlformats.org/drawingml/2006/picture">
                <pic:pic>
                  <pic:nvPicPr>
                    <pic:cNvPr id="0" name="02_line_vintage.png"/>
                    <pic:cNvPicPr/>
                  </pic:nvPicPr>
                  <pic:blipFill>
                    <a:blip r:embed="rId11"/>
                    <a:stretch>
                      <a:fillRect/>
                    </a:stretch>
                  </pic:blipFill>
                  <pic:spPr>
                    <a:xfrm>
                      <a:off x="0" y="0"/>
                      <a:ext cx="3096000" cy="2558136"/>
                    </a:xfrm>
                    <a:prstGeom prst="rect"/>
                  </pic:spPr>
                </pic:pic>
              </a:graphicData>
            </a:graphic>
          </wp:inline>
        </w:drawing>
      </w:r>
    </w:p>
    <w:p>
      <w:pPr>
        <w:pStyle w:val="Heading3"/>
      </w:pPr>
      <w:r>
        <w:t>What it shows</w:t>
      </w:r>
    </w:p>
    <w:p>
      <w:r>
        <w:rPr>
          <w:b w:val="0"/>
        </w:rPr>
        <w:t>The floor area of every 2020 to 2025 sale of a 99-year leasehold, by the year its lease started. Homes on land sold up to 2008 sat around 1,200 sq ft (median 1,238 for 2005 to 2008). For land sold in 2013 to 2015 the median is 710 sq ft, 43% smaller. Since then it has stayed between about 680 and 860 sq ft.</w:t>
      </w:r>
    </w:p>
    <w:p>
      <w:pPr>
        <w:pStyle w:val="Heading3"/>
      </w:pPr>
      <w:r>
        <w:t>How to read it</w:t>
      </w:r>
    </w:p>
    <w:p>
      <w:pPr>
        <w:pStyle w:val="ListBullet"/>
      </w:pPr>
      <w:r>
        <w:rPr>
          <w:b w:val="0"/>
        </w:rPr>
        <w:t>The x-axis is the lease-start year, close to when the land was sold.</w:t>
      </w:r>
    </w:p>
    <w:p>
      <w:pPr>
        <w:pStyle w:val="ListBullet"/>
      </w:pPr>
      <w:r>
        <w:rPr>
          <w:b w:val="0"/>
        </w:rPr>
        <w:t>The blue line is the median floor area. The light band covers the middle 50% of units (25th to 75th percentile).</w:t>
      </w:r>
    </w:p>
    <w:p>
      <w:pPr>
        <w:pStyle w:val="ListBullet"/>
      </w:pPr>
      <w:r>
        <w:rPr>
          <w:b w:val="0"/>
        </w:rPr>
        <w:t>The two vertical lines mark URA's unit cap in 2012 (floor area ÷ 70 m²) and its tightening in 2019 (÷ 85 m²).</w:t>
      </w:r>
    </w:p>
    <w:p>
      <w:pPr>
        <w:pStyle w:val="ListBullet"/>
      </w:pPr>
      <w:r>
        <w:rPr>
          <w:b w:val="0"/>
        </w:rPr>
        <w:t>Years with fewer than 100 sales are left out.</w:t>
      </w:r>
    </w:p>
    <w:p>
      <w:pPr>
        <w:pStyle w:val="Heading3"/>
      </w:pPr>
      <w:r>
        <w:t>Why this chart</w:t>
      </w:r>
    </w:p>
    <w:p>
      <w:r>
        <w:rPr>
          <w:b w:val="0"/>
        </w:rPr>
        <w:t>A line is the natural form for change over time. The band adds the spread, which shows the whole range of sizes moved down and not only the middle. The key choice is lease-start year instead of sale year: a resale home sold in 2025 was designed when its land was sold, so lease-start year dates the design decision.</w:t>
      </w:r>
    </w:p>
    <w:p>
      <w:pPr>
        <w:pStyle w:val="Heading3"/>
      </w:pPr>
      <w:r>
        <w:t>Watch out for</w:t>
      </w:r>
    </w:p>
    <w:p>
      <w:r>
        <w:rPr>
          <w:b w:val="0"/>
        </w:rPr>
        <w:t>The dip at 2002 is one year with few projects. Recent lease-start years have few sales so far (2025 has 781 sales from 3 projects), so the last point is noisy. The chart only includes homes that changed hands in 2020 to 2025.</w:t>
      </w:r>
    </w:p>
    <w:p>
      <w:pPr>
        <w:pStyle w:val="Heading3"/>
      </w:pPr>
      <w:r>
        <w:t>If someone asks</w:t>
      </w:r>
    </w:p>
    <w:p>
      <w:pPr>
        <w:pStyle w:val="ListBullet"/>
      </w:pPr>
      <w:r>
        <w:rPr>
          <w:b w:val="0"/>
        </w:rPr>
        <w:t>Why is lease-start year the year the land was sold? A condo on government land gets a 99-year lease that starts around when the land is awarded. The developer designs and launches within the next few years.</w:t>
      </w:r>
    </w:p>
    <w:p>
      <w:pPr>
        <w:pStyle w:val="ListBullet"/>
      </w:pPr>
      <w:r>
        <w:rPr>
          <w:b w:val="0"/>
        </w:rPr>
        <w:t>Did the cap stop the shrink? The timing fits, and URA brought in the cap to curb shoeboxes, but this chart on its own cannot prove cause and effect.</w:t>
      </w:r>
    </w:p>
    <w:p>
      <w:r>
        <w:rPr>
          <w:b w:val="0"/>
          <w:color w:val="52514E"/>
        </w:rPr>
        <w:t>Lead into chart 3: "Which sizes disappeared?"</w:t>
      </w:r>
    </w:p>
    <w:p>
      <w:pPr>
        <w:pStyle w:val="Heading2"/>
        <w:pageBreakBefore/>
      </w:pPr>
      <w:r>
        <w:t>Chart 3: 100% stacked bar</w:t>
      </w:r>
    </w:p>
    <w:p>
      <w:pPr>
        <w:keepNext/>
      </w:pPr>
      <w:r>
        <w:rPr>
          <w:b/>
          <w:color w:val="C44E1E"/>
          <w:sz w:val="22"/>
        </w:rPr>
        <w:t>Shoeboxes rose from 1% to 13%, big homes fell from 34% to 8%</w:t>
      </w:r>
    </w:p>
    <w:p>
      <w:pPr>
        <w:jc w:val="center"/>
      </w:pPr>
      <w:r>
        <w:drawing>
          <wp:inline xmlns:a="http://schemas.openxmlformats.org/drawingml/2006/main" xmlns:pic="http://schemas.openxmlformats.org/drawingml/2006/picture">
            <wp:extent cx="3096000" cy="2558136"/>
            <wp:docPr id="3" name="Picture 3"/>
            <wp:cNvGraphicFramePr>
              <a:graphicFrameLocks noChangeAspect="1"/>
            </wp:cNvGraphicFramePr>
            <a:graphic>
              <a:graphicData uri="http://schemas.openxmlformats.org/drawingml/2006/picture">
                <pic:pic>
                  <pic:nvPicPr>
                    <pic:cNvPr id="0" name="03_stacked_mix.png"/>
                    <pic:cNvPicPr/>
                  </pic:nvPicPr>
                  <pic:blipFill>
                    <a:blip r:embed="rId12"/>
                    <a:stretch>
                      <a:fillRect/>
                    </a:stretch>
                  </pic:blipFill>
                  <pic:spPr>
                    <a:xfrm>
                      <a:off x="0" y="0"/>
                      <a:ext cx="3096000" cy="2558136"/>
                    </a:xfrm>
                    <a:prstGeom prst="rect"/>
                  </pic:spPr>
                </pic:pic>
              </a:graphicData>
            </a:graphic>
          </wp:inline>
        </w:drawing>
      </w:r>
    </w:p>
    <w:p>
      <w:pPr>
        <w:pStyle w:val="Heading3"/>
      </w:pPr>
      <w:r>
        <w:t>What it shows</w:t>
      </w:r>
    </w:p>
    <w:p>
      <w:r>
        <w:rPr>
          <w:b w:val="0"/>
        </w:rPr>
        <w:t>The mix of sizes in each lease-start era, as shares of units.</w:t>
      </w:r>
    </w:p>
    <w:tbl>
      <w:tblPr>
        <w:tblStyle w:val="TableGrid"/>
        <w:tblW w:type="auto" w:w="0"/>
        <w:jc w:val="center"/>
        <w:tblLayout w:type="fixed"/>
        <w:tblLook w:firstColumn="1" w:firstRow="1" w:lastColumn="0" w:lastRow="0" w:noHBand="0" w:noVBand="1" w:val="04A0"/>
      </w:tblPr>
      <w:tblGrid>
        <w:gridCol w:w="1587"/>
        <w:gridCol w:w="1587"/>
        <w:gridCol w:w="1474"/>
        <w:gridCol w:w="1474"/>
        <w:gridCol w:w="1587"/>
        <w:gridCol w:w="1474"/>
      </w:tblGrid>
      <w:tr>
        <w:tc>
          <w:tcPr>
            <w:tcW w:type="dxa" w:w="1587"/>
            <w:shd w:val="clear" w:color="auto" w:fill="E3ECF8"/>
          </w:tcPr>
          <w:p>
            <w:pPr>
              <w:spacing w:after="20" w:line="252" w:lineRule="auto"/>
            </w:pPr>
            <w:r>
              <w:rPr>
                <w:b/>
                <w:sz w:val="18"/>
              </w:rPr>
              <w:t>Lease start</w:t>
            </w:r>
          </w:p>
        </w:tc>
        <w:tc>
          <w:tcPr>
            <w:tcW w:type="dxa" w:w="1587"/>
            <w:shd w:val="clear" w:color="auto" w:fill="E3ECF8"/>
          </w:tcPr>
          <w:p>
            <w:pPr>
              <w:spacing w:after="20" w:line="252" w:lineRule="auto"/>
            </w:pPr>
            <w:r>
              <w:rPr>
                <w:b/>
                <w:sz w:val="18"/>
              </w:rPr>
              <w:t>≤506 (shoebox)</w:t>
            </w:r>
          </w:p>
        </w:tc>
        <w:tc>
          <w:tcPr>
            <w:tcW w:type="dxa" w:w="1474"/>
            <w:shd w:val="clear" w:color="auto" w:fill="E3ECF8"/>
          </w:tcPr>
          <w:p>
            <w:pPr>
              <w:spacing w:after="20" w:line="252" w:lineRule="auto"/>
            </w:pPr>
            <w:r>
              <w:rPr>
                <w:b/>
                <w:sz w:val="18"/>
              </w:rPr>
              <w:t>507–750</w:t>
            </w:r>
          </w:p>
        </w:tc>
        <w:tc>
          <w:tcPr>
            <w:tcW w:type="dxa" w:w="1474"/>
            <w:shd w:val="clear" w:color="auto" w:fill="E3ECF8"/>
          </w:tcPr>
          <w:p>
            <w:pPr>
              <w:spacing w:after="20" w:line="252" w:lineRule="auto"/>
            </w:pPr>
            <w:r>
              <w:rPr>
                <w:b/>
                <w:sz w:val="18"/>
              </w:rPr>
              <w:t>751–1,000</w:t>
            </w:r>
          </w:p>
        </w:tc>
        <w:tc>
          <w:tcPr>
            <w:tcW w:type="dxa" w:w="1587"/>
            <w:shd w:val="clear" w:color="auto" w:fill="E3ECF8"/>
          </w:tcPr>
          <w:p>
            <w:pPr>
              <w:spacing w:after="20" w:line="252" w:lineRule="auto"/>
            </w:pPr>
            <w:r>
              <w:rPr>
                <w:b/>
                <w:sz w:val="18"/>
              </w:rPr>
              <w:t>1,001–1,300</w:t>
            </w:r>
          </w:p>
        </w:tc>
        <w:tc>
          <w:tcPr>
            <w:tcW w:type="dxa" w:w="1474"/>
            <w:shd w:val="clear" w:color="auto" w:fill="E3ECF8"/>
          </w:tcPr>
          <w:p>
            <w:pPr>
              <w:spacing w:after="20" w:line="252" w:lineRule="auto"/>
            </w:pPr>
            <w:r>
              <w:rPr>
                <w:b/>
                <w:sz w:val="18"/>
              </w:rPr>
              <w:t>&gt;1,300</w:t>
            </w:r>
          </w:p>
        </w:tc>
      </w:tr>
      <w:tr>
        <w:tc>
          <w:tcPr>
            <w:tcW w:type="dxa" w:w="1587"/>
          </w:tcPr>
          <w:p>
            <w:pPr>
              <w:spacing w:after="20" w:line="252" w:lineRule="auto"/>
            </w:pPr>
            <w:r>
              <w:rPr>
                <w:b/>
                <w:sz w:val="18"/>
              </w:rPr>
              <w:t>1990–2008</w:t>
            </w:r>
          </w:p>
        </w:tc>
        <w:tc>
          <w:tcPr>
            <w:tcW w:type="dxa" w:w="1587"/>
          </w:tcPr>
          <w:p>
            <w:pPr>
              <w:spacing w:after="20" w:line="252" w:lineRule="auto"/>
            </w:pPr>
            <w:r>
              <w:rPr>
                <w:b w:val="0"/>
                <w:sz w:val="18"/>
              </w:rPr>
              <w:t>1%</w:t>
            </w:r>
          </w:p>
        </w:tc>
        <w:tc>
          <w:tcPr>
            <w:tcW w:type="dxa" w:w="1474"/>
          </w:tcPr>
          <w:p>
            <w:pPr>
              <w:spacing w:after="20" w:line="252" w:lineRule="auto"/>
            </w:pPr>
            <w:r>
              <w:rPr>
                <w:b w:val="0"/>
                <w:sz w:val="18"/>
              </w:rPr>
              <w:t>5%</w:t>
            </w:r>
          </w:p>
        </w:tc>
        <w:tc>
          <w:tcPr>
            <w:tcW w:type="dxa" w:w="1474"/>
          </w:tcPr>
          <w:p>
            <w:pPr>
              <w:spacing w:after="20" w:line="252" w:lineRule="auto"/>
            </w:pPr>
            <w:r>
              <w:rPr>
                <w:b w:val="0"/>
                <w:sz w:val="18"/>
              </w:rPr>
              <w:t>19%</w:t>
            </w:r>
          </w:p>
        </w:tc>
        <w:tc>
          <w:tcPr>
            <w:tcW w:type="dxa" w:w="1587"/>
          </w:tcPr>
          <w:p>
            <w:pPr>
              <w:spacing w:after="20" w:line="252" w:lineRule="auto"/>
            </w:pPr>
            <w:r>
              <w:rPr>
                <w:b w:val="0"/>
                <w:sz w:val="18"/>
              </w:rPr>
              <w:t>41%</w:t>
            </w:r>
          </w:p>
        </w:tc>
        <w:tc>
          <w:tcPr>
            <w:tcW w:type="dxa" w:w="1474"/>
          </w:tcPr>
          <w:p>
            <w:pPr>
              <w:spacing w:after="20" w:line="252" w:lineRule="auto"/>
            </w:pPr>
            <w:r>
              <w:rPr>
                <w:b w:val="0"/>
                <w:sz w:val="18"/>
              </w:rPr>
              <w:t>34%</w:t>
            </w:r>
          </w:p>
        </w:tc>
      </w:tr>
      <w:tr>
        <w:tc>
          <w:tcPr>
            <w:tcW w:type="dxa" w:w="1587"/>
          </w:tcPr>
          <w:p>
            <w:pPr>
              <w:spacing w:after="20" w:line="252" w:lineRule="auto"/>
            </w:pPr>
            <w:r>
              <w:rPr>
                <w:b/>
                <w:sz w:val="18"/>
              </w:rPr>
              <w:t>2009–2012</w:t>
            </w:r>
          </w:p>
        </w:tc>
        <w:tc>
          <w:tcPr>
            <w:tcW w:type="dxa" w:w="1587"/>
          </w:tcPr>
          <w:p>
            <w:pPr>
              <w:spacing w:after="20" w:line="252" w:lineRule="auto"/>
            </w:pPr>
            <w:r>
              <w:rPr>
                <w:b w:val="0"/>
                <w:sz w:val="18"/>
              </w:rPr>
              <w:t>9%</w:t>
            </w:r>
          </w:p>
        </w:tc>
        <w:tc>
          <w:tcPr>
            <w:tcW w:type="dxa" w:w="1474"/>
          </w:tcPr>
          <w:p>
            <w:pPr>
              <w:spacing w:after="20" w:line="252" w:lineRule="auto"/>
            </w:pPr>
            <w:r>
              <w:rPr>
                <w:b w:val="0"/>
                <w:sz w:val="18"/>
              </w:rPr>
              <w:t>23%</w:t>
            </w:r>
          </w:p>
        </w:tc>
        <w:tc>
          <w:tcPr>
            <w:tcW w:type="dxa" w:w="1474"/>
          </w:tcPr>
          <w:p>
            <w:pPr>
              <w:spacing w:after="20" w:line="252" w:lineRule="auto"/>
            </w:pPr>
            <w:r>
              <w:rPr>
                <w:b w:val="0"/>
                <w:sz w:val="18"/>
              </w:rPr>
              <w:t>28%</w:t>
            </w:r>
          </w:p>
        </w:tc>
        <w:tc>
          <w:tcPr>
            <w:tcW w:type="dxa" w:w="1587"/>
          </w:tcPr>
          <w:p>
            <w:pPr>
              <w:spacing w:after="20" w:line="252" w:lineRule="auto"/>
            </w:pPr>
            <w:r>
              <w:rPr>
                <w:b w:val="0"/>
                <w:sz w:val="18"/>
              </w:rPr>
              <w:t>24%</w:t>
            </w:r>
          </w:p>
        </w:tc>
        <w:tc>
          <w:tcPr>
            <w:tcW w:type="dxa" w:w="1474"/>
          </w:tcPr>
          <w:p>
            <w:pPr>
              <w:spacing w:after="20" w:line="252" w:lineRule="auto"/>
            </w:pPr>
            <w:r>
              <w:rPr>
                <w:b w:val="0"/>
                <w:sz w:val="18"/>
              </w:rPr>
              <w:t>16%</w:t>
            </w:r>
          </w:p>
        </w:tc>
      </w:tr>
      <w:tr>
        <w:tc>
          <w:tcPr>
            <w:tcW w:type="dxa" w:w="1587"/>
          </w:tcPr>
          <w:p>
            <w:pPr>
              <w:spacing w:after="20" w:line="252" w:lineRule="auto"/>
            </w:pPr>
            <w:r>
              <w:rPr>
                <w:b/>
                <w:sz w:val="18"/>
              </w:rPr>
              <w:t>2013–2018</w:t>
            </w:r>
          </w:p>
        </w:tc>
        <w:tc>
          <w:tcPr>
            <w:tcW w:type="dxa" w:w="1587"/>
          </w:tcPr>
          <w:p>
            <w:pPr>
              <w:spacing w:after="20" w:line="252" w:lineRule="auto"/>
            </w:pPr>
            <w:r>
              <w:rPr>
                <w:b w:val="0"/>
                <w:sz w:val="18"/>
              </w:rPr>
              <w:t>13%</w:t>
            </w:r>
          </w:p>
        </w:tc>
        <w:tc>
          <w:tcPr>
            <w:tcW w:type="dxa" w:w="1474"/>
          </w:tcPr>
          <w:p>
            <w:pPr>
              <w:spacing w:after="20" w:line="252" w:lineRule="auto"/>
            </w:pPr>
            <w:r>
              <w:rPr>
                <w:b w:val="0"/>
                <w:sz w:val="18"/>
              </w:rPr>
              <w:t>36%</w:t>
            </w:r>
          </w:p>
        </w:tc>
        <w:tc>
          <w:tcPr>
            <w:tcW w:type="dxa" w:w="1474"/>
          </w:tcPr>
          <w:p>
            <w:pPr>
              <w:spacing w:after="20" w:line="252" w:lineRule="auto"/>
            </w:pPr>
            <w:r>
              <w:rPr>
                <w:b w:val="0"/>
                <w:sz w:val="18"/>
              </w:rPr>
              <w:t>25%</w:t>
            </w:r>
          </w:p>
        </w:tc>
        <w:tc>
          <w:tcPr>
            <w:tcW w:type="dxa" w:w="1587"/>
          </w:tcPr>
          <w:p>
            <w:pPr>
              <w:spacing w:after="20" w:line="252" w:lineRule="auto"/>
            </w:pPr>
            <w:r>
              <w:rPr>
                <w:b w:val="0"/>
                <w:sz w:val="18"/>
              </w:rPr>
              <w:t>18%</w:t>
            </w:r>
          </w:p>
        </w:tc>
        <w:tc>
          <w:tcPr>
            <w:tcW w:type="dxa" w:w="1474"/>
          </w:tcPr>
          <w:p>
            <w:pPr>
              <w:spacing w:after="20" w:line="252" w:lineRule="auto"/>
            </w:pPr>
            <w:r>
              <w:rPr>
                <w:b w:val="0"/>
                <w:sz w:val="18"/>
              </w:rPr>
              <w:t>8%</w:t>
            </w:r>
          </w:p>
        </w:tc>
      </w:tr>
      <w:tr>
        <w:tc>
          <w:tcPr>
            <w:tcW w:type="dxa" w:w="1587"/>
          </w:tcPr>
          <w:p>
            <w:pPr>
              <w:spacing w:after="20" w:line="252" w:lineRule="auto"/>
            </w:pPr>
            <w:r>
              <w:rPr>
                <w:b/>
                <w:sz w:val="18"/>
              </w:rPr>
              <w:t>2019–2025</w:t>
            </w:r>
          </w:p>
        </w:tc>
        <w:tc>
          <w:tcPr>
            <w:tcW w:type="dxa" w:w="1587"/>
          </w:tcPr>
          <w:p>
            <w:pPr>
              <w:spacing w:after="20" w:line="252" w:lineRule="auto"/>
            </w:pPr>
            <w:r>
              <w:rPr>
                <w:b w:val="0"/>
                <w:sz w:val="18"/>
              </w:rPr>
              <w:t>9%</w:t>
            </w:r>
          </w:p>
        </w:tc>
        <w:tc>
          <w:tcPr>
            <w:tcW w:type="dxa" w:w="1474"/>
          </w:tcPr>
          <w:p>
            <w:pPr>
              <w:spacing w:after="20" w:line="252" w:lineRule="auto"/>
            </w:pPr>
            <w:r>
              <w:rPr>
                <w:b w:val="0"/>
                <w:sz w:val="18"/>
              </w:rPr>
              <w:t>38%</w:t>
            </w:r>
          </w:p>
        </w:tc>
        <w:tc>
          <w:tcPr>
            <w:tcW w:type="dxa" w:w="1474"/>
          </w:tcPr>
          <w:p>
            <w:pPr>
              <w:spacing w:after="20" w:line="252" w:lineRule="auto"/>
            </w:pPr>
            <w:r>
              <w:rPr>
                <w:b w:val="0"/>
                <w:sz w:val="18"/>
              </w:rPr>
              <w:t>23%</w:t>
            </w:r>
          </w:p>
        </w:tc>
        <w:tc>
          <w:tcPr>
            <w:tcW w:type="dxa" w:w="1587"/>
          </w:tcPr>
          <w:p>
            <w:pPr>
              <w:spacing w:after="20" w:line="252" w:lineRule="auto"/>
            </w:pPr>
            <w:r>
              <w:rPr>
                <w:b w:val="0"/>
                <w:sz w:val="18"/>
              </w:rPr>
              <w:t>19%</w:t>
            </w:r>
          </w:p>
        </w:tc>
        <w:tc>
          <w:tcPr>
            <w:tcW w:type="dxa" w:w="1474"/>
          </w:tcPr>
          <w:p>
            <w:pPr>
              <w:spacing w:after="20" w:line="252" w:lineRule="auto"/>
            </w:pPr>
            <w:r>
              <w:rPr>
                <w:b w:val="0"/>
                <w:sz w:val="18"/>
              </w:rPr>
              <w:t>11%</w:t>
            </w:r>
          </w:p>
        </w:tc>
      </w:tr>
    </w:tbl>
    <w:p/>
    <w:p>
      <w:pPr>
        <w:pStyle w:val="Heading3"/>
      </w:pPr>
      <w:r>
        <w:t>How to read it</w:t>
      </w:r>
    </w:p>
    <w:p>
      <w:pPr>
        <w:pStyle w:val="ListBullet"/>
      </w:pPr>
      <w:r>
        <w:rPr>
          <w:b w:val="0"/>
        </w:rPr>
        <w:t>Each bar is one era and adds up to 100%.</w:t>
      </w:r>
    </w:p>
    <w:p>
      <w:pPr>
        <w:pStyle w:val="ListBullet"/>
      </w:pPr>
      <w:r>
        <w:rPr>
          <w:b w:val="0"/>
        </w:rPr>
        <w:t>Segments run from small (orange shoebox) to large (darkest blue). The numbers inside are percentages.</w:t>
      </w:r>
    </w:p>
    <w:p>
      <w:pPr>
        <w:pStyle w:val="ListBullet"/>
      </w:pPr>
      <w:r>
        <w:rPr>
          <w:b w:val="0"/>
        </w:rPr>
        <w:t>n under each era is the number of sales behind the bar.</w:t>
      </w:r>
    </w:p>
    <w:p>
      <w:pPr>
        <w:pStyle w:val="Heading3"/>
      </w:pPr>
      <w:r>
        <w:t>Why this chart</w:t>
      </w:r>
    </w:p>
    <w:p>
      <w:r>
        <w:rPr>
          <w:b w:val="0"/>
        </w:rPr>
        <w:t>A 100% stacked bar compares the mix across groups of different sizes. Raw counts would mostly show how many homes from each era happened to sell. Shoeboxes are orange because they are the size URA's cap was aimed at, and the blues get darker as units get bigger, so order reads as order.</w:t>
      </w:r>
    </w:p>
    <w:p>
      <w:pPr>
        <w:pStyle w:val="Heading3"/>
      </w:pPr>
      <w:r>
        <w:t>Watch out for</w:t>
      </w:r>
    </w:p>
    <w:p>
      <w:r>
        <w:rPr>
          <w:b w:val="0"/>
        </w:rPr>
        <w:t>The bands are in sq ft and do not map exactly onto bedrooms, because the data has no bedroom count. As a rough guide, 507 to 750 sq ft is one or two bedrooms and above 1,000 sq ft is three or more.</w:t>
      </w:r>
    </w:p>
    <w:p>
      <w:pPr>
        <w:pStyle w:val="Heading3"/>
      </w:pPr>
      <w:r>
        <w:t>If someone asks</w:t>
      </w:r>
    </w:p>
    <w:p>
      <w:pPr>
        <w:pStyle w:val="ListBullet"/>
      </w:pPr>
      <w:r>
        <w:rPr>
          <w:b w:val="0"/>
        </w:rPr>
        <w:t>Did the cap work? Shoeboxes fell from 13% to 9% after 2019, but big homes stayed rare at 11%. The growth went to 507 to 750 sq ft, which rose from 5% to 38% of units.</w:t>
      </w:r>
    </w:p>
    <w:p>
      <w:r>
        <w:rPr>
          <w:b w:val="0"/>
          <w:color w:val="52514E"/>
        </w:rPr>
        <w:t>Lead into chart 4: "Maybe newer homes are only smaller because they are built in different places. Chart 4 checks that."</w:t>
      </w:r>
    </w:p>
    <w:p>
      <w:pPr>
        <w:pStyle w:val="Heading2"/>
        <w:pageBreakBefore/>
      </w:pPr>
      <w:r>
        <w:t>Chart 4: coefficient plot</w:t>
      </w:r>
    </w:p>
    <w:p>
      <w:pPr>
        <w:keepNext/>
      </w:pPr>
      <w:r>
        <w:rPr>
          <w:b/>
          <w:color w:val="C44E1E"/>
          <w:sz w:val="22"/>
        </w:rPr>
        <w:t>Within the same district the gap stays at −34%</w:t>
      </w:r>
    </w:p>
    <w:p>
      <w:pPr>
        <w:jc w:val="center"/>
      </w:pPr>
      <w:r>
        <w:drawing>
          <wp:inline xmlns:a="http://schemas.openxmlformats.org/drawingml/2006/main" xmlns:pic="http://schemas.openxmlformats.org/drawingml/2006/picture">
            <wp:extent cx="3096000" cy="2558136"/>
            <wp:docPr id="4" name="Picture 4"/>
            <wp:cNvGraphicFramePr>
              <a:graphicFrameLocks noChangeAspect="1"/>
            </wp:cNvGraphicFramePr>
            <a:graphic>
              <a:graphicData uri="http://schemas.openxmlformats.org/drawingml/2006/picture">
                <pic:pic>
                  <pic:nvPicPr>
                    <pic:cNvPr id="0" name="04_coefficients.png"/>
                    <pic:cNvPicPr/>
                  </pic:nvPicPr>
                  <pic:blipFill>
                    <a:blip r:embed="rId13"/>
                    <a:stretch>
                      <a:fillRect/>
                    </a:stretch>
                  </pic:blipFill>
                  <pic:spPr>
                    <a:xfrm>
                      <a:off x="0" y="0"/>
                      <a:ext cx="3096000" cy="2558136"/>
                    </a:xfrm>
                    <a:prstGeom prst="rect"/>
                  </pic:spPr>
                </pic:pic>
              </a:graphicData>
            </a:graphic>
          </wp:inline>
        </w:drawing>
      </w:r>
    </w:p>
    <w:p>
      <w:pPr>
        <w:pStyle w:val="Heading3"/>
      </w:pPr>
      <w:r>
        <w:t>What it shows</w:t>
      </w:r>
    </w:p>
    <w:p>
      <w:r>
        <w:rPr>
          <w:b w:val="0"/>
        </w:rPr>
        <w:t>How much smaller homes from each era are than 1990 to 2008 homes, before and after holding location fixed. 2009–12: −26% raw, −25% controlled. 2013–18: −35% raw, −34% controlled. 2019–25: −33% raw, −32% controlled. Every interval is far from zero.</w:t>
      </w:r>
    </w:p>
    <w:p>
      <w:pPr>
        <w:pStyle w:val="Heading3"/>
      </w:pPr>
      <w:r>
        <w:t>How to read it</w:t>
      </w:r>
    </w:p>
    <w:p>
      <w:pPr>
        <w:pStyle w:val="ListBullet"/>
      </w:pPr>
      <w:r>
        <w:rPr>
          <w:b w:val="0"/>
        </w:rPr>
        <w:t>Each row is an era compared with 1990 to 2008, which sits on the zero line.</w:t>
      </w:r>
    </w:p>
    <w:p>
      <w:pPr>
        <w:pStyle w:val="ListBullet"/>
      </w:pPr>
      <w:r>
        <w:rPr>
          <w:b w:val="0"/>
        </w:rPr>
        <w:t>Grey hollow dot: the raw gap. Blue dot: the gap among homes in the same district, of the same type (apartment or condominium) and sold in the same year. The lines are 95% confidence intervals.</w:t>
      </w:r>
    </w:p>
    <w:p>
      <w:pPr>
        <w:pStyle w:val="ListBullet"/>
      </w:pPr>
      <w:r>
        <w:rPr>
          <w:b w:val="0"/>
        </w:rPr>
        <w:t>If location explained the shrink, the blue dots would move towards zero. They barely move.</w:t>
      </w:r>
    </w:p>
    <w:p>
      <w:pPr>
        <w:pStyle w:val="Heading3"/>
      </w:pPr>
      <w:r>
        <w:t>Why this chart</w:t>
      </w:r>
    </w:p>
    <w:p>
      <w:r>
        <w:rPr>
          <w:b w:val="0"/>
        </w:rPr>
        <w:t>A coefficient plot shows a regression result, with its uncertainty, without a table of numbers. Putting the raw and controlled estimates next to each other is the test itself: you see at once that the controls change almost nothing.</w:t>
      </w:r>
    </w:p>
    <w:p>
      <w:pPr>
        <w:pStyle w:val="Heading3"/>
      </w:pPr>
      <w:r>
        <w:t>How it was done</w:t>
      </w:r>
    </w:p>
    <w:p>
      <w:pPr>
        <w:pStyle w:val="ListBullet"/>
      </w:pPr>
      <w:r>
        <w:rPr>
          <w:b w:val="0"/>
        </w:rPr>
        <w:t>Ordinary least squares of log floor area on era dummies. The controlled model adds dummies for district, property type and year of sale.</w:t>
      </w:r>
    </w:p>
    <w:p>
      <w:pPr>
        <w:pStyle w:val="ListBullet"/>
      </w:pPr>
      <w:r>
        <w:rPr>
          <w:b w:val="0"/>
        </w:rPr>
        <w:t>Because the model is in logs, each coefficient converts to a percentage gap: exp(b) − 1.</w:t>
      </w:r>
    </w:p>
    <w:p>
      <w:pPr>
        <w:pStyle w:val="ListBullet"/>
      </w:pPr>
      <w:r>
        <w:rPr>
          <w:b w:val="0"/>
        </w:rPr>
        <w:t>Standard errors are clustered by project (464 projects). Units in one project are designed together, so treating 66,237 sales as independent would make the intervals far too narrow.</w:t>
      </w:r>
    </w:p>
    <w:p>
      <w:pPr>
        <w:pStyle w:val="Heading3"/>
      </w:pPr>
      <w:r>
        <w:t>Watch out for</w:t>
      </w:r>
    </w:p>
    <w:p>
      <w:r>
        <w:rPr>
          <w:b w:val="0"/>
        </w:rPr>
        <w:t>District is a broad control, and a regression cannot rule out every other difference between eras. R² is low (0.22) because sizes vary a lot inside every era. That is fine here: the question is how big the era gap is, not predicting the size of each unit.</w:t>
      </w:r>
    </w:p>
    <w:p>
      <w:pPr>
        <w:pStyle w:val="Heading3"/>
      </w:pPr>
      <w:r>
        <w:t>If someone asks</w:t>
      </w:r>
    </w:p>
    <w:p>
      <w:pPr>
        <w:pStyle w:val="ListBullet"/>
      </w:pPr>
      <w:r>
        <w:rPr>
          <w:b w:val="0"/>
        </w:rPr>
        <w:t>Why log floor area? So the result is a percentage, which compares cleanly across eras.</w:t>
      </w:r>
    </w:p>
    <w:p>
      <w:pPr>
        <w:pStyle w:val="ListBullet"/>
      </w:pPr>
      <w:r>
        <w:rPr>
          <w:b w:val="0"/>
        </w:rPr>
        <w:t>Why not include new vs resale as a control? Almost every new sale is from the newest era, so the two would measure the same thing and muddle the estimate.</w:t>
      </w:r>
    </w:p>
    <w:p>
      <w:r>
        <w:rPr>
          <w:b w:val="0"/>
          <w:color w:val="52514E"/>
        </w:rPr>
        <w:t>Lead into chart 5: "So the shrink is real. What did it do to the price tag?"</w:t>
      </w:r>
    </w:p>
    <w:p>
      <w:pPr>
        <w:pStyle w:val="Heading2"/>
        <w:pageBreakBefore/>
      </w:pPr>
      <w:r>
        <w:t>Chart 5: scatter with constant-price curves</w:t>
      </w:r>
    </w:p>
    <w:p>
      <w:pPr>
        <w:keepNext/>
      </w:pPr>
      <w:r>
        <w:rPr>
          <w:b/>
          <w:color w:val="C44E1E"/>
          <w:sz w:val="22"/>
        </w:rPr>
        <w:t>Shrinking cut prices to S$1.45M; after 2019 they jump to S$2.05M</w:t>
      </w:r>
    </w:p>
    <w:p>
      <w:pPr>
        <w:jc w:val="center"/>
      </w:pPr>
      <w:r>
        <w:drawing>
          <wp:inline xmlns:a="http://schemas.openxmlformats.org/drawingml/2006/main" xmlns:pic="http://schemas.openxmlformats.org/drawingml/2006/picture">
            <wp:extent cx="3096000" cy="2558136"/>
            <wp:docPr id="5" name="Picture 5"/>
            <wp:cNvGraphicFramePr>
              <a:graphicFrameLocks noChangeAspect="1"/>
            </wp:cNvGraphicFramePr>
            <a:graphic>
              <a:graphicData uri="http://schemas.openxmlformats.org/drawingml/2006/picture">
                <pic:pic>
                  <pic:nvPicPr>
                    <pic:cNvPr id="0" name="05_scatter_isoprice.png"/>
                    <pic:cNvPicPr/>
                  </pic:nvPicPr>
                  <pic:blipFill>
                    <a:blip r:embed="rId14"/>
                    <a:stretch>
                      <a:fillRect/>
                    </a:stretch>
                  </pic:blipFill>
                  <pic:spPr>
                    <a:xfrm>
                      <a:off x="0" y="0"/>
                      <a:ext cx="3096000" cy="2558136"/>
                    </a:xfrm>
                    <a:prstGeom prst="rect"/>
                  </pic:spPr>
                </pic:pic>
              </a:graphicData>
            </a:graphic>
          </wp:inline>
        </w:drawing>
      </w:r>
    </w:p>
    <w:p>
      <w:pPr>
        <w:pStyle w:val="Heading3"/>
      </w:pPr>
      <w:r>
        <w:t>What it shows</w:t>
      </w:r>
    </w:p>
    <w:p>
      <w:r>
        <w:rPr>
          <w:b w:val="0"/>
        </w:rPr>
        <w:t>2025 sales of 99-year leaseholds. From 1990–2008 land to 2013–2018 land, floor area fell 40% (1,216 to 732 sq ft) while PSF rose 27% (S$1,510 to S$1,922), so the median price fell 16%, from S$1.72M to S$1.45M. Homes on post-2019 land are 7% larger (786 sq ft) and 31% dearer per sq ft (S$2,514), and their median price jumps to S$2.05M.</w:t>
      </w:r>
    </w:p>
    <w:p>
      <w:pPr>
        <w:pStyle w:val="Heading3"/>
      </w:pPr>
      <w:r>
        <w:t>How to read it</w:t>
      </w:r>
    </w:p>
    <w:p>
      <w:pPr>
        <w:pStyle w:val="ListBullet"/>
      </w:pPr>
      <w:r>
        <w:rPr>
          <w:b w:val="0"/>
        </w:rPr>
        <w:t>Each small dot is one project (median floor area and PSF, projects with at least 10 sales). Colour is the era, darker for newer.</w:t>
      </w:r>
    </w:p>
    <w:p>
      <w:pPr>
        <w:pStyle w:val="ListBullet"/>
      </w:pPr>
      <w:r>
        <w:rPr>
          <w:b w:val="0"/>
        </w:rPr>
        <w:t>The large dots are the era medians, labelled with the era's median price, and the arrows join them in time order.</w:t>
      </w:r>
    </w:p>
    <w:p>
      <w:pPr>
        <w:pStyle w:val="ListBullet"/>
      </w:pPr>
      <w:r>
        <w:rPr>
          <w:b w:val="0"/>
        </w:rPr>
        <w:t>Both axes are logarithmic. Since price = floor area × PSF, every point on one grey curve has the same price. Moving up and to the left along a curve means a smaller home at a higher PSF for the same price tag. That move is shrinkflation in one picture.</w:t>
      </w:r>
    </w:p>
    <w:p>
      <w:pPr>
        <w:pStyle w:val="Heading3"/>
      </w:pPr>
      <w:r>
        <w:t>Why this chart</w:t>
      </w:r>
    </w:p>
    <w:p>
      <w:r>
        <w:rPr>
          <w:b w:val="0"/>
        </w:rPr>
        <w:t>A scatter shows two measures at once, and the constant-price curves turn it into a direct test of the definition: did the size fall while the price tag held? Using only 2025 sales keeps every price at the same date.</w:t>
      </w:r>
    </w:p>
    <w:p>
      <w:pPr>
        <w:pStyle w:val="Heading3"/>
      </w:pPr>
      <w:r>
        <w:t>Watch out for</w:t>
      </w:r>
    </w:p>
    <w:p>
      <w:r>
        <w:rPr>
          <w:b w:val="0"/>
        </w:rPr>
        <w:t>These are 2025 prices, not the original launch prices. Older homes are also cheaper per sq ft because they are older and have less lease left. So the chart shows the menu a 2025 buyer chooses from.</w:t>
      </w:r>
    </w:p>
    <w:p>
      <w:pPr>
        <w:pStyle w:val="Heading3"/>
      </w:pPr>
      <w:r>
        <w:t>If someone asks</w:t>
      </w:r>
    </w:p>
    <w:p>
      <w:pPr>
        <w:pStyle w:val="ListBullet"/>
      </w:pPr>
      <w:r>
        <w:rPr>
          <w:b w:val="0"/>
        </w:rPr>
        <w:t>Did developers hold the price tag at launch? Our data starts in 2020, so we cannot see 2010 launch prices. What we can show is that the smaller homes from that era still cost less today despite their higher PSF, which is the trade the shrink was built for.</w:t>
      </w:r>
    </w:p>
    <w:p>
      <w:r>
        <w:rPr>
          <w:b w:val="0"/>
          <w:color w:val="52514E"/>
        </w:rPr>
        <w:t>Lead into chart 6: "Why does a smaller home mean a lower price tag? Because of how launches are priced."</w:t>
      </w:r>
    </w:p>
    <w:p>
      <w:pPr>
        <w:pStyle w:val="Heading2"/>
        <w:pageBreakBefore/>
      </w:pPr>
      <w:r>
        <w:t>Chart 6: violin</w:t>
      </w:r>
    </w:p>
    <w:p>
      <w:pPr>
        <w:keepNext/>
      </w:pPr>
      <w:r>
        <w:rPr>
          <w:b/>
          <w:color w:val="C44E1E"/>
          <w:sz w:val="22"/>
        </w:rPr>
        <w:t>Every unit size sells at its project's PSF, within 1.5%</w:t>
      </w:r>
    </w:p>
    <w:p>
      <w:pPr>
        <w:jc w:val="center"/>
      </w:pPr>
      <w:r>
        <w:drawing>
          <wp:inline xmlns:a="http://schemas.openxmlformats.org/drawingml/2006/main" xmlns:pic="http://schemas.openxmlformats.org/drawingml/2006/picture">
            <wp:extent cx="3096000" cy="2558136"/>
            <wp:docPr id="6" name="Picture 6"/>
            <wp:cNvGraphicFramePr>
              <a:graphicFrameLocks noChangeAspect="1"/>
            </wp:cNvGraphicFramePr>
            <a:graphic>
              <a:graphicData uri="http://schemas.openxmlformats.org/drawingml/2006/picture">
                <pic:pic>
                  <pic:nvPicPr>
                    <pic:cNvPr id="0" name="06_violin_pricing.png"/>
                    <pic:cNvPicPr/>
                  </pic:nvPicPr>
                  <pic:blipFill>
                    <a:blip r:embed="rId15"/>
                    <a:stretch>
                      <a:fillRect/>
                    </a:stretch>
                  </pic:blipFill>
                  <pic:spPr>
                    <a:xfrm>
                      <a:off x="0" y="0"/>
                      <a:ext cx="3096000" cy="2558136"/>
                    </a:xfrm>
                    <a:prstGeom prst="rect"/>
                  </pic:spPr>
                </pic:pic>
              </a:graphicData>
            </a:graphic>
          </wp:inline>
        </w:drawing>
      </w:r>
    </w:p>
    <w:p>
      <w:pPr>
        <w:pStyle w:val="Heading3"/>
      </w:pPr>
      <w:r>
        <w:t>What it shows</w:t>
      </w:r>
    </w:p>
    <w:p>
      <w:r>
        <w:rPr>
          <w:b w:val="0"/>
        </w:rPr>
        <w:t>10,389 new-launch sales in 2025 from the 50 projects with at least 20 sales. Each unit's PSF is compared with the median PSF of its own project. The medians by size band are −0.5% (shoebox), +0.6%, +0.2%, −0.3% and −1.4% (over 1,300 sq ft). Within a project, a 10% larger unit costs only 0.08% less per sq ft.</w:t>
      </w:r>
    </w:p>
    <w:p>
      <w:pPr>
        <w:pStyle w:val="Heading3"/>
      </w:pPr>
      <w:r>
        <w:t>How to read it</w:t>
      </w:r>
    </w:p>
    <w:p>
      <w:pPr>
        <w:pStyle w:val="ListBullet"/>
      </w:pPr>
      <w:r>
        <w:rPr>
          <w:b w:val="0"/>
        </w:rPr>
        <w:t>Each violin is a size band. Its width at any height shows how many units sit at that PSF difference.</w:t>
      </w:r>
    </w:p>
    <w:p>
      <w:pPr>
        <w:pStyle w:val="ListBullet"/>
      </w:pPr>
      <w:r>
        <w:rPr>
          <w:b w:val="0"/>
        </w:rPr>
        <w:t>The white dot is the median, the black bar the middle 50%.</w:t>
      </w:r>
    </w:p>
    <w:p>
      <w:pPr>
        <w:pStyle w:val="ListBullet"/>
      </w:pPr>
      <w:r>
        <w:rPr>
          <w:b w:val="0"/>
        </w:rPr>
        <w:t>The zero line means the same PSF as the rest of the project.</w:t>
      </w:r>
    </w:p>
    <w:p>
      <w:pPr>
        <w:pStyle w:val="Heading3"/>
      </w:pPr>
      <w:r>
        <w:t>Why this chart</w:t>
      </w:r>
    </w:p>
    <w:p>
      <w:r>
        <w:rPr>
          <w:b w:val="0"/>
        </w:rPr>
        <w:t>A violin shows the full spread for several groups side by side, more than a box plot does. Comparing each unit with its own project takes location out, which would otherwise swamp everything else in PSF.</w:t>
      </w:r>
    </w:p>
    <w:p>
      <w:pPr>
        <w:pStyle w:val="Heading3"/>
      </w:pPr>
      <w:r>
        <w:t>Why it matters</w:t>
      </w:r>
    </w:p>
    <w:p>
      <w:r>
        <w:rPr>
          <w:b w:val="0"/>
        </w:rPr>
        <w:t>If developers charged a large premium per sq ft for small units, shrinking would barely cut the price tag. Because PSF is flat, the price tag falls one for one with floor area: a unit 20% smaller costs about 20% less. That is why shrinking was the tool.</w:t>
      </w:r>
    </w:p>
    <w:p>
      <w:pPr>
        <w:pStyle w:val="Heading3"/>
      </w:pPr>
      <w:r>
        <w:t>Watch out for</w:t>
      </w:r>
    </w:p>
    <w:p>
      <w:r>
        <w:rPr>
          <w:b w:val="0"/>
        </w:rPr>
        <w:t>Floor level and facing also move PSF within a project, which explains the spread around zero. Across the whole market, small-unit projects do have higher PSF, because they tend to be in pricier places. That is why the comparison is made within each project.</w:t>
      </w:r>
    </w:p>
    <w:p>
      <w:pPr>
        <w:pStyle w:val="Heading3"/>
      </w:pPr>
      <w:r>
        <w:t>If someone asks</w:t>
      </w:r>
    </w:p>
    <w:p>
      <w:pPr>
        <w:pStyle w:val="ListBullet"/>
      </w:pPr>
      <w:r>
        <w:rPr>
          <w:b w:val="0"/>
        </w:rPr>
        <w:t>Why do people say shoeboxes are expensive per sq ft? Across the market they are, because they cluster in central locations. Inside the same building they are priced like everything else.</w:t>
      </w:r>
    </w:p>
    <w:p>
      <w:r>
        <w:rPr>
          <w:b w:val="0"/>
          <w:color w:val="52514E"/>
        </w:rPr>
        <w:t>Lead into chart 7: "So why did developers shrink homes from 2009 onwards? Chart 7 brings in outside data."</w:t>
      </w:r>
    </w:p>
    <w:p>
      <w:pPr>
        <w:pStyle w:val="Heading2"/>
        <w:pageBreakBefore/>
      </w:pPr>
      <w:r>
        <w:t>Chart 7: diverging lollipop</w:t>
      </w:r>
    </w:p>
    <w:p>
      <w:pPr>
        <w:keepNext/>
      </w:pPr>
      <w:r>
        <w:rPr>
          <w:b/>
          <w:color w:val="C44E1E"/>
          <w:sz w:val="22"/>
        </w:rPr>
        <w:t>Least affordable in 2007–13, when that land was sold</w:t>
      </w:r>
    </w:p>
    <w:p>
      <w:pPr>
        <w:jc w:val="center"/>
      </w:pPr>
      <w:r>
        <w:drawing>
          <wp:inline xmlns:a="http://schemas.openxmlformats.org/drawingml/2006/main" xmlns:pic="http://schemas.openxmlformats.org/drawingml/2006/picture">
            <wp:extent cx="3096000" cy="2558136"/>
            <wp:docPr id="7" name="Picture 7"/>
            <wp:cNvGraphicFramePr>
              <a:graphicFrameLocks noChangeAspect="1"/>
            </wp:cNvGraphicFramePr>
            <a:graphic>
              <a:graphicData uri="http://schemas.openxmlformats.org/drawingml/2006/picture">
                <pic:pic>
                  <pic:nvPicPr>
                    <pic:cNvPr id="0" name="07_lollipop_macro.png"/>
                    <pic:cNvPicPr/>
                  </pic:nvPicPr>
                  <pic:blipFill>
                    <a:blip r:embed="rId16"/>
                    <a:stretch>
                      <a:fillRect/>
                    </a:stretch>
                  </pic:blipFill>
                  <pic:spPr>
                    <a:xfrm>
                      <a:off x="0" y="0"/>
                      <a:ext cx="3096000" cy="2558136"/>
                    </a:xfrm>
                    <a:prstGeom prst="rect"/>
                  </pic:spPr>
                </pic:pic>
              </a:graphicData>
            </a:graphic>
          </wp:inline>
        </w:drawing>
      </w:r>
    </w:p>
    <w:p>
      <w:pPr>
        <w:pStyle w:val="Heading3"/>
      </w:pPr>
      <w:r>
        <w:t>What it shows</w:t>
      </w:r>
    </w:p>
    <w:p>
      <w:r>
        <w:rPr>
          <w:b w:val="0"/>
        </w:rPr>
        <w:t>How affordable private homes were each year from 2001 to 2025, against the 25-year average. Homes were 13 to 18% less affordable than usual in 2007, 2008, 2010 and 2011, and 6 to 7% in 2012 and 2013; 2009 dipped to average in the financial crisis. From 2014 incomes grew faster than prices, and 2017 was 16% more affordable than usual. 2025 is 2% below average.</w:t>
      </w:r>
    </w:p>
    <w:p>
      <w:pPr>
        <w:pStyle w:val="Heading3"/>
      </w:pPr>
      <w:r>
        <w:t>How to read it</w:t>
      </w:r>
    </w:p>
    <w:p>
      <w:pPr>
        <w:pStyle w:val="ListBullet"/>
      </w:pPr>
      <w:r>
        <w:rPr>
          <w:b w:val="0"/>
        </w:rPr>
        <w:t>Each lollipop is a year. Orange above the line: less affordable than usual. Blue below: more affordable.</w:t>
      </w:r>
    </w:p>
    <w:p>
      <w:pPr>
        <w:pStyle w:val="ListBullet"/>
      </w:pPr>
      <w:r>
        <w:rPr>
          <w:b w:val="0"/>
        </w:rPr>
        <w:t>The grey band marks 2007 to 2013, the years when the land behind the smallest homes in chart 2 was sold.</w:t>
      </w:r>
    </w:p>
    <w:p>
      <w:pPr>
        <w:pStyle w:val="Heading3"/>
      </w:pPr>
      <w:r>
        <w:t>Why this chart</w:t>
      </w:r>
    </w:p>
    <w:p>
      <w:r>
        <w:rPr>
          <w:b w:val="0"/>
        </w:rPr>
        <w:t>A lollipop shows one value per year against a baseline with less ink than 25 bars, and the two colours make the sign readable at a glance. It is the chart that brings in outside data, as the assignment asked, to explain why developers shrank homes at that time.</w:t>
      </w:r>
    </w:p>
    <w:p>
      <w:pPr>
        <w:pStyle w:val="Heading3"/>
      </w:pPr>
      <w:r>
        <w:t>How it was done</w:t>
      </w:r>
    </w:p>
    <w:p>
      <w:pPr>
        <w:pStyle w:val="ListBullet"/>
      </w:pPr>
      <w:r>
        <w:rPr>
          <w:b w:val="0"/>
        </w:rPr>
        <w:t>Price: URA's private residential price index for non-landed homes (condos and apartments), averaged over the four quarters of each year.</w:t>
      </w:r>
    </w:p>
    <w:p>
      <w:pPr>
        <w:pStyle w:val="ListBullet"/>
      </w:pPr>
      <w:r>
        <w:rPr>
          <w:b w:val="0"/>
        </w:rPr>
        <w:t>Income: SingStat's yearly percentage change in median household employment income (resident employed households, including employer CPF), chained into an index with 2000 = 100.</w:t>
      </w:r>
    </w:p>
    <w:p>
      <w:pPr>
        <w:pStyle w:val="ListBullet"/>
      </w:pPr>
      <w:r>
        <w:rPr>
          <w:b w:val="0"/>
        </w:rPr>
        <w:t>Ratio = price index ÷ income index, shown as a percentage above or below its 2001–2025 average. From 2009 to 2025 both indices about doubled, which is why 2025 sits close to average.</w:t>
      </w:r>
    </w:p>
    <w:p>
      <w:pPr>
        <w:pStyle w:val="Heading3"/>
      </w:pPr>
      <w:r>
        <w:t>Watch out for</w:t>
      </w:r>
    </w:p>
    <w:p>
      <w:r>
        <w:rPr>
          <w:b w:val="0"/>
        </w:rPr>
        <w:t>This is a ratio of two indices, not a price-to-income ratio in years of income. It says when homes were more or less affordable than usual, not how many years of income a home costs. It is also an association: other things changed in 2007 to 2013 too, such as interest rates and cooling measures.</w:t>
      </w:r>
    </w:p>
    <w:p>
      <w:pPr>
        <w:pStyle w:val="Heading3"/>
      </w:pPr>
      <w:r>
        <w:t>If someone asks</w:t>
      </w:r>
    </w:p>
    <w:p>
      <w:pPr>
        <w:pStyle w:val="ListBullet"/>
      </w:pPr>
      <w:r>
        <w:rPr>
          <w:b w:val="0"/>
        </w:rPr>
        <w:t>If 2025 is about average, why are homes hard to afford? The index covers the whole private market. New launches cost far more per sq ft than the market as a whole (S$2,572 against S$1,747 for resale), which chart 8 picks up.</w:t>
      </w:r>
    </w:p>
    <w:p>
      <w:r>
        <w:rPr>
          <w:b w:val="0"/>
          <w:color w:val="52514E"/>
        </w:rPr>
        <w:t>Lead into chart 8: "What does that mean for an actual household today?"</w:t>
      </w:r>
    </w:p>
    <w:p>
      <w:pPr>
        <w:pStyle w:val="Heading2"/>
        <w:pageBreakBefore/>
      </w:pPr>
      <w:r>
        <w:t>Chart 8: sensitivity heat map</w:t>
      </w:r>
    </w:p>
    <w:p>
      <w:pPr>
        <w:keepNext/>
      </w:pPr>
      <w:r>
        <w:rPr>
          <w:b/>
          <w:color w:val="C44E1E"/>
          <w:sz w:val="22"/>
        </w:rPr>
        <w:t>The median household can borrow for under 800 sq ft</w:t>
      </w:r>
    </w:p>
    <w:p>
      <w:pPr>
        <w:jc w:val="center"/>
      </w:pPr>
      <w:r>
        <w:drawing>
          <wp:inline xmlns:a="http://schemas.openxmlformats.org/drawingml/2006/main" xmlns:pic="http://schemas.openxmlformats.org/drawingml/2006/picture">
            <wp:extent cx="3096000" cy="2558136"/>
            <wp:docPr id="8" name="Picture 8"/>
            <wp:cNvGraphicFramePr>
              <a:graphicFrameLocks noChangeAspect="1"/>
            </wp:cNvGraphicFramePr>
            <a:graphic>
              <a:graphicData uri="http://schemas.openxmlformats.org/drawingml/2006/picture">
                <pic:pic>
                  <pic:nvPicPr>
                    <pic:cNvPr id="0" name="08_heatmap_tdsr.png"/>
                    <pic:cNvPicPr/>
                  </pic:nvPicPr>
                  <pic:blipFill>
                    <a:blip r:embed="rId17"/>
                    <a:stretch>
                      <a:fillRect/>
                    </a:stretch>
                  </pic:blipFill>
                  <pic:spPr>
                    <a:xfrm>
                      <a:off x="0" y="0"/>
                      <a:ext cx="3096000" cy="2558136"/>
                    </a:xfrm>
                    <a:prstGeom prst="rect"/>
                  </pic:spPr>
                </pic:pic>
              </a:graphicData>
            </a:graphic>
          </wp:inline>
        </w:drawing>
      </w:r>
    </w:p>
    <w:p>
      <w:pPr>
        <w:pStyle w:val="Heading3"/>
      </w:pPr>
      <w:r>
        <w:t>What it shows</w:t>
      </w:r>
    </w:p>
    <w:p>
      <w:r>
        <w:rPr>
          <w:b w:val="0"/>
        </w:rPr>
        <w:t>The largest home, in sq ft, a household can afford under MAS loan rules, for six incomes and seven PSF levels. At the 2025 median household income of S$12,446, the limit is a S$1.91M home. That buys 1,117 sq ft at the 2020 new-launch PSF (S$1,712) but only 743 sq ft at the 2025 PSF (S$2,572), less than the median new unit of 797 sq ft.</w:t>
      </w:r>
    </w:p>
    <w:p>
      <w:pPr>
        <w:pStyle w:val="Heading3"/>
      </w:pPr>
      <w:r>
        <w:t>How to read it</w:t>
      </w:r>
    </w:p>
    <w:p>
      <w:pPr>
        <w:pStyle w:val="ListBullet"/>
      </w:pPr>
      <w:r>
        <w:rPr>
          <w:b w:val="0"/>
        </w:rPr>
        <w:t>Rows are monthly household income, columns are PSF.</w:t>
      </w:r>
    </w:p>
    <w:p>
      <w:pPr>
        <w:pStyle w:val="ListBullet"/>
      </w:pPr>
      <w:r>
        <w:rPr>
          <w:b w:val="0"/>
        </w:rPr>
        <w:t>Each cell is the affordable floor area. Darker blue means more space.</w:t>
      </w:r>
    </w:p>
    <w:p>
      <w:pPr>
        <w:pStyle w:val="ListBullet"/>
      </w:pPr>
      <w:r>
        <w:rPr>
          <w:b w:val="0"/>
        </w:rPr>
        <w:t>Orange boxes are cells below 797 sq ft, the median new unit in 2025.</w:t>
      </w:r>
    </w:p>
    <w:p>
      <w:pPr>
        <w:pStyle w:val="ListBullet"/>
      </w:pPr>
      <w:r>
        <w:rPr>
          <w:b w:val="0"/>
        </w:rPr>
        <w:t>The arrows on top mark the median new-launch PSF in 2020 and in 2025.</w:t>
      </w:r>
    </w:p>
    <w:p>
      <w:pPr>
        <w:pStyle w:val="Heading3"/>
      </w:pPr>
      <w:r>
        <w:t>Why this chart</w:t>
      </w:r>
    </w:p>
    <w:p>
      <w:r>
        <w:rPr>
          <w:b w:val="0"/>
        </w:rPr>
        <w:t>A sensitivity table shows how the answer moves with two inputs at once. The colours let the eye find the cut-off, and the numbers give the exact figure. It links the shrink to an outside rule: banks cap the price tag, not the PSF, so when PSF rises the only thing that can give is floor area.</w:t>
      </w:r>
    </w:p>
    <w:p>
      <w:pPr>
        <w:pStyle w:val="Heading3"/>
      </w:pPr>
      <w:r>
        <w:t>Worked example</w:t>
      </w:r>
    </w:p>
    <w:p>
      <w:pPr>
        <w:pStyle w:val="ListBullet"/>
      </w:pPr>
      <w:r>
        <w:rPr>
          <w:b w:val="0"/>
        </w:rPr>
        <w:t>Median income S$12,446 a month. The most that can go to repayments is 55% of that, S$6,845.</w:t>
      </w:r>
    </w:p>
    <w:p>
      <w:pPr>
        <w:pStyle w:val="ListBullet"/>
      </w:pPr>
      <w:r>
        <w:rPr>
          <w:b w:val="0"/>
        </w:rPr>
        <w:t>At 4% over 30 years, S$6,845 a month repays a loan of about S$1.43M.</w:t>
      </w:r>
    </w:p>
    <w:p>
      <w:pPr>
        <w:pStyle w:val="ListBullet"/>
      </w:pPr>
      <w:r>
        <w:rPr>
          <w:b w:val="0"/>
        </w:rPr>
        <w:t>A bank lends at most 75% of the price, so the price limit is S$1.43M ÷ 0.75 = S$1.91M.</w:t>
      </w:r>
    </w:p>
    <w:p>
      <w:pPr>
        <w:pStyle w:val="ListBullet"/>
      </w:pPr>
      <w:r>
        <w:rPr>
          <w:b w:val="0"/>
        </w:rPr>
        <w:t>At S$2,572 per sq ft that is 743 sq ft.</w:t>
      </w:r>
    </w:p>
    <w:p>
      <w:pPr>
        <w:pStyle w:val="Heading3"/>
      </w:pPr>
      <w:r>
        <w:t>Watch out for</w:t>
      </w:r>
    </w:p>
    <w:p>
      <w:r>
        <w:rPr>
          <w:b w:val="0"/>
        </w:rPr>
        <w:t>The model ignores other debts, which lower the limit, and extra cash or CPF beyond the 25% down payment, which raise it. The income figure includes employer CPF contributions, which banks do not count, so real limits are a little lower. Lower interest rates do not change the table, because banks must test at 4% even when the actual rate is lower.</w:t>
      </w:r>
    </w:p>
    <w:p>
      <w:pPr>
        <w:pStyle w:val="Heading3"/>
      </w:pPr>
      <w:r>
        <w:t>If someone asks</w:t>
      </w:r>
    </w:p>
    <w:p>
      <w:pPr>
        <w:pStyle w:val="ListBullet"/>
      </w:pPr>
      <w:r>
        <w:rPr>
          <w:b w:val="0"/>
        </w:rPr>
        <w:t>Why 30 years? It is the longest tenure that still allows a 75% loan. Above 30 years MAS drops the limit to 55%.</w:t>
      </w:r>
    </w:p>
    <w:p>
      <w:pPr>
        <w:pStyle w:val="ListBullet"/>
      </w:pPr>
      <w:r>
        <w:rPr>
          <w:b w:val="0"/>
        </w:rPr>
        <w:t>Why 4%? MAS requires banks to work out repayments at 4% or the actual rate, whichever is higher.</w:t>
      </w:r>
    </w:p>
    <w:p>
      <w:r>
        <w:rPr>
          <w:b w:val="0"/>
          <w:color w:val="52514E"/>
        </w:rPr>
        <w:t>Lead into chart 9: "And once URA stopped homes from shrinking, the price tag had nowhere to go but up."</w:t>
      </w:r>
    </w:p>
    <w:p>
      <w:pPr>
        <w:pStyle w:val="Heading2"/>
        <w:pageBreakBefore/>
      </w:pPr>
      <w:r>
        <w:t>Chart 9: waterfall</w:t>
      </w:r>
    </w:p>
    <w:p>
      <w:pPr>
        <w:keepNext/>
      </w:pPr>
      <w:r>
        <w:rPr>
          <w:b/>
          <w:color w:val="C44E1E"/>
          <w:sz w:val="22"/>
        </w:rPr>
        <w:t>Price tag S$1.46M → S$2.18M, driven by PSF (+39%)</w:t>
      </w:r>
    </w:p>
    <w:p>
      <w:pPr>
        <w:jc w:val="center"/>
      </w:pPr>
      <w:r>
        <w:drawing>
          <wp:inline xmlns:a="http://schemas.openxmlformats.org/drawingml/2006/main" xmlns:pic="http://schemas.openxmlformats.org/drawingml/2006/picture">
            <wp:extent cx="3096000" cy="2558136"/>
            <wp:docPr id="9" name="Picture 9"/>
            <wp:cNvGraphicFramePr>
              <a:graphicFrameLocks noChangeAspect="1"/>
            </wp:cNvGraphicFramePr>
            <a:graphic>
              <a:graphicData uri="http://schemas.openxmlformats.org/drawingml/2006/picture">
                <pic:pic>
                  <pic:nvPicPr>
                    <pic:cNvPr id="0" name="09_waterfall.png"/>
                    <pic:cNvPicPr/>
                  </pic:nvPicPr>
                  <pic:blipFill>
                    <a:blip r:embed="rId18"/>
                    <a:stretch>
                      <a:fillRect/>
                    </a:stretch>
                  </pic:blipFill>
                  <pic:spPr>
                    <a:xfrm>
                      <a:off x="0" y="0"/>
                      <a:ext cx="3096000" cy="2558136"/>
                    </a:xfrm>
                    <a:prstGeom prst="rect"/>
                  </pic:spPr>
                </pic:pic>
              </a:graphicData>
            </a:graphic>
          </wp:inline>
        </w:drawing>
      </w:r>
    </w:p>
    <w:p>
      <w:pPr>
        <w:pStyle w:val="Heading3"/>
      </w:pPr>
      <w:r>
        <w:t>What it shows</w:t>
      </w:r>
    </w:p>
    <w:p>
      <w:r>
        <w:rPr>
          <w:b w:val="0"/>
        </w:rPr>
        <w:t>The typical new-launch price in late 2020 (Aug to Dec, the first months in the Lecture 6 file) against 2025, split into the effect of PSF and of floor area. The price rose 49%. Higher PSF added 39% (about S$575,000) and floor area 7% (about S$145,000). Units got slightly bigger, not smaller.</w:t>
      </w:r>
    </w:p>
    <w:p>
      <w:pPr>
        <w:pStyle w:val="Heading3"/>
      </w:pPr>
      <w:r>
        <w:t>How to read it</w:t>
      </w:r>
    </w:p>
    <w:p>
      <w:pPr>
        <w:pStyle w:val="ListBullet"/>
      </w:pPr>
      <w:r>
        <w:rPr>
          <w:b w:val="0"/>
        </w:rPr>
        <w:t>The grey bars are the starting and ending price.</w:t>
      </w:r>
    </w:p>
    <w:p>
      <w:pPr>
        <w:pStyle w:val="ListBullet"/>
      </w:pPr>
      <w:r>
        <w:rPr>
          <w:b w:val="0"/>
        </w:rPr>
        <w:t>The orange step is what higher PSF added, the blue step what the change in floor area added. They stack from left to right.</w:t>
      </w:r>
    </w:p>
    <w:p>
      <w:pPr>
        <w:pStyle w:val="Heading3"/>
      </w:pPr>
      <w:r>
        <w:t>Why this chart</w:t>
      </w:r>
    </w:p>
    <w:p>
      <w:r>
        <w:rPr>
          <w:b w:val="0"/>
        </w:rPr>
        <w:t>A waterfall shows how a total changes through its parts, which is the exact question: did the price tag rise because of PSF or because of size? Before 2019 shrinking pulled the price tag down. Here the size step points up, so the whole PSF rise reaches the buyer.</w:t>
      </w:r>
    </w:p>
    <w:p>
      <w:pPr>
        <w:pStyle w:val="Heading3"/>
      </w:pPr>
      <w:r>
        <w:t>How it was done</w:t>
      </w:r>
    </w:p>
    <w:p>
      <w:pPr>
        <w:pStyle w:val="ListBullet"/>
      </w:pPr>
      <w:r>
        <w:rPr>
          <w:b w:val="0"/>
        </w:rPr>
        <w:t>Geometric means, so log price = log PSF + log floor area splits the change exactly, with nothing left over.</w:t>
      </w:r>
    </w:p>
    <w:p>
      <w:pPr>
        <w:pStyle w:val="ListBullet"/>
      </w:pPr>
      <w:r>
        <w:rPr>
          <w:b w:val="0"/>
        </w:rPr>
        <w:t>Each region (CCR, RCR, OCR) is compared with itself and weighted by its share of 2025 launches (18%, 41% and 41%), so a year with more prime launches does not look like a price rise.</w:t>
      </w:r>
    </w:p>
    <w:p>
      <w:pPr>
        <w:pStyle w:val="Heading3"/>
      </w:pPr>
      <w:r>
        <w:t>Watch out for</w:t>
      </w:r>
    </w:p>
    <w:p>
      <w:r>
        <w:rPr>
          <w:b w:val="0"/>
        </w:rPr>
        <w:t>Late 2020 is only five months, and the projects launching differ from year to year. Since June 2023 URA counts air-conditioner ledges in a unit's strata area, so developers dropped them and reported unit sizes fell about 6% [7]. That makes the +7% a slight underestimate of the space buyers actually gained.</w:t>
      </w:r>
    </w:p>
    <w:p>
      <w:pPr>
        <w:pStyle w:val="Heading3"/>
      </w:pPr>
      <w:r>
        <w:t>If someone asks</w:t>
      </w:r>
    </w:p>
    <w:p>
      <w:pPr>
        <w:pStyle w:val="ListBullet"/>
      </w:pPr>
      <w:r>
        <w:rPr>
          <w:b w:val="0"/>
        </w:rPr>
        <w:t>Why are units getting bigger again? The 2019 cap means a project can build fewer units on the same floor area, so the average unit has to be larger.</w:t>
      </w:r>
    </w:p>
    <w:p>
      <w:pPr>
        <w:pStyle w:val="Heading1"/>
      </w:pPr>
      <w:r>
        <w:t>6. Design choices across the poster</w:t>
      </w:r>
    </w:p>
    <w:p>
      <w:pPr>
        <w:pStyle w:val="ListBullet"/>
      </w:pPr>
      <w:r>
        <w:rPr>
          <w:b w:val="0"/>
        </w:rPr>
        <w:t>Nine charts of nine different types, each picked for the question it answers.</w:t>
      </w:r>
    </w:p>
    <w:p>
      <w:pPr>
        <w:pStyle w:val="ListBullet"/>
      </w:pPr>
      <w:r>
        <w:rPr>
          <w:b w:val="0"/>
        </w:rPr>
        <w:t>One takeaway line per chart, with a number that can be read off the chart.</w:t>
      </w:r>
    </w:p>
    <w:p>
      <w:pPr>
        <w:pStyle w:val="ListBullet"/>
      </w:pPr>
      <w:r>
        <w:rPr>
          <w:b w:val="0"/>
        </w:rPr>
        <w:t>Colours carry the same meaning everywhere: orange is new launches, shoeboxes and price pressure; blue is resale and the baseline. Ordered things (eras, size bands, the heat map) use one blue that gets darker. The palette was checked for colour-blind separation.</w:t>
      </w:r>
    </w:p>
    <w:p>
      <w:pPr>
        <w:pStyle w:val="ListBullet"/>
      </w:pPr>
      <w:r>
        <w:rPr>
          <w:b w:val="0"/>
        </w:rPr>
        <w:t>No chart has two y-axes. Two measures on different scales in one chart can suggest a link that is not there.</w:t>
      </w:r>
    </w:p>
    <w:p>
      <w:pPr>
        <w:pStyle w:val="ListBullet"/>
      </w:pPr>
      <w:r>
        <w:rPr>
          <w:b w:val="0"/>
        </w:rPr>
        <w:t>Labels sit next to the data where possible, so nobody has to hunt in a legend.</w:t>
      </w:r>
    </w:p>
    <w:p>
      <w:pPr>
        <w:pStyle w:val="ListBullet"/>
      </w:pPr>
      <w:r>
        <w:rPr>
          <w:b w:val="0"/>
        </w:rPr>
        <w:t>All charts use the same font and sizes and were drawn at the exact size they have on the poster, so nothing is stretched.</w:t>
      </w:r>
    </w:p>
    <w:p>
      <w:pPr>
        <w:pStyle w:val="Heading1"/>
      </w:pPr>
      <w:r>
        <w:t>7. Limitations</w:t>
      </w:r>
    </w:p>
    <w:p>
      <w:pPr>
        <w:pStyle w:val="ListBullet"/>
      </w:pPr>
      <w:r>
        <w:rPr>
          <w:b w:val="0"/>
        </w:rPr>
        <w:t>Eras are compared at 2025 prices, not their launch prices, and older homes also lose value with age and a shorter lease.</w:t>
      </w:r>
    </w:p>
    <w:p>
      <w:pPr>
        <w:pStyle w:val="ListBullet"/>
      </w:pPr>
      <w:r>
        <w:rPr>
          <w:b w:val="0"/>
        </w:rPr>
        <w:t>The vintage charts only include homes that sold in 2020 to 2025. An era whose homes rarely trade can be under-represented.</w:t>
      </w:r>
    </w:p>
    <w:p>
      <w:pPr>
        <w:pStyle w:val="ListBullet"/>
      </w:pPr>
      <w:r>
        <w:rPr>
          <w:b w:val="0"/>
        </w:rPr>
        <w:t>There is no bedroom count, so size bands stand in for unit types.</w:t>
      </w:r>
    </w:p>
    <w:p>
      <w:pPr>
        <w:pStyle w:val="ListBullet"/>
      </w:pPr>
      <w:r>
        <w:rPr>
          <w:b w:val="0"/>
        </w:rPr>
        <w:t>2024 is missing, and so are Aug to Oct 2021.</w:t>
      </w:r>
    </w:p>
    <w:p>
      <w:pPr>
        <w:pStyle w:val="ListBullet"/>
      </w:pPr>
      <w:r>
        <w:rPr>
          <w:b w:val="0"/>
        </w:rPr>
        <w:t>Households also got smaller: from 4.0 people in 1995 to 3.1 in 2024 [7]. Part of the shrink is buyers wanting less space. But floor area per household member also fell, from 357 sq ft in 2005 to 252 sq ft in 2015 [7], so homes shrank faster than households did.</w:t>
      </w:r>
    </w:p>
    <w:p>
      <w:pPr>
        <w:pStyle w:val="ListBullet"/>
      </w:pPr>
      <w:r>
        <w:rPr>
          <w:b w:val="0"/>
        </w:rPr>
        <w:t>Since June 2023 strata area is measured differently, which lowers reported sizes by about 6% for new launches [7].</w:t>
      </w:r>
    </w:p>
    <w:p>
      <w:pPr>
        <w:pStyle w:val="ListBullet"/>
      </w:pPr>
      <w:r>
        <w:rPr>
          <w:b w:val="0"/>
        </w:rPr>
        <w:t>All results are associations, not proven causes.</w:t>
      </w:r>
    </w:p>
    <w:p>
      <w:pPr>
        <w:pStyle w:val="Heading1"/>
      </w:pPr>
      <w:r>
        <w:t>8. Questions to expect</w:t>
      </w:r>
    </w:p>
    <w:p>
      <w:r>
        <w:rPr>
          <w:b/>
        </w:rPr>
        <w:t>Isn't this just smaller families?</w:t>
      </w:r>
      <w:r>
        <w:rPr>
          <w:b w:val="0"/>
        </w:rPr>
        <w:t xml:space="preserve"> Partly, but homes shrank faster. Floor area per household member fell by about a quarter from 2005 to 2015, so households got less space per person, not just smaller homes for smaller households.</w:t>
      </w:r>
    </w:p>
    <w:p>
      <w:r>
        <w:rPr>
          <w:b/>
        </w:rPr>
        <w:t>Isn't this just inflation?</w:t>
      </w:r>
      <w:r>
        <w:rPr>
          <w:b w:val="0"/>
        </w:rPr>
        <w:t xml:space="preserve"> Shrinkflation is about what you get for the price tag. Up to 2019 the price tag was held down by shrinking. From 2020 to 2025 the rise came from PSF, and size went slightly up.</w:t>
      </w:r>
    </w:p>
    <w:p>
      <w:r>
        <w:rPr>
          <w:b/>
        </w:rPr>
        <w:t>Why lease-start year and not completion year?</w:t>
      </w:r>
      <w:r>
        <w:rPr>
          <w:b w:val="0"/>
        </w:rPr>
        <w:t xml:space="preserve"> The land sale is when the developer decides the sizes, and completion comes three to five years later. The data also has no completion year.</w:t>
      </w:r>
    </w:p>
    <w:p>
      <w:r>
        <w:rPr>
          <w:b/>
        </w:rPr>
        <w:t>Is the shrink good or bad?</w:t>
      </w:r>
      <w:r>
        <w:rPr>
          <w:b w:val="0"/>
        </w:rPr>
        <w:t xml:space="preserve"> It kept price tags lower but gave buyers less space. The 2019 cap chose space over a lower price tag, and the cost of that shows up in chart 9.</w:t>
      </w:r>
    </w:p>
    <w:p>
      <w:r>
        <w:rPr>
          <w:b/>
        </w:rPr>
        <w:t>What does it mean for a buyer?</w:t>
      </w:r>
      <w:r>
        <w:rPr>
          <w:b w:val="0"/>
        </w:rPr>
        <w:t xml:space="preserve"> Compare PSF and space, not the price tag. In 2025 a resale home gives 47% more floor area per dollar than a new launch (S$1,747 against S$2,572 per sq ft), in exchange for an older building and a shorter lease.</w:t>
      </w:r>
    </w:p>
    <w:p>
      <w:r>
        <w:rPr>
          <w:b/>
        </w:rPr>
        <w:t>And for policy?</w:t>
      </w:r>
      <w:r>
        <w:rPr>
          <w:b w:val="0"/>
        </w:rPr>
        <w:t xml:space="preserve"> With unit sizes capped, affordability now depends on land supply and income growth. Developers can no longer shrink their way to a lower price tag, so they compete on layouts that waste less space.</w:t>
      </w:r>
    </w:p>
    <w:p>
      <w:r>
        <w:rPr>
          <w:b/>
        </w:rPr>
        <w:t>What would you do with more time?</w:t>
      </w:r>
      <w:r>
        <w:rPr>
          <w:b w:val="0"/>
        </w:rPr>
        <w:t xml:space="preserve"> Get launch prices from 2005 to 2019 from URA REALIS to see the price tags at the time, add bedroom counts, and compare projects whose land was sold just before and just after the 2019 cap.</w:t>
      </w:r>
    </w:p>
    <w:p>
      <w:pPr>
        <w:pStyle w:val="Heading1"/>
      </w:pPr>
      <w:r>
        <w:t>9. Presenting it in about five minutes</w:t>
      </w:r>
    </w:p>
    <w:tbl>
      <w:tblPr>
        <w:tblStyle w:val="TableGrid"/>
        <w:tblW w:type="auto" w:w="0"/>
        <w:jc w:val="center"/>
        <w:tblLayout w:type="fixed"/>
        <w:tblLook w:firstColumn="1" w:firstRow="1" w:lastColumn="0" w:lastRow="0" w:noHBand="0" w:noVBand="1" w:val="04A0"/>
      </w:tblPr>
      <w:tblGrid>
        <w:gridCol w:w="2381"/>
        <w:gridCol w:w="907"/>
        <w:gridCol w:w="6123"/>
      </w:tblGrid>
      <w:tr>
        <w:tc>
          <w:tcPr>
            <w:tcW w:type="dxa" w:w="2381"/>
            <w:shd w:val="clear" w:color="auto" w:fill="E3ECF8"/>
          </w:tcPr>
          <w:p>
            <w:pPr>
              <w:spacing w:after="20" w:line="252" w:lineRule="auto"/>
            </w:pPr>
            <w:r>
              <w:rPr>
                <w:b/>
                <w:sz w:val="18"/>
              </w:rPr>
              <w:t>Part</w:t>
            </w:r>
          </w:p>
        </w:tc>
        <w:tc>
          <w:tcPr>
            <w:tcW w:type="dxa" w:w="907"/>
            <w:shd w:val="clear" w:color="auto" w:fill="E3ECF8"/>
          </w:tcPr>
          <w:p>
            <w:pPr>
              <w:spacing w:after="20" w:line="252" w:lineRule="auto"/>
            </w:pPr>
            <w:r>
              <w:rPr>
                <w:b/>
                <w:sz w:val="18"/>
              </w:rPr>
              <w:t>Time</w:t>
            </w:r>
          </w:p>
        </w:tc>
        <w:tc>
          <w:tcPr>
            <w:tcW w:type="dxa" w:w="6123"/>
            <w:shd w:val="clear" w:color="auto" w:fill="E3ECF8"/>
          </w:tcPr>
          <w:p>
            <w:pPr>
              <w:spacing w:after="20" w:line="252" w:lineRule="auto"/>
            </w:pPr>
            <w:r>
              <w:rPr>
                <w:b/>
                <w:sz w:val="18"/>
              </w:rPr>
              <w:t>What to cover</w:t>
            </w:r>
          </w:p>
        </w:tc>
      </w:tr>
      <w:tr>
        <w:tc>
          <w:tcPr>
            <w:tcW w:type="dxa" w:w="2381"/>
          </w:tcPr>
          <w:p>
            <w:pPr>
              <w:spacing w:after="20" w:line="252" w:lineRule="auto"/>
            </w:pPr>
            <w:r>
              <w:rPr>
                <w:b/>
                <w:sz w:val="18"/>
              </w:rPr>
              <w:t>Question and key terms</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question, shrinkflation, price tag = floor area × PSF, lease-start year.</w:t>
            </w:r>
          </w:p>
        </w:tc>
      </w:tr>
      <w:tr>
        <w:tc>
          <w:tcPr>
            <w:tcW w:type="dxa" w:w="2381"/>
          </w:tcPr>
          <w:p>
            <w:pPr>
              <w:spacing w:after="20" w:line="252" w:lineRule="auto"/>
            </w:pPr>
            <w:r>
              <w:rPr>
                <w:b/>
                <w:sz w:val="18"/>
              </w:rPr>
              <w:t>Row 1: what shrank</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1 to 3. Today's gap, when it opened, which sizes went.</w:t>
            </w:r>
          </w:p>
        </w:tc>
      </w:tr>
      <w:tr>
        <w:tc>
          <w:tcPr>
            <w:tcW w:type="dxa" w:w="2381"/>
          </w:tcPr>
          <w:p>
            <w:pPr>
              <w:spacing w:after="20" w:line="252" w:lineRule="auto"/>
            </w:pPr>
            <w:r>
              <w:rPr>
                <w:b/>
                <w:sz w:val="18"/>
              </w:rPr>
              <w:t>Row 2: real and how</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4 to 6. Not location, the price-tag trade, priced per sq ft.</w:t>
            </w:r>
          </w:p>
        </w:tc>
      </w:tr>
      <w:tr>
        <w:tc>
          <w:tcPr>
            <w:tcW w:type="dxa" w:w="2381"/>
          </w:tcPr>
          <w:p>
            <w:pPr>
              <w:spacing w:after="20" w:line="252" w:lineRule="auto"/>
            </w:pPr>
            <w:r>
              <w:rPr>
                <w:b/>
                <w:sz w:val="18"/>
              </w:rPr>
              <w:t>Row 3: why and what changed</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7 to 9. Affordability, borrowing limits, the price tag after the cap.</w:t>
            </w:r>
          </w:p>
        </w:tc>
      </w:tr>
      <w:tr>
        <w:tc>
          <w:tcPr>
            <w:tcW w:type="dxa" w:w="2381"/>
          </w:tcPr>
          <w:p>
            <w:pPr>
              <w:spacing w:after="20" w:line="252" w:lineRule="auto"/>
            </w:pPr>
            <w:r>
              <w:rPr>
                <w:b/>
                <w:sz w:val="18"/>
              </w:rPr>
              <w:t>Answer</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answer line, the three findings, what it means for buyers and policy.</w:t>
            </w:r>
          </w:p>
        </w:tc>
      </w:tr>
    </w:tbl>
    <w:p/>
    <w:p>
      <w:pPr>
        <w:pStyle w:val="Heading1"/>
      </w:pPr>
      <w:r>
        <w:t>10. Sources</w:t>
      </w:r>
    </w:p>
    <w:p>
      <w:r>
        <w:rPr>
          <w:b w:val="0"/>
          <w:sz w:val="18"/>
        </w:rPr>
        <w:t>[1] URA REALIS private residential transactions: properties2025.csv (course dataset) and properties23.csv (Lecture 6).</w:t>
      </w:r>
    </w:p>
    <w:p>
      <w:r>
        <w:rPr>
          <w:b w:val="0"/>
          <w:sz w:val="18"/>
        </w:rPr>
        <w:t>[2] URA, Private Residential Property Price Index (1Q2009 = 100), quarterly. https://data.gov.sg/datasets/d_97f8a2e995022d311c6c68cfda6d034c/view</w:t>
      </w:r>
    </w:p>
    <w:p>
      <w:r>
        <w:rPr>
          <w:b w:val="0"/>
          <w:sz w:val="18"/>
        </w:rPr>
        <w:t>[3] SingStat, change in median household employment income, 2000 to 2025. https://data.gov.sg/datasets/d_968496622a54acf5f67256434453b94c/view. Median household income S$12,446: Key Household Income Trends 2025, press release of 9 Feb 2026.</w:t>
      </w:r>
    </w:p>
    <w:p>
      <w:r>
        <w:rPr>
          <w:b w:val="0"/>
          <w:sz w:val="18"/>
        </w:rPr>
        <w:t>[4] MAS, TDSR of 55% (from 16 Dec 2021) and 4% interest rate floor (from 30 Sep 2022); loan tenure and LTV limits. https://www.mas.gov.sg/regulation/explainers/new-housing-loans/loan-tenure-and-loan-to-value-limits</w:t>
      </w:r>
    </w:p>
    <w:p>
      <w:r>
        <w:rPr>
          <w:b w:val="0"/>
          <w:sz w:val="18"/>
        </w:rPr>
        <w:t>[5] URA circular DC18-06, 17 Oct 2018. https://www.ura.gov.sg/guidelines/archived-circulars/dc18-06/</w:t>
      </w:r>
    </w:p>
    <w:p>
      <w:r>
        <w:rPr>
          <w:b w:val="0"/>
          <w:sz w:val="18"/>
        </w:rPr>
        <w:t>[6] ONS (2019), The impact of shrinkflation on CPIH, UK. https://www.ons.gov.uk/economy/inflationandpriceindices/articles/theimpactofshrinkflationoncpihuk/howmanyofourproductsaregettingsmaller</w:t>
      </w:r>
    </w:p>
    <w:p>
      <w:r>
        <w:rPr>
          <w:b w:val="0"/>
          <w:sz w:val="18"/>
        </w:rPr>
        <w:t>[7] Lee Sze Teck (Huttons), Are home sizes in Singapore shrinking?, EdgeProp, 7 Mar 2025. https://www.edgeprop.sg/property-news/are-home-sizes-singapore-shrinking</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Arial" w:hAnsi="Arial"/>
      <w:b/>
      <w:bCs/>
      <w:color w:val="0D366B"/>
      <w:sz w:val="30"/>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Arial" w:hAnsi="Arial"/>
      <w:b/>
      <w:bCs/>
      <w:color w:val="0D366B"/>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Arial" w:hAnsi="Arial"/>
      <w:b/>
      <w:bCs/>
      <w:color w:val="52514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olor w:val="0D366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