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Shrinkflation poster: guide for presenting</w:t>
      </w:r>
    </w:p>
    <w:p>
      <w:r>
        <w:rPr>
          <w:b w:val="0"/>
          <w:color w:val="52514E"/>
        </w:rPr>
        <w:t xml:space="preserve">DAO2702 group assignment, Team Jupyter. </w:t>
      </w:r>
      <w:r>
        <w:rPr>
          <w:b/>
          <w:color w:val="52514E"/>
        </w:rPr>
        <w:t>Part 1 is the must-read:</w:t>
      </w:r>
      <w:r>
        <w:rPr>
          <w:b w:val="0"/>
          <w:color w:val="52514E"/>
        </w:rPr>
        <w:t xml:space="preserve"> a few pages on the project plus one short paragraph per chart. </w:t>
      </w:r>
      <w:r>
        <w:rPr>
          <w:b/>
          <w:color w:val="52514E"/>
        </w:rPr>
        <w:t>Part 2 is reference.</w:t>
      </w:r>
      <w:r>
        <w:rPr>
          <w:b w:val="0"/>
          <w:color w:val="52514E"/>
        </w:rPr>
        <w:t xml:space="preserve"> Nobody has to read it, but it has everything needed to explain a chart in depth or answer questions.</w:t>
      </w:r>
    </w:p>
    <w:p>
      <w:pPr>
        <w:pStyle w:val="Heading1"/>
      </w:pPr>
      <w:r>
        <w:rPr>
          <w:color w:val="C44E1E"/>
        </w:rPr>
        <w:t>Part 1: must read</w:t>
      </w:r>
    </w:p>
    <w:p>
      <w:pPr>
        <w:pStyle w:val="Heading2"/>
      </w:pPr>
      <w:r>
        <w:t>The story in one minute</w:t>
      </w:r>
    </w:p>
    <w:p>
      <w:r>
        <w:rPr>
          <w:b w:val="0"/>
        </w:rPr>
        <w:t>If you only get a minute, say this. Singapore's private homes did shrink to keep the price tag within reach. Homes built on land sold from 2009 to 2013 are about 40% smaller than homes on earlier land, and the gap is the same within each district. It worked because a new launch is priced per square foot, so a smaller unit means a lower price tag. The shrink happened in the years when home prices were furthest ahead of incomes.</w:t>
      </w:r>
    </w:p>
    <w:p>
      <w:r>
        <w:rPr>
          <w:b w:val="0"/>
        </w:rPr>
        <w:t>In 2019 URA tightened its cap on how many units a project may build, and the shrink stopped. Prices per square foot kept rising, so the price tag rises instead: a typical new launch cost 49% more in 2025 than in late 2020, and at 2025 launch prices the median household can borrow for less floor area than the median new unit.</w:t>
      </w:r>
    </w:p>
    <w:p>
      <w:pPr>
        <w:pStyle w:val="Heading2"/>
      </w:pPr>
      <w:r>
        <w:t>What we hand in</w:t>
      </w:r>
    </w:p>
    <w:p>
      <w:pPr>
        <w:pStyle w:val="ListBullet"/>
      </w:pPr>
      <w:r>
        <w:rPr>
          <w:b/>
        </w:rPr>
        <w:t>Deadline:</w:t>
      </w:r>
      <w:r>
        <w:rPr>
          <w:b w:val="0"/>
        </w:rPr>
        <w:t xml:space="preserve"> Friday 16 October 2026, 23:59. Up to 24 hours late costs 20%. Later than that counts as no submission.</w:t>
      </w:r>
    </w:p>
    <w:p>
      <w:pPr>
        <w:pStyle w:val="ListBullet"/>
      </w:pPr>
      <w:r>
        <w:rPr>
          <w:b/>
        </w:rPr>
        <w:t>One zip file</w:t>
      </w:r>
      <w:r>
        <w:rPr>
          <w:b w:val="0"/>
        </w:rPr>
        <w:t xml:space="preserve"> named Poster_Jupyter, holding the single-sided A4 poster as a PDF and the code. The course outline asks for the code as HTML and the Canvas brief asks for IPYNB, so we hand in both: shrinkflation.ipynb and shrinkflation.html.</w:t>
      </w:r>
    </w:p>
    <w:p>
      <w:pPr>
        <w:pStyle w:val="ListBullet"/>
      </w:pPr>
      <w:r>
        <w:rPr>
          <w:b/>
        </w:rPr>
        <w:t>How it is graded:</w:t>
      </w:r>
      <w:r>
        <w:rPr>
          <w:b w:val="0"/>
        </w:rPr>
        <w:t xml:space="preserve"> mainly on the quality of the charts (the right chart for the data, following plotting conventions) and on the insights the charts and comments give. The poster should carry short comments with the key findings or recommendations.</w:t>
      </w:r>
    </w:p>
    <w:p>
      <w:pPr>
        <w:pStyle w:val="ListBullet"/>
      </w:pPr>
      <w:r>
        <w:rPr>
          <w:b/>
        </w:rPr>
        <w:t>Team Jupyter:</w:t>
      </w:r>
      <w:r>
        <w:rPr>
          <w:b w:val="0"/>
        </w:rPr>
        <w:t xml:space="preserve"> Martin, Huaitao, Manan, Jialin, Midhvan and Hoyoung. Before submitting, check everyone's name is spelled the way they want it on the poster, export the PDF from PowerPoint and check it is one page.</w:t>
      </w:r>
    </w:p>
    <w:p>
      <w:pPr>
        <w:pStyle w:val="Heading2"/>
      </w:pPr>
      <w:r>
        <w:t>The words you need</w:t>
      </w:r>
    </w:p>
    <w:p>
      <w:pPr>
        <w:pStyle w:val="ListBullet"/>
      </w:pPr>
      <w:r>
        <w:rPr>
          <w:b/>
        </w:rPr>
        <w:t>Shrinkflation:</w:t>
      </w:r>
      <w:r>
        <w:rPr>
          <w:b w:val="0"/>
        </w:rPr>
        <w:t xml:space="preserve"> less product for the same price tag. For a home, fewer square feet for the same total price.</w:t>
      </w:r>
    </w:p>
    <w:p>
      <w:pPr>
        <w:pStyle w:val="ListBullet"/>
      </w:pPr>
      <w:r>
        <w:rPr>
          <w:b/>
        </w:rPr>
        <w:t>PSF:</w:t>
      </w:r>
      <w:r>
        <w:rPr>
          <w:b w:val="0"/>
        </w:rPr>
        <w:t xml:space="preserve"> price per square foot. The price tag is floor area × PSF, so when PSF rises a smaller unit keeps the price tag flat.</w:t>
      </w:r>
    </w:p>
    <w:p>
      <w:pPr>
        <w:pStyle w:val="ListBullet"/>
      </w:pPr>
      <w:r>
        <w:rPr>
          <w:b/>
        </w:rPr>
        <w:t>New launch vs resale:</w:t>
      </w:r>
      <w:r>
        <w:rPr>
          <w:b w:val="0"/>
        </w:rPr>
        <w:t xml:space="preserve"> bought from the developer vs second-hand.</w:t>
      </w:r>
    </w:p>
    <w:p>
      <w:pPr>
        <w:pStyle w:val="ListBullet"/>
      </w:pPr>
      <w:r>
        <w:rPr>
          <w:b/>
        </w:rPr>
        <w:t>Lease-start year:</w:t>
      </w:r>
      <w:r>
        <w:rPr>
          <w:b w:val="0"/>
        </w:rPr>
        <w:t xml:space="preserve"> when a 99-year lease began, roughly the year the land was sold and the unit sizes were planned. We use it as a home's vintage.</w:t>
      </w:r>
    </w:p>
    <w:p>
      <w:pPr>
        <w:pStyle w:val="ListBullet"/>
      </w:pPr>
      <w:r>
        <w:rPr>
          <w:b/>
        </w:rPr>
        <w:t>URA unit cap:</w:t>
      </w:r>
      <w:r>
        <w:rPr>
          <w:b w:val="0"/>
        </w:rPr>
        <w:t xml:space="preserve"> since 2012 a condo outside the city centre may have at most its floor area ÷ 70 m² in units, ÷ 85 m² since 2019. It limits how many homes fit in a project, which keeps the average home from getting smaller.</w:t>
      </w:r>
    </w:p>
    <w:p>
      <w:pPr>
        <w:pStyle w:val="ListBullet"/>
      </w:pPr>
      <w:r>
        <w:rPr>
          <w:b/>
        </w:rPr>
        <w:t>MAS loan limit:</w:t>
      </w:r>
      <w:r>
        <w:rPr>
          <w:b w:val="0"/>
        </w:rPr>
        <w:t xml:space="preserve"> loan repayments can take at most 55% of income, tested at 4% interest, so income caps the price tag a household can pay.</w:t>
      </w:r>
    </w:p>
    <w:p>
      <w:pPr>
        <w:pStyle w:val="ListBullet"/>
      </w:pPr>
      <w:r>
        <w:rPr>
          <w:b/>
        </w:rPr>
        <w:t>Median:</w:t>
      </w:r>
      <w:r>
        <w:rPr>
          <w:b w:val="0"/>
        </w:rPr>
        <w:t xml:space="preserve"> the middle value. We use it everywhere because a few huge homes would pull an average up.</w:t>
      </w:r>
    </w:p>
    <w:p>
      <w:pPr>
        <w:pStyle w:val="Heading2"/>
      </w:pPr>
      <w:r>
        <w:t>How the poster is laid out</w:t>
      </w:r>
    </w:p>
    <w:p>
      <w:pPr>
        <w:pStyle w:val="ListBullet"/>
      </w:pPr>
      <w:r>
        <w:rPr>
          <w:b/>
        </w:rPr>
        <w:t>Top:</w:t>
      </w:r>
      <w:r>
        <w:rPr>
          <w:b w:val="0"/>
        </w:rPr>
        <w:t xml:space="preserve"> the question, with one grey line underneath holding the few terms you need to read the charts. Part 2 has the full definitions.</w:t>
      </w:r>
    </w:p>
    <w:p>
      <w:pPr>
        <w:pStyle w:val="ListBullet"/>
      </w:pPr>
      <w:r>
        <w:rPr>
          <w:b/>
        </w:rPr>
        <w:t>Row 1, what shrank (charts 1 to 3):</w:t>
      </w:r>
      <w:r>
        <w:rPr>
          <w:b w:val="0"/>
        </w:rPr>
        <w:t xml:space="preserve"> the size gap today, when it opened, and which sizes disappeared.</w:t>
      </w:r>
    </w:p>
    <w:p>
      <w:pPr>
        <w:pStyle w:val="ListBullet"/>
      </w:pPr>
      <w:r>
        <w:rPr>
          <w:b/>
        </w:rPr>
        <w:t>Row 2, is it real and how does it work (4 to 6):</w:t>
      </w:r>
      <w:r>
        <w:rPr>
          <w:b w:val="0"/>
        </w:rPr>
        <w:t xml:space="preserve"> a check that it is not location, what the shrink did to price tags, and how a launch is priced.</w:t>
      </w:r>
    </w:p>
    <w:p>
      <w:pPr>
        <w:pStyle w:val="ListBullet"/>
      </w:pPr>
      <w:r>
        <w:rPr>
          <w:b/>
        </w:rPr>
        <w:t>Row 3, why it happened and what changed (7 to 9):</w:t>
      </w:r>
      <w:r>
        <w:rPr>
          <w:b w:val="0"/>
        </w:rPr>
        <w:t xml:space="preserve"> affordability over 25 years, what a household can borrow, and what happened after the cap.</w:t>
      </w:r>
    </w:p>
    <w:p>
      <w:pPr>
        <w:pStyle w:val="ListBullet"/>
      </w:pPr>
      <w:r>
        <w:rPr>
          <w:b/>
        </w:rPr>
        <w:t>Bottom:</w:t>
      </w:r>
      <w:r>
        <w:rPr>
          <w:b w:val="0"/>
        </w:rPr>
        <w:t xml:space="preserve"> the answer, three findings that match the three rows, and a small footnote with data, limitations and sources.</w:t>
      </w:r>
    </w:p>
    <w:p>
      <w:r>
        <w:rPr>
          <w:b w:val="0"/>
        </w:rPr>
        <w:t>Every chart has one bold line on top. That line is the single most important takeaway, with a number you can read off the chart. Under the chart sits a short grey comment on what it means, beyond what the chart shows on its own. When you present, say the bold line first, point to where it comes from on the chart, then give the comment.</w:t>
      </w:r>
    </w:p>
    <w:p>
      <w:pPr>
        <w:pStyle w:val="Heading2"/>
      </w:pPr>
      <w:r>
        <w:t>The nine charts in brief</w:t>
      </w:r>
    </w:p>
    <w:p>
      <w:r>
        <w:rPr>
          <w:b w:val="0"/>
          <w:color w:val="52514E"/>
        </w:rPr>
        <w:t>Read the bold line out first, then point at where it comes from on the chart.</w:t>
      </w: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1" name="Picture 1"/>
                  <wp:cNvGraphicFramePr>
                    <a:graphicFrameLocks noChangeAspect="1"/>
                  </wp:cNvGraphicFramePr>
                  <a:graphic>
                    <a:graphicData uri="http://schemas.openxmlformats.org/drawingml/2006/picture">
                      <pic:pic>
                        <pic:nvPicPr>
                          <pic:cNvPr id="0" name="01_histogram.png"/>
                          <pic:cNvPicPr/>
                        </pic:nvPicPr>
                        <pic:blipFill>
                          <a:blip r:embed="rId10"/>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1. New launches are 21% smaller than resale homes</w:t>
            </w:r>
          </w:p>
          <w:p>
            <w:pPr>
              <w:spacing w:after="60"/>
            </w:pPr>
            <w:r>
              <w:t>Every home sold in 2025, new launches above the line and resale homes below, in 50 sq ft bands. The median new unit has 797 sq ft against 1,012 for resale, and homes of 1,200 sq ft or more are 34% of resale sales but only 18% of new launches.</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2" name="Picture 2"/>
                  <wp:cNvGraphicFramePr>
                    <a:graphicFrameLocks noChangeAspect="1"/>
                  </wp:cNvGraphicFramePr>
                  <a:graphic>
                    <a:graphicData uri="http://schemas.openxmlformats.org/drawingml/2006/picture">
                      <pic:pic>
                        <pic:nvPicPr>
                          <pic:cNvPr id="0" name="02_line_vintage.png"/>
                          <pic:cNvPicPr/>
                        </pic:nvPicPr>
                        <pic:blipFill>
                          <a:blip r:embed="rId11"/>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2. Homes shrank 43% for land sold after 2008</w:t>
            </w:r>
          </w:p>
          <w:p>
            <w:pPr>
              <w:spacing w:after="60"/>
            </w:pPr>
            <w:r>
              <w:t>Median floor area (line) and the middle half of units (band), by the year the land was sold. Sizes sat near 1,240 sq ft up to 2008, fell to about 710 by 2013–15 and stayed low. The two vertical lines are URA's unit cap in 2012 and its tightening in 2019.</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3" name="Picture 3"/>
                  <wp:cNvGraphicFramePr>
                    <a:graphicFrameLocks noChangeAspect="1"/>
                  </wp:cNvGraphicFramePr>
                  <a:graphic>
                    <a:graphicData uri="http://schemas.openxmlformats.org/drawingml/2006/picture">
                      <pic:pic>
                        <pic:nvPicPr>
                          <pic:cNvPr id="0" name="03_stacked_mix.png"/>
                          <pic:cNvPicPr/>
                        </pic:nvPicPr>
                        <pic:blipFill>
                          <a:blip r:embed="rId12"/>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3. Shoeboxes rose from 1% to 13%, big homes fell from 34% to 8%</w:t>
            </w:r>
          </w:p>
          <w:p>
            <w:pPr>
              <w:spacing w:after="60"/>
            </w:pPr>
            <w:r>
              <w:t>The mix of sizes by when the land was sold, each bar adding up to 100%. Shoeboxes (orange) took off after 2008 and big homes (dark blue) almost vanished. After the 2019 cap shoeboxes fell back to 9%, but big homes never came back.</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4" name="Picture 4"/>
                  <wp:cNvGraphicFramePr>
                    <a:graphicFrameLocks noChangeAspect="1"/>
                  </wp:cNvGraphicFramePr>
                  <a:graphic>
                    <a:graphicData uri="http://schemas.openxmlformats.org/drawingml/2006/picture">
                      <pic:pic>
                        <pic:nvPicPr>
                          <pic:cNvPr id="0" name="04_coefficients.png"/>
                          <pic:cNvPicPr/>
                        </pic:nvPicPr>
                        <pic:blipFill>
                          <a:blip r:embed="rId13"/>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4. Within the same district the gap stays at −34%</w:t>
            </w:r>
          </w:p>
          <w:p>
            <w:pPr>
              <w:spacing w:after="60"/>
            </w:pPr>
            <w:r>
              <w:t>Grey dots show how much smaller each era is than pre-2009 homes. Blue dots make the same comparison among homes in the same district, of the same type and sold in the same year. The dots barely move, so location does not explain the shrink. Lines are 95% confidence intervals.</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5" name="Picture 5"/>
                  <wp:cNvGraphicFramePr>
                    <a:graphicFrameLocks noChangeAspect="1"/>
                  </wp:cNvGraphicFramePr>
                  <a:graphic>
                    <a:graphicData uri="http://schemas.openxmlformats.org/drawingml/2006/picture">
                      <pic:pic>
                        <pic:nvPicPr>
                          <pic:cNvPr id="0" name="05_scatter_isoprice.png"/>
                          <pic:cNvPicPr/>
                        </pic:nvPicPr>
                        <pic:blipFill>
                          <a:blip r:embed="rId14"/>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5. Shrinking cut prices to S$1.45M; after 2019 they jump to S$2.05M</w:t>
            </w:r>
          </w:p>
          <w:p>
            <w:pPr>
              <w:spacing w:after="60"/>
            </w:pPr>
            <w:r>
              <w:t>2025 prices only. Small dots are projects, big dots era medians, and every point on one grey curve costs the same. From pre-2009 homes to 2013–18 homes, size fell 40% and PSF rose 27%, so the price fell. Post-2019 homes are a bit bigger and much dearer per sq ft.</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6" name="Picture 6"/>
                  <wp:cNvGraphicFramePr>
                    <a:graphicFrameLocks noChangeAspect="1"/>
                  </wp:cNvGraphicFramePr>
                  <a:graphic>
                    <a:graphicData uri="http://schemas.openxmlformats.org/drawingml/2006/picture">
                      <pic:pic>
                        <pic:nvPicPr>
                          <pic:cNvPr id="0" name="06_violin_pricing.png"/>
                          <pic:cNvPicPr/>
                        </pic:nvPicPr>
                        <pic:blipFill>
                          <a:blip r:embed="rId15"/>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6. Every unit size sells at its project's PSF, within 1.5%</w:t>
            </w:r>
          </w:p>
          <w:p>
            <w:pPr>
              <w:spacing w:after="60"/>
            </w:pPr>
            <w:r>
              <w:t>Each new unit's PSF compared with its own project's PSF, by unit size. Every size sits around zero, so inside a launch the price rises one for one with floor area. A smaller unit is the only way to a lower price tag.</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7" name="Picture 7"/>
                  <wp:cNvGraphicFramePr>
                    <a:graphicFrameLocks noChangeAspect="1"/>
                  </wp:cNvGraphicFramePr>
                  <a:graphic>
                    <a:graphicData uri="http://schemas.openxmlformats.org/drawingml/2006/picture">
                      <pic:pic>
                        <pic:nvPicPr>
                          <pic:cNvPr id="0" name="07_lollipop_macro.png"/>
                          <pic:cNvPicPr/>
                        </pic:nvPicPr>
                        <pic:blipFill>
                          <a:blip r:embed="rId16"/>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7. Least affordable in 2007–13, when that land was sold</w:t>
            </w:r>
          </w:p>
          <w:p>
            <w:pPr>
              <w:spacing w:after="60"/>
            </w:pPr>
            <w:r>
              <w:t>Home prices divided by household income, against the 25-year average. Orange years were less affordable than usual. The orange run lines up with the years the land behind the smallest homes was sold.</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8" name="Picture 8"/>
                  <wp:cNvGraphicFramePr>
                    <a:graphicFrameLocks noChangeAspect="1"/>
                  </wp:cNvGraphicFramePr>
                  <a:graphic>
                    <a:graphicData uri="http://schemas.openxmlformats.org/drawingml/2006/picture">
                      <pic:pic>
                        <pic:nvPicPr>
                          <pic:cNvPr id="0" name="08_heatmap_tdsr.png"/>
                          <pic:cNvPicPr/>
                        </pic:nvPicPr>
                        <pic:blipFill>
                          <a:blip r:embed="rId17"/>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8. The median household can borrow for under 800 sq ft</w:t>
            </w:r>
          </w:p>
          <w:p>
            <w:pPr>
              <w:spacing w:after="60"/>
            </w:pPr>
            <w:r>
              <w:t>How many sq ft a household can afford under MAS loan rules, by income (rows) and PSF (columns). Orange boxes cannot reach the 797 sq ft median new unit. At the median income of S$12,446, the 2025 launch PSF buys 743 sq ft.</w:t>
            </w:r>
          </w:p>
        </w:tc>
      </w:tr>
    </w:tbl>
    <w:p>
      <w:pPr>
        <w:spacing w:after="40"/>
      </w:pPr>
    </w:p>
    <w:tbl>
      <w:tblPr>
        <w:tblW w:type="auto" w:w="0"/>
        <w:tblLayout w:type="fixed"/>
        <w:tblLook w:firstColumn="1" w:firstRow="1" w:lastColumn="0" w:lastRow="0" w:noHBand="0" w:noVBand="1" w:val="04A0"/>
      </w:tblPr>
      <w:tblGrid>
        <w:gridCol w:w="3175"/>
        <w:gridCol w:w="6236"/>
      </w:tblGrid>
      <w:tr>
        <w:tc>
          <w:tcPr>
            <w:tcW w:type="dxa" w:w="3175"/>
          </w:tcPr>
          <w:p>
            <w:pPr>
              <w:spacing w:after="60"/>
            </w:pPr>
            <w:r>
              <w:drawing>
                <wp:inline xmlns:a="http://schemas.openxmlformats.org/drawingml/2006/main" xmlns:pic="http://schemas.openxmlformats.org/drawingml/2006/picture">
                  <wp:extent cx="1908000" cy="1778644"/>
                  <wp:docPr id="9" name="Picture 9"/>
                  <wp:cNvGraphicFramePr>
                    <a:graphicFrameLocks noChangeAspect="1"/>
                  </wp:cNvGraphicFramePr>
                  <a:graphic>
                    <a:graphicData uri="http://schemas.openxmlformats.org/drawingml/2006/picture">
                      <pic:pic>
                        <pic:nvPicPr>
                          <pic:cNvPr id="0" name="09_waterfall.png"/>
                          <pic:cNvPicPr/>
                        </pic:nvPicPr>
                        <pic:blipFill>
                          <a:blip r:embed="rId18"/>
                          <a:stretch>
                            <a:fillRect/>
                          </a:stretch>
                        </pic:blipFill>
                        <pic:spPr>
                          <a:xfrm>
                            <a:off x="0" y="0"/>
                            <a:ext cx="1908000" cy="1778644"/>
                          </a:xfrm>
                          <a:prstGeom prst="rect"/>
                        </pic:spPr>
                      </pic:pic>
                    </a:graphicData>
                  </a:graphic>
                </wp:inline>
              </w:drawing>
            </w:r>
          </w:p>
        </w:tc>
        <w:tc>
          <w:tcPr>
            <w:tcW w:type="dxa" w:w="6236"/>
          </w:tcPr>
          <w:p>
            <w:pPr>
              <w:spacing w:after="60"/>
            </w:pPr>
            <w:r>
              <w:rPr>
                <w:b/>
                <w:color w:val="C44E1E"/>
              </w:rPr>
              <w:t>9. Price tag S$1.46M → S$2.18M, driven by PSF (+39%)</w:t>
            </w:r>
          </w:p>
          <w:p>
            <w:pPr>
              <w:spacing w:after="60"/>
            </w:pPr>
            <w:r>
              <w:t>The typical new-launch price from late 2020 to 2025, split into what higher PSF added (+39%) and what floor area added (+7%). Units no longer shrink, so buyers now pay the whole PSF rise.</w:t>
            </w:r>
          </w:p>
        </w:tc>
      </w:tr>
    </w:tbl>
    <w:p>
      <w:pPr>
        <w:spacing w:after="40"/>
      </w:pPr>
    </w:p>
    <w:p>
      <w:pPr>
        <w:pStyle w:val="Heading2"/>
      </w:pPr>
      <w:r>
        <w:t>How we present it (about five minutes)</w:t>
      </w:r>
    </w:p>
    <w:tbl>
      <w:tblPr>
        <w:tblStyle w:val="TableGrid"/>
        <w:tblW w:type="auto" w:w="0"/>
        <w:jc w:val="center"/>
        <w:tblLayout w:type="fixed"/>
        <w:tblLook w:firstColumn="1" w:firstRow="1" w:lastColumn="0" w:lastRow="0" w:noHBand="0" w:noVBand="1" w:val="04A0"/>
      </w:tblPr>
      <w:tblGrid>
        <w:gridCol w:w="2381"/>
        <w:gridCol w:w="907"/>
        <w:gridCol w:w="6123"/>
      </w:tblGrid>
      <w:tr>
        <w:tc>
          <w:tcPr>
            <w:tcW w:type="dxa" w:w="2381"/>
            <w:shd w:val="clear" w:color="auto" w:fill="E3ECF8"/>
          </w:tcPr>
          <w:p>
            <w:pPr>
              <w:spacing w:after="20" w:line="252" w:lineRule="auto"/>
            </w:pPr>
            <w:r>
              <w:rPr>
                <w:b/>
                <w:sz w:val="18"/>
              </w:rPr>
              <w:t>Part</w:t>
            </w:r>
          </w:p>
        </w:tc>
        <w:tc>
          <w:tcPr>
            <w:tcW w:type="dxa" w:w="907"/>
            <w:shd w:val="clear" w:color="auto" w:fill="E3ECF8"/>
          </w:tcPr>
          <w:p>
            <w:pPr>
              <w:spacing w:after="20" w:line="252" w:lineRule="auto"/>
            </w:pPr>
            <w:r>
              <w:rPr>
                <w:b/>
                <w:sz w:val="18"/>
              </w:rPr>
              <w:t>Time</w:t>
            </w:r>
          </w:p>
        </w:tc>
        <w:tc>
          <w:tcPr>
            <w:tcW w:type="dxa" w:w="6123"/>
            <w:shd w:val="clear" w:color="auto" w:fill="E3ECF8"/>
          </w:tcPr>
          <w:p>
            <w:pPr>
              <w:spacing w:after="20" w:line="252" w:lineRule="auto"/>
            </w:pPr>
            <w:r>
              <w:rPr>
                <w:b/>
                <w:sz w:val="18"/>
              </w:rPr>
              <w:t>What to cover</w:t>
            </w:r>
          </w:p>
        </w:tc>
      </w:tr>
      <w:tr>
        <w:tc>
          <w:tcPr>
            <w:tcW w:type="dxa" w:w="2381"/>
          </w:tcPr>
          <w:p>
            <w:pPr>
              <w:spacing w:after="20" w:line="252" w:lineRule="auto"/>
            </w:pPr>
            <w:r>
              <w:rPr>
                <w:b/>
                <w:sz w:val="18"/>
              </w:rPr>
              <w:t>Question and key terms</w:t>
            </w:r>
          </w:p>
        </w:tc>
        <w:tc>
          <w:tcPr>
            <w:tcW w:type="dxa" w:w="907"/>
          </w:tcPr>
          <w:p>
            <w:pPr>
              <w:spacing w:after="20" w:line="252" w:lineRule="auto"/>
            </w:pPr>
            <w:r>
              <w:rPr>
                <w:b w:val="0"/>
                <w:sz w:val="18"/>
              </w:rPr>
              <w:t>40 s</w:t>
            </w:r>
          </w:p>
        </w:tc>
        <w:tc>
          <w:tcPr>
            <w:tcW w:type="dxa" w:w="6123"/>
          </w:tcPr>
          <w:p>
            <w:pPr>
              <w:spacing w:after="20" w:line="252" w:lineRule="auto"/>
            </w:pPr>
            <w:r>
              <w:rPr>
                <w:b w:val="0"/>
                <w:sz w:val="18"/>
              </w:rPr>
              <w:t>The question, shrinkflation, price tag = floor area × PSF, lease-start year.</w:t>
            </w:r>
          </w:p>
        </w:tc>
      </w:tr>
      <w:tr>
        <w:tc>
          <w:tcPr>
            <w:tcW w:type="dxa" w:w="2381"/>
          </w:tcPr>
          <w:p>
            <w:pPr>
              <w:spacing w:after="20" w:line="252" w:lineRule="auto"/>
            </w:pPr>
            <w:r>
              <w:rPr>
                <w:b/>
                <w:sz w:val="18"/>
              </w:rPr>
              <w:t>Row 1: what shrank</w:t>
            </w:r>
          </w:p>
        </w:tc>
        <w:tc>
          <w:tcPr>
            <w:tcW w:type="dxa" w:w="907"/>
          </w:tcPr>
          <w:p>
            <w:pPr>
              <w:spacing w:after="20" w:line="252" w:lineRule="auto"/>
            </w:pPr>
            <w:r>
              <w:rPr>
                <w:b w:val="0"/>
                <w:sz w:val="18"/>
              </w:rPr>
              <w:t>80 s</w:t>
            </w:r>
          </w:p>
        </w:tc>
        <w:tc>
          <w:tcPr>
            <w:tcW w:type="dxa" w:w="6123"/>
          </w:tcPr>
          <w:p>
            <w:pPr>
              <w:spacing w:after="20" w:line="252" w:lineRule="auto"/>
            </w:pPr>
            <w:r>
              <w:rPr>
                <w:b w:val="0"/>
                <w:sz w:val="18"/>
              </w:rPr>
              <w:t>Charts 1 to 3. Today's gap, when it opened, which sizes went.</w:t>
            </w:r>
          </w:p>
        </w:tc>
      </w:tr>
      <w:tr>
        <w:tc>
          <w:tcPr>
            <w:tcW w:type="dxa" w:w="2381"/>
          </w:tcPr>
          <w:p>
            <w:pPr>
              <w:spacing w:after="20" w:line="252" w:lineRule="auto"/>
            </w:pPr>
            <w:r>
              <w:rPr>
                <w:b/>
                <w:sz w:val="18"/>
              </w:rPr>
              <w:t>Row 2: real and how</w:t>
            </w:r>
          </w:p>
        </w:tc>
        <w:tc>
          <w:tcPr>
            <w:tcW w:type="dxa" w:w="907"/>
          </w:tcPr>
          <w:p>
            <w:pPr>
              <w:spacing w:after="20" w:line="252" w:lineRule="auto"/>
            </w:pPr>
            <w:r>
              <w:rPr>
                <w:b w:val="0"/>
                <w:sz w:val="18"/>
              </w:rPr>
              <w:t>80 s</w:t>
            </w:r>
          </w:p>
        </w:tc>
        <w:tc>
          <w:tcPr>
            <w:tcW w:type="dxa" w:w="6123"/>
          </w:tcPr>
          <w:p>
            <w:pPr>
              <w:spacing w:after="20" w:line="252" w:lineRule="auto"/>
            </w:pPr>
            <w:r>
              <w:rPr>
                <w:b w:val="0"/>
                <w:sz w:val="18"/>
              </w:rPr>
              <w:t>Charts 4 to 6. Not location, the price-tag trade, priced per sq ft.</w:t>
            </w:r>
          </w:p>
        </w:tc>
      </w:tr>
      <w:tr>
        <w:tc>
          <w:tcPr>
            <w:tcW w:type="dxa" w:w="2381"/>
          </w:tcPr>
          <w:p>
            <w:pPr>
              <w:spacing w:after="20" w:line="252" w:lineRule="auto"/>
            </w:pPr>
            <w:r>
              <w:rPr>
                <w:b/>
                <w:sz w:val="18"/>
              </w:rPr>
              <w:t>Row 3: why and what changed</w:t>
            </w:r>
          </w:p>
        </w:tc>
        <w:tc>
          <w:tcPr>
            <w:tcW w:type="dxa" w:w="907"/>
          </w:tcPr>
          <w:p>
            <w:pPr>
              <w:spacing w:after="20" w:line="252" w:lineRule="auto"/>
            </w:pPr>
            <w:r>
              <w:rPr>
                <w:b w:val="0"/>
                <w:sz w:val="18"/>
              </w:rPr>
              <w:t>80 s</w:t>
            </w:r>
          </w:p>
        </w:tc>
        <w:tc>
          <w:tcPr>
            <w:tcW w:type="dxa" w:w="6123"/>
          </w:tcPr>
          <w:p>
            <w:pPr>
              <w:spacing w:after="20" w:line="252" w:lineRule="auto"/>
            </w:pPr>
            <w:r>
              <w:rPr>
                <w:b w:val="0"/>
                <w:sz w:val="18"/>
              </w:rPr>
              <w:t>Charts 7 to 9. Affordability, borrowing limits, the price tag after the cap.</w:t>
            </w:r>
          </w:p>
        </w:tc>
      </w:tr>
      <w:tr>
        <w:tc>
          <w:tcPr>
            <w:tcW w:type="dxa" w:w="2381"/>
          </w:tcPr>
          <w:p>
            <w:pPr>
              <w:spacing w:after="20" w:line="252" w:lineRule="auto"/>
            </w:pPr>
            <w:r>
              <w:rPr>
                <w:b/>
                <w:sz w:val="18"/>
              </w:rPr>
              <w:t>Answer</w:t>
            </w:r>
          </w:p>
        </w:tc>
        <w:tc>
          <w:tcPr>
            <w:tcW w:type="dxa" w:w="907"/>
          </w:tcPr>
          <w:p>
            <w:pPr>
              <w:spacing w:after="20" w:line="252" w:lineRule="auto"/>
            </w:pPr>
            <w:r>
              <w:rPr>
                <w:b w:val="0"/>
                <w:sz w:val="18"/>
              </w:rPr>
              <w:t>40 s</w:t>
            </w:r>
          </w:p>
        </w:tc>
        <w:tc>
          <w:tcPr>
            <w:tcW w:type="dxa" w:w="6123"/>
          </w:tcPr>
          <w:p>
            <w:pPr>
              <w:spacing w:after="20" w:line="252" w:lineRule="auto"/>
            </w:pPr>
            <w:r>
              <w:rPr>
                <w:b w:val="0"/>
                <w:sz w:val="18"/>
              </w:rPr>
              <w:t>The answer line, the three findings, what it means for buyers and policy.</w:t>
            </w:r>
          </w:p>
        </w:tc>
      </w:tr>
    </w:tbl>
    <w:p/>
    <w:p>
      <w:r>
        <w:rPr>
          <w:b w:val="0"/>
        </w:rPr>
        <w:t>Lines you can say, one per part:</w:t>
      </w:r>
    </w:p>
    <w:p>
      <w:pPr>
        <w:pStyle w:val="ListBullet"/>
      </w:pPr>
      <w:r>
        <w:rPr>
          <w:b/>
        </w:rPr>
        <w:t>Open:</w:t>
      </w:r>
      <w:r>
        <w:rPr>
          <w:b w:val="0"/>
        </w:rPr>
        <w:t xml:space="preserve"> "Shrinkflation is less product for the same price tag. We asked whether Singapore's private homes did that, and whether it is still happening."</w:t>
      </w:r>
    </w:p>
    <w:p>
      <w:pPr>
        <w:pStyle w:val="ListBullet"/>
      </w:pPr>
      <w:r>
        <w:rPr>
          <w:b/>
        </w:rPr>
        <w:t>Row 1:</w:t>
      </w:r>
      <w:r>
        <w:rPr>
          <w:b w:val="0"/>
        </w:rPr>
        <w:t xml:space="preserve"> "Today's new launches are 21% smaller than resale homes. The drop came with land sold after 2008, 43% in five years, and the big homes are what disappeared."</w:t>
      </w:r>
    </w:p>
    <w:p>
      <w:pPr>
        <w:pStyle w:val="ListBullet"/>
      </w:pPr>
      <w:r>
        <w:rPr>
          <w:b/>
        </w:rPr>
        <w:t>Row 2:</w:t>
      </w:r>
      <w:r>
        <w:rPr>
          <w:b w:val="0"/>
        </w:rPr>
        <w:t xml:space="preserve"> "It is the same inside every district, so it is not location. And because launches are priced per square foot, a smaller home really does mean a lower price tag."</w:t>
      </w:r>
    </w:p>
    <w:p>
      <w:pPr>
        <w:pStyle w:val="ListBullet"/>
      </w:pPr>
      <w:r>
        <w:rPr>
          <w:b/>
        </w:rPr>
        <w:t>Row 3:</w:t>
      </w:r>
      <w:r>
        <w:rPr>
          <w:b w:val="0"/>
        </w:rPr>
        <w:t xml:space="preserve"> "It happened when prices were furthest ahead of incomes. Then URA capped it, so now the price tag rises instead: plus 49% since 2020, at the edge of what a median household can borrow."</w:t>
      </w:r>
    </w:p>
    <w:p>
      <w:pPr>
        <w:pStyle w:val="ListBullet"/>
      </w:pPr>
      <w:r>
        <w:rPr>
          <w:b/>
        </w:rPr>
        <w:t>Close:</w:t>
      </w:r>
      <w:r>
        <w:rPr>
          <w:b w:val="0"/>
        </w:rPr>
        <w:t xml:space="preserve"> "So yes, homes shrank to stay affordable, until the rules stopped it. For a buyer, compare price per square foot, not the price tag."</w:t>
      </w:r>
    </w:p>
    <w:p>
      <w:pPr>
        <w:pStyle w:val="ListBullet"/>
      </w:pPr>
      <w:r>
        <w:rPr>
          <w:b w:val="0"/>
        </w:rPr>
        <w:t>Say each chart's bold takeaway first, then point at the part of the chart it comes from. Do not read the guide out loud.</w:t>
      </w:r>
    </w:p>
    <w:p>
      <w:pPr>
        <w:pStyle w:val="Heading1"/>
        <w:pageBreakBefore/>
      </w:pPr>
      <w:r>
        <w:rPr>
          <w:color w:val="C44E1E"/>
        </w:rPr>
        <w:t>Part 2: reference, read if you need it</w:t>
      </w:r>
    </w:p>
    <w:p>
      <w:r>
        <w:rPr>
          <w:b w:val="0"/>
          <w:color w:val="52514E"/>
        </w:rPr>
        <w:t>Everything below backs up Part 1: full definitions, the URA cap, the statistics, the data, a full page per chart with method, caveats and likely questions, the numbers to remember and the sources.</w:t>
      </w:r>
    </w:p>
    <w:p>
      <w:pPr>
        <w:pStyle w:val="Heading2"/>
      </w:pPr>
      <w:r>
        <w:t>Key terms in full</w:t>
      </w:r>
    </w:p>
    <w:tbl>
      <w:tblPr>
        <w:tblStyle w:val="TableGrid"/>
        <w:tblW w:type="auto" w:w="0"/>
        <w:jc w:val="center"/>
        <w:tblLayout w:type="fixed"/>
        <w:tblLook w:firstColumn="1" w:firstRow="1" w:lastColumn="0" w:lastRow="0" w:noHBand="0" w:noVBand="1" w:val="04A0"/>
      </w:tblPr>
      <w:tblGrid>
        <w:gridCol w:w="1928"/>
        <w:gridCol w:w="6350"/>
        <w:gridCol w:w="1134"/>
      </w:tblGrid>
      <w:tr>
        <w:tc>
          <w:tcPr>
            <w:tcW w:type="dxa" w:w="1928"/>
            <w:shd w:val="clear" w:color="auto" w:fill="E3ECF8"/>
          </w:tcPr>
          <w:p>
            <w:pPr>
              <w:spacing w:after="20" w:line="252" w:lineRule="auto"/>
            </w:pPr>
            <w:r>
              <w:rPr>
                <w:b/>
                <w:sz w:val="18"/>
              </w:rPr>
              <w:t>Term</w:t>
            </w:r>
          </w:p>
        </w:tc>
        <w:tc>
          <w:tcPr>
            <w:tcW w:type="dxa" w:w="6350"/>
            <w:shd w:val="clear" w:color="auto" w:fill="E3ECF8"/>
          </w:tcPr>
          <w:p>
            <w:pPr>
              <w:spacing w:after="20" w:line="252" w:lineRule="auto"/>
            </w:pPr>
            <w:r>
              <w:rPr>
                <w:b/>
                <w:sz w:val="18"/>
              </w:rPr>
              <w:t>What it means</w:t>
            </w:r>
          </w:p>
        </w:tc>
        <w:tc>
          <w:tcPr>
            <w:tcW w:type="dxa" w:w="1134"/>
            <w:shd w:val="clear" w:color="auto" w:fill="E3ECF8"/>
          </w:tcPr>
          <w:p>
            <w:pPr>
              <w:spacing w:after="20" w:line="252" w:lineRule="auto"/>
            </w:pPr>
            <w:r>
              <w:rPr>
                <w:b/>
                <w:sz w:val="18"/>
              </w:rPr>
              <w:t>Charts</w:t>
            </w:r>
          </w:p>
        </w:tc>
      </w:tr>
      <w:tr>
        <w:tc>
          <w:tcPr>
            <w:tcW w:type="dxa" w:w="1928"/>
          </w:tcPr>
          <w:p>
            <w:pPr>
              <w:spacing w:after="20" w:line="252" w:lineRule="auto"/>
            </w:pPr>
            <w:r>
              <w:rPr>
                <w:b/>
                <w:sz w:val="18"/>
              </w:rPr>
              <w:t>Shrinkflation</w:t>
            </w:r>
          </w:p>
        </w:tc>
        <w:tc>
          <w:tcPr>
            <w:tcW w:type="dxa" w:w="6350"/>
          </w:tcPr>
          <w:p>
            <w:pPr>
              <w:spacing w:after="20" w:line="252" w:lineRule="auto"/>
            </w:pPr>
            <w:r>
              <w:rPr>
                <w:b w:val="0"/>
                <w:sz w:val="18"/>
              </w:rPr>
              <w:t>A product shrinks while its price stays put, so the price per unit rises without the price tag moving. The UK statistics office (ONS) uses the term for groceries. Here the product is floor area.</w:t>
            </w:r>
          </w:p>
        </w:tc>
        <w:tc>
          <w:tcPr>
            <w:tcW w:type="dxa" w:w="1134"/>
          </w:tcPr>
          <w:p>
            <w:pPr>
              <w:spacing w:after="20" w:line="252" w:lineRule="auto"/>
            </w:pPr>
            <w:r>
              <w:rPr>
                <w:b w:val="0"/>
                <w:sz w:val="18"/>
              </w:rPr>
              <w:t>All</w:t>
            </w:r>
          </w:p>
        </w:tc>
      </w:tr>
      <w:tr>
        <w:tc>
          <w:tcPr>
            <w:tcW w:type="dxa" w:w="1928"/>
          </w:tcPr>
          <w:p>
            <w:pPr>
              <w:spacing w:after="20" w:line="252" w:lineRule="auto"/>
            </w:pPr>
            <w:r>
              <w:rPr>
                <w:b/>
                <w:sz w:val="18"/>
              </w:rPr>
              <w:t>PSF</w:t>
            </w:r>
          </w:p>
        </w:tc>
        <w:tc>
          <w:tcPr>
            <w:tcW w:type="dxa" w:w="6350"/>
          </w:tcPr>
          <w:p>
            <w:pPr>
              <w:spacing w:after="20" w:line="252" w:lineRule="auto"/>
            </w:pPr>
            <w:r>
              <w:rPr>
                <w:b w:val="0"/>
                <w:sz w:val="18"/>
              </w:rPr>
              <w:t>Price per square foot: price ÷ floor area.</w:t>
            </w:r>
          </w:p>
        </w:tc>
        <w:tc>
          <w:tcPr>
            <w:tcW w:type="dxa" w:w="1134"/>
          </w:tcPr>
          <w:p>
            <w:pPr>
              <w:spacing w:after="20" w:line="252" w:lineRule="auto"/>
            </w:pPr>
            <w:r>
              <w:rPr>
                <w:b w:val="0"/>
                <w:sz w:val="18"/>
              </w:rPr>
              <w:t>5, 6, 8, 9</w:t>
            </w:r>
          </w:p>
        </w:tc>
      </w:tr>
      <w:tr>
        <w:tc>
          <w:tcPr>
            <w:tcW w:type="dxa" w:w="1928"/>
          </w:tcPr>
          <w:p>
            <w:pPr>
              <w:spacing w:after="20" w:line="252" w:lineRule="auto"/>
            </w:pPr>
            <w:r>
              <w:rPr>
                <w:b/>
                <w:sz w:val="18"/>
              </w:rPr>
              <w:t>Price tag</w:t>
            </w:r>
          </w:p>
        </w:tc>
        <w:tc>
          <w:tcPr>
            <w:tcW w:type="dxa" w:w="6350"/>
          </w:tcPr>
          <w:p>
            <w:pPr>
              <w:spacing w:after="20" w:line="252" w:lineRule="auto"/>
            </w:pPr>
            <w:r>
              <w:rPr>
                <w:b w:val="0"/>
                <w:sz w:val="18"/>
              </w:rPr>
              <w:t>The total price of a home, floor area × PSF. It is what a buyer pays and borrows against.</w:t>
            </w:r>
          </w:p>
        </w:tc>
        <w:tc>
          <w:tcPr>
            <w:tcW w:type="dxa" w:w="1134"/>
          </w:tcPr>
          <w:p>
            <w:pPr>
              <w:spacing w:after="20" w:line="252" w:lineRule="auto"/>
            </w:pPr>
            <w:r>
              <w:rPr>
                <w:b w:val="0"/>
                <w:sz w:val="18"/>
              </w:rPr>
              <w:t>5, 8, 9</w:t>
            </w:r>
          </w:p>
        </w:tc>
      </w:tr>
      <w:tr>
        <w:tc>
          <w:tcPr>
            <w:tcW w:type="dxa" w:w="1928"/>
          </w:tcPr>
          <w:p>
            <w:pPr>
              <w:spacing w:after="20" w:line="252" w:lineRule="auto"/>
            </w:pPr>
            <w:r>
              <w:rPr>
                <w:b/>
                <w:sz w:val="18"/>
              </w:rPr>
              <w:t>New launch, resale, sub sale</w:t>
            </w:r>
          </w:p>
        </w:tc>
        <w:tc>
          <w:tcPr>
            <w:tcW w:type="dxa" w:w="6350"/>
          </w:tcPr>
          <w:p>
            <w:pPr>
              <w:spacing w:after="20" w:line="252" w:lineRule="auto"/>
            </w:pPr>
            <w:r>
              <w:rPr>
                <w:b w:val="0"/>
                <w:sz w:val="18"/>
              </w:rPr>
              <w:t>New launch: bought from the developer. Resale: second-hand. Sub sale: bought from someone who bought from the developer before the building was finished. Sub sales (4% of 2025) are left out of new-vs-resale comparisons.</w:t>
            </w:r>
          </w:p>
        </w:tc>
        <w:tc>
          <w:tcPr>
            <w:tcW w:type="dxa" w:w="1134"/>
          </w:tcPr>
          <w:p>
            <w:pPr>
              <w:spacing w:after="20" w:line="252" w:lineRule="auto"/>
            </w:pPr>
            <w:r>
              <w:rPr>
                <w:b w:val="0"/>
                <w:sz w:val="18"/>
              </w:rPr>
              <w:t>1, 6, 9</w:t>
            </w:r>
          </w:p>
        </w:tc>
      </w:tr>
      <w:tr>
        <w:tc>
          <w:tcPr>
            <w:tcW w:type="dxa" w:w="1928"/>
          </w:tcPr>
          <w:p>
            <w:pPr>
              <w:spacing w:after="20" w:line="252" w:lineRule="auto"/>
            </w:pPr>
            <w:r>
              <w:rPr>
                <w:b/>
                <w:sz w:val="18"/>
              </w:rPr>
              <w:t>Lease-start year</w:t>
            </w:r>
          </w:p>
        </w:tc>
        <w:tc>
          <w:tcPr>
            <w:tcW w:type="dxa" w:w="6350"/>
          </w:tcPr>
          <w:p>
            <w:pPr>
              <w:spacing w:after="20" w:line="252" w:lineRule="auto"/>
            </w:pPr>
            <w:r>
              <w:rPr>
                <w:b w:val="0"/>
                <w:sz w:val="18"/>
              </w:rPr>
              <w:t>The year a 99-year lease began. For a condo on government land it is roughly when the land was sold, which is when the developer planned the unit sizes. We use it as a home's vintage. Freehold homes have none, so the vintage charts use 99-year leaseholds only.</w:t>
            </w:r>
          </w:p>
        </w:tc>
        <w:tc>
          <w:tcPr>
            <w:tcW w:type="dxa" w:w="1134"/>
          </w:tcPr>
          <w:p>
            <w:pPr>
              <w:spacing w:after="20" w:line="252" w:lineRule="auto"/>
            </w:pPr>
            <w:r>
              <w:rPr>
                <w:b w:val="0"/>
                <w:sz w:val="18"/>
              </w:rPr>
              <w:t>2 to 5</w:t>
            </w:r>
          </w:p>
        </w:tc>
      </w:tr>
      <w:tr>
        <w:tc>
          <w:tcPr>
            <w:tcW w:type="dxa" w:w="1928"/>
          </w:tcPr>
          <w:p>
            <w:pPr>
              <w:spacing w:after="20" w:line="252" w:lineRule="auto"/>
            </w:pPr>
            <w:r>
              <w:rPr>
                <w:b/>
                <w:sz w:val="18"/>
              </w:rPr>
              <w:t>Shoebox</w:t>
            </w:r>
          </w:p>
        </w:tc>
        <w:tc>
          <w:tcPr>
            <w:tcW w:type="dxa" w:w="6350"/>
          </w:tcPr>
          <w:p>
            <w:pPr>
              <w:spacing w:after="20" w:line="252" w:lineRule="auto"/>
            </w:pPr>
            <w:r>
              <w:rPr>
                <w:b w:val="0"/>
                <w:sz w:val="18"/>
              </w:rPr>
              <w:t>A unit of 506 sq ft (47 m²) or less.</w:t>
            </w:r>
          </w:p>
        </w:tc>
        <w:tc>
          <w:tcPr>
            <w:tcW w:type="dxa" w:w="1134"/>
          </w:tcPr>
          <w:p>
            <w:pPr>
              <w:spacing w:after="20" w:line="252" w:lineRule="auto"/>
            </w:pPr>
            <w:r>
              <w:rPr>
                <w:b w:val="0"/>
                <w:sz w:val="18"/>
              </w:rPr>
              <w:t>3</w:t>
            </w:r>
          </w:p>
        </w:tc>
      </w:tr>
      <w:tr>
        <w:tc>
          <w:tcPr>
            <w:tcW w:type="dxa" w:w="1928"/>
          </w:tcPr>
          <w:p>
            <w:pPr>
              <w:spacing w:after="20" w:line="252" w:lineRule="auto"/>
            </w:pPr>
            <w:r>
              <w:rPr>
                <w:b/>
                <w:sz w:val="18"/>
              </w:rPr>
              <w:t>URA unit cap</w:t>
            </w:r>
          </w:p>
        </w:tc>
        <w:tc>
          <w:tcPr>
            <w:tcW w:type="dxa" w:w="6350"/>
          </w:tcPr>
          <w:p>
            <w:pPr>
              <w:spacing w:after="20" w:line="252" w:lineRule="auto"/>
            </w:pPr>
            <w:r>
              <w:rPr>
                <w:b w:val="0"/>
                <w:sz w:val="18"/>
              </w:rPr>
              <w:t>Since January 2012 a condo outside the Central Area may have at most total floor area ÷ 70 m² units. From 17 January 2019 the divisor is 85 m². More floor area per unit puts a floor under the average unit size.</w:t>
            </w:r>
          </w:p>
        </w:tc>
        <w:tc>
          <w:tcPr>
            <w:tcW w:type="dxa" w:w="1134"/>
          </w:tcPr>
          <w:p>
            <w:pPr>
              <w:spacing w:after="20" w:line="252" w:lineRule="auto"/>
            </w:pPr>
            <w:r>
              <w:rPr>
                <w:b w:val="0"/>
                <w:sz w:val="18"/>
              </w:rPr>
              <w:t>2, 3, 5, 9</w:t>
            </w:r>
          </w:p>
        </w:tc>
      </w:tr>
      <w:tr>
        <w:tc>
          <w:tcPr>
            <w:tcW w:type="dxa" w:w="1928"/>
          </w:tcPr>
          <w:p>
            <w:pPr>
              <w:spacing w:after="20" w:line="252" w:lineRule="auto"/>
            </w:pPr>
            <w:r>
              <w:rPr>
                <w:b/>
                <w:sz w:val="18"/>
              </w:rPr>
              <w:t>MAS loan limit (TDSR)</w:t>
            </w:r>
          </w:p>
        </w:tc>
        <w:tc>
          <w:tcPr>
            <w:tcW w:type="dxa" w:w="6350"/>
          </w:tcPr>
          <w:p>
            <w:pPr>
              <w:spacing w:after="20" w:line="252" w:lineRule="auto"/>
            </w:pPr>
            <w:r>
              <w:rPr>
                <w:b w:val="0"/>
                <w:sz w:val="18"/>
              </w:rPr>
              <w:t>Total debt servicing ratio: all loan repayments can take at most 55% of gross monthly income, worked out at 4% interest or the actual rate, whichever is higher. Banks lend at most 75% of the price on a loan of 30 years or less.</w:t>
            </w:r>
          </w:p>
        </w:tc>
        <w:tc>
          <w:tcPr>
            <w:tcW w:type="dxa" w:w="1134"/>
          </w:tcPr>
          <w:p>
            <w:pPr>
              <w:spacing w:after="20" w:line="252" w:lineRule="auto"/>
            </w:pPr>
            <w:r>
              <w:rPr>
                <w:b w:val="0"/>
                <w:sz w:val="18"/>
              </w:rPr>
              <w:t>8</w:t>
            </w:r>
          </w:p>
        </w:tc>
      </w:tr>
      <w:tr>
        <w:tc>
          <w:tcPr>
            <w:tcW w:type="dxa" w:w="1928"/>
          </w:tcPr>
          <w:p>
            <w:pPr>
              <w:spacing w:after="20" w:line="252" w:lineRule="auto"/>
            </w:pPr>
            <w:r>
              <w:rPr>
                <w:b/>
                <w:sz w:val="18"/>
              </w:rPr>
              <w:t>CCR, RCR, OCR</w:t>
            </w:r>
          </w:p>
        </w:tc>
        <w:tc>
          <w:tcPr>
            <w:tcW w:type="dxa" w:w="6350"/>
          </w:tcPr>
          <w:p>
            <w:pPr>
              <w:spacing w:after="20" w:line="252" w:lineRule="auto"/>
            </w:pPr>
            <w:r>
              <w:rPr>
                <w:b w:val="0"/>
                <w:sz w:val="18"/>
              </w:rPr>
              <w:t>URA's three regions: core central (prime), rest of central (city fringe) and outside central (suburbs).</w:t>
            </w:r>
          </w:p>
        </w:tc>
        <w:tc>
          <w:tcPr>
            <w:tcW w:type="dxa" w:w="1134"/>
          </w:tcPr>
          <w:p>
            <w:pPr>
              <w:spacing w:after="20" w:line="252" w:lineRule="auto"/>
            </w:pPr>
            <w:r>
              <w:rPr>
                <w:b w:val="0"/>
                <w:sz w:val="18"/>
              </w:rPr>
              <w:t>9</w:t>
            </w:r>
          </w:p>
        </w:tc>
      </w:tr>
      <w:tr>
        <w:tc>
          <w:tcPr>
            <w:tcW w:type="dxa" w:w="1928"/>
          </w:tcPr>
          <w:p>
            <w:pPr>
              <w:spacing w:after="20" w:line="252" w:lineRule="auto"/>
            </w:pPr>
            <w:r>
              <w:rPr>
                <w:b/>
                <w:sz w:val="18"/>
              </w:rPr>
              <w:t>Median</w:t>
            </w:r>
          </w:p>
        </w:tc>
        <w:tc>
          <w:tcPr>
            <w:tcW w:type="dxa" w:w="6350"/>
          </w:tcPr>
          <w:p>
            <w:pPr>
              <w:spacing w:after="20" w:line="252" w:lineRule="auto"/>
            </w:pPr>
            <w:r>
              <w:rPr>
                <w:b w:val="0"/>
                <w:sz w:val="18"/>
              </w:rPr>
              <w:t>The middle value. Used throughout because a few very large or very expensive homes would pull an average.</w:t>
            </w:r>
          </w:p>
        </w:tc>
        <w:tc>
          <w:tcPr>
            <w:tcW w:type="dxa" w:w="1134"/>
          </w:tcPr>
          <w:p>
            <w:pPr>
              <w:spacing w:after="20" w:line="252" w:lineRule="auto"/>
            </w:pPr>
            <w:r>
              <w:rPr>
                <w:b w:val="0"/>
                <w:sz w:val="18"/>
              </w:rPr>
              <w:t>All</w:t>
            </w:r>
          </w:p>
        </w:tc>
      </w:tr>
    </w:tbl>
    <w:p/>
    <w:p>
      <w:pPr>
        <w:pStyle w:val="Heading2"/>
      </w:pPr>
      <w:r>
        <w:t>Background in two minutes</w:t>
      </w:r>
    </w:p>
    <w:p>
      <w:pPr>
        <w:pStyle w:val="ListBullet"/>
      </w:pPr>
      <w:r>
        <w:rPr>
          <w:b w:val="0"/>
        </w:rPr>
        <w:t>Most Singaporeans live in public HDB flats. Our data covers only the private market: condominiums and apartments sold by developers and resold between owners.</w:t>
      </w:r>
    </w:p>
    <w:p>
      <w:pPr>
        <w:pStyle w:val="ListBullet"/>
      </w:pPr>
      <w:r>
        <w:rPr>
          <w:b w:val="0"/>
        </w:rPr>
        <w:t>Much of the land for private homes is sold by the government through land tenders (the Government Land Sales programme). A developer who wins a site gets a 99-year lease, plans the units, then launches them for sale, usually before the building is finished.</w:t>
      </w:r>
    </w:p>
    <w:p>
      <w:pPr>
        <w:pStyle w:val="ListBullet"/>
      </w:pPr>
      <w:r>
        <w:rPr>
          <w:b w:val="0"/>
        </w:rPr>
        <w:t>Two agencies set the rules that matter here. URA (Urban Redevelopment Authority) plans land use and publishes the transaction data and the price index. MAS (Monetary Authority of Singapore) sets the lending rules that cap how much a buyer can borrow.</w:t>
      </w:r>
    </w:p>
    <w:p>
      <w:pPr>
        <w:pStyle w:val="ListBullet"/>
      </w:pPr>
      <w:r>
        <w:rPr>
          <w:b w:val="0"/>
        </w:rPr>
        <w:t>Singapore quotes property prices per square foot (PSF), and floor areas in square feet. 1 m² is about 10.76 sq ft, so 85 m² is about 915 sq ft.</w:t>
      </w:r>
    </w:p>
    <w:p>
      <w:pPr>
        <w:pStyle w:val="Heading2"/>
      </w:pPr>
      <w:r>
        <w:t>The URA unit cap in detail</w:t>
      </w:r>
    </w:p>
    <w:p>
      <w:r>
        <w:rPr>
          <w:b w:val="0"/>
        </w:rPr>
        <w:t>A unit is one home in a building: one apartment or condo flat. A tower with 300 apartments has 300 units. The cap does not limit how small a single unit can be. It limits how many units a project may have:</w:t>
      </w:r>
    </w:p>
    <w:p>
      <w:r>
        <w:rPr>
          <w:b/>
        </w:rPr>
        <w:t>Maximum number of units = total floor area of the project ÷ 85 m²</w:t>
      </w:r>
      <w:r>
        <w:rPr>
          <w:b w:val="0"/>
        </w:rPr>
        <w:t xml:space="preserve"> (70 m² from 2012 to 2018)</w:t>
      </w:r>
    </w:p>
    <w:p>
      <w:pPr>
        <w:pStyle w:val="ListBullet"/>
      </w:pPr>
      <w:r>
        <w:rPr>
          <w:b/>
        </w:rPr>
        <w:t>Worked example:</w:t>
      </w:r>
      <w:r>
        <w:rPr>
          <w:b w:val="0"/>
        </w:rPr>
        <w:t xml:space="preserve"> a site allowed 17,000 m² of floor area may have at most 17,000 ÷ 85 = 200 units. Squeezing in 400 shoeboxes is no longer allowed, so the homes have to average about 85 m² of floor area each.</w:t>
      </w:r>
    </w:p>
    <w:p>
      <w:pPr>
        <w:pStyle w:val="ListBullet"/>
      </w:pPr>
      <w:r>
        <w:rPr>
          <w:b/>
        </w:rPr>
        <w:t>It is a floor on the average, not a fixed size.</w:t>
      </w:r>
      <w:r>
        <w:rPr>
          <w:b w:val="0"/>
        </w:rPr>
        <w:t xml:space="preserve"> A developer can still build some small units if other units are big, and can always choose fewer, bigger units.</w:t>
      </w:r>
    </w:p>
    <w:p>
      <w:pPr>
        <w:pStyle w:val="ListBullet"/>
      </w:pPr>
      <w:r>
        <w:rPr>
          <w:b/>
        </w:rPr>
        <w:t>Floor area here is gross floor area</w:t>
      </w:r>
      <w:r>
        <w:rPr>
          <w:b w:val="0"/>
        </w:rPr>
        <w:t>, which includes a share of space such as corridors. The flat a buyer gets is smaller than its share of gross floor area, which is why the post-2019 medians on the poster sit around 760 to 860 sq ft and not at 915.</w:t>
      </w:r>
    </w:p>
    <w:p>
      <w:pPr>
        <w:pStyle w:val="ListBullet"/>
      </w:pPr>
      <w:r>
        <w:rPr>
          <w:b/>
        </w:rPr>
        <w:t>Where it applies:</w:t>
      </w:r>
      <w:r>
        <w:rPr>
          <w:b w:val="0"/>
        </w:rPr>
        <w:t xml:space="preserve"> projects outside the Central Area. In nine neighbourhoods (Marine Parade, Joo Chiat-Mountbatten, Telok Kurau-Jalan Eunos, Balestier, Stevens-Chancery, Pasir Panjang, Kovan-How Sun, Shelford and Loyang) the divisor is 100 m² [8]. Since January 2023 the Central Area has its own rule: at least 20% of units in a project must be 70 m² or larger [7].</w:t>
      </w:r>
    </w:p>
    <w:p>
      <w:pPr>
        <w:pStyle w:val="ListBullet"/>
      </w:pPr>
      <w:r>
        <w:rPr>
          <w:b/>
        </w:rPr>
        <w:t>Timeline:</w:t>
      </w:r>
      <w:r>
        <w:rPr>
          <w:b w:val="0"/>
        </w:rPr>
        <w:t xml:space="preserve"> 70 m² from January 2012 (announced in 2011), raised to 85 m² from 17 January 2019 (announced 17 October 2018) [5]. Before 2012 there was no cap, which is when shoeboxes spread.</w:t>
      </w:r>
    </w:p>
    <w:p>
      <w:pPr>
        <w:pStyle w:val="ListBullet"/>
      </w:pPr>
      <w:r>
        <w:rPr>
          <w:b/>
        </w:rPr>
        <w:t>Why URA did it:</w:t>
      </w:r>
      <w:r>
        <w:rPr>
          <w:b w:val="0"/>
        </w:rPr>
        <w:t xml:space="preserve"> to curb the spread of shoebox units and to stop new projects from straining local roads, schools and transport with more households than an area was planned for [8].</w:t>
      </w:r>
    </w:p>
    <w:p>
      <w:pPr>
        <w:pStyle w:val="ListBullet"/>
      </w:pPr>
      <w:r>
        <w:rPr>
          <w:b/>
        </w:rPr>
        <w:t>How it shows on the poster:</w:t>
      </w:r>
      <w:r>
        <w:rPr>
          <w:b w:val="0"/>
        </w:rPr>
        <w:t xml:space="preserve"> the vertical lines in chart 2, shoeboxes falling from 13% to 9% in chart 3, homes on post-2019 land being 7% larger in chart 5, and floor area adding +7% to the price tag in chart 9.</w:t>
      </w:r>
    </w:p>
    <w:p>
      <w:pPr>
        <w:pStyle w:val="ListBullet"/>
      </w:pPr>
      <w:r>
        <w:rPr>
          <w:b/>
        </w:rPr>
        <w:t>What we cannot claim:</w:t>
      </w:r>
      <w:r>
        <w:rPr>
          <w:b w:val="0"/>
        </w:rPr>
        <w:t xml:space="preserve"> that the cap caused the shrink to stop. The timing fits, but no chart isolates the cap from everything else that happened in those years.</w:t>
      </w:r>
    </w:p>
    <w:p>
      <w:pPr>
        <w:pStyle w:val="Heading2"/>
      </w:pPr>
      <w:r>
        <w:t>Reading the statistics</w:t>
      </w:r>
    </w:p>
    <w:tbl>
      <w:tblPr>
        <w:tblStyle w:val="TableGrid"/>
        <w:tblW w:type="auto" w:w="0"/>
        <w:jc w:val="center"/>
        <w:tblLayout w:type="fixed"/>
        <w:tblLook w:firstColumn="1" w:firstRow="1" w:lastColumn="0" w:lastRow="0" w:noHBand="0" w:noVBand="1" w:val="04A0"/>
      </w:tblPr>
      <w:tblGrid>
        <w:gridCol w:w="2268"/>
        <w:gridCol w:w="6009"/>
        <w:gridCol w:w="1134"/>
      </w:tblGrid>
      <w:tr>
        <w:tc>
          <w:tcPr>
            <w:tcW w:type="dxa" w:w="2268"/>
            <w:shd w:val="clear" w:color="auto" w:fill="E3ECF8"/>
          </w:tcPr>
          <w:p>
            <w:pPr>
              <w:spacing w:after="20" w:line="252" w:lineRule="auto"/>
            </w:pPr>
            <w:r>
              <w:rPr>
                <w:b/>
                <w:sz w:val="18"/>
              </w:rPr>
              <w:t>Term</w:t>
            </w:r>
          </w:p>
        </w:tc>
        <w:tc>
          <w:tcPr>
            <w:tcW w:type="dxa" w:w="6009"/>
            <w:shd w:val="clear" w:color="auto" w:fill="E3ECF8"/>
          </w:tcPr>
          <w:p>
            <w:pPr>
              <w:spacing w:after="20" w:line="252" w:lineRule="auto"/>
            </w:pPr>
            <w:r>
              <w:rPr>
                <w:b/>
                <w:sz w:val="18"/>
              </w:rPr>
              <w:t>Plain meaning</w:t>
            </w:r>
          </w:p>
        </w:tc>
        <w:tc>
          <w:tcPr>
            <w:tcW w:type="dxa" w:w="1134"/>
            <w:shd w:val="clear" w:color="auto" w:fill="E3ECF8"/>
          </w:tcPr>
          <w:p>
            <w:pPr>
              <w:spacing w:after="20" w:line="252" w:lineRule="auto"/>
            </w:pPr>
            <w:r>
              <w:rPr>
                <w:b/>
                <w:sz w:val="18"/>
              </w:rPr>
              <w:t>Where</w:t>
            </w:r>
          </w:p>
        </w:tc>
      </w:tr>
      <w:tr>
        <w:tc>
          <w:tcPr>
            <w:tcW w:type="dxa" w:w="2268"/>
          </w:tcPr>
          <w:p>
            <w:pPr>
              <w:spacing w:after="20" w:line="252" w:lineRule="auto"/>
            </w:pPr>
            <w:r>
              <w:rPr>
                <w:b/>
                <w:sz w:val="18"/>
              </w:rPr>
              <w:t>Median</w:t>
            </w:r>
          </w:p>
        </w:tc>
        <w:tc>
          <w:tcPr>
            <w:tcW w:type="dxa" w:w="6009"/>
          </w:tcPr>
          <w:p>
            <w:pPr>
              <w:spacing w:after="20" w:line="252" w:lineRule="auto"/>
            </w:pPr>
            <w:r>
              <w:rPr>
                <w:b w:val="0"/>
                <w:sz w:val="18"/>
              </w:rPr>
              <w:t>The middle value when everything is sorted. Half the homes are smaller, half bigger. Used because a few huge homes would drag an average up.</w:t>
            </w:r>
          </w:p>
        </w:tc>
        <w:tc>
          <w:tcPr>
            <w:tcW w:type="dxa" w:w="1134"/>
          </w:tcPr>
          <w:p>
            <w:pPr>
              <w:spacing w:after="20" w:line="252" w:lineRule="auto"/>
            </w:pPr>
            <w:r>
              <w:rPr>
                <w:b w:val="0"/>
                <w:sz w:val="18"/>
              </w:rPr>
              <w:t>All</w:t>
            </w:r>
          </w:p>
        </w:tc>
      </w:tr>
      <w:tr>
        <w:tc>
          <w:tcPr>
            <w:tcW w:type="dxa" w:w="2268"/>
          </w:tcPr>
          <w:p>
            <w:pPr>
              <w:spacing w:after="20" w:line="252" w:lineRule="auto"/>
            </w:pPr>
            <w:r>
              <w:rPr>
                <w:b/>
                <w:sz w:val="18"/>
              </w:rPr>
              <w:t>Middle 50% (interquartile range)</w:t>
            </w:r>
          </w:p>
        </w:tc>
        <w:tc>
          <w:tcPr>
            <w:tcW w:type="dxa" w:w="6009"/>
          </w:tcPr>
          <w:p>
            <w:pPr>
              <w:spacing w:after="20" w:line="252" w:lineRule="auto"/>
            </w:pPr>
            <w:r>
              <w:rPr>
                <w:b w:val="0"/>
                <w:sz w:val="18"/>
              </w:rPr>
              <w:t>The range from the 25th to the 75th percentile: where the middle half of homes sit.</w:t>
            </w:r>
          </w:p>
        </w:tc>
        <w:tc>
          <w:tcPr>
            <w:tcW w:type="dxa" w:w="1134"/>
          </w:tcPr>
          <w:p>
            <w:pPr>
              <w:spacing w:after="20" w:line="252" w:lineRule="auto"/>
            </w:pPr>
            <w:r>
              <w:rPr>
                <w:b w:val="0"/>
                <w:sz w:val="18"/>
              </w:rPr>
              <w:t>2, 6</w:t>
            </w:r>
          </w:p>
        </w:tc>
      </w:tr>
      <w:tr>
        <w:tc>
          <w:tcPr>
            <w:tcW w:type="dxa" w:w="2268"/>
          </w:tcPr>
          <w:p>
            <w:pPr>
              <w:spacing w:after="20" w:line="252" w:lineRule="auto"/>
            </w:pPr>
            <w:r>
              <w:rPr>
                <w:b/>
                <w:sz w:val="18"/>
              </w:rPr>
              <w:t>Log scale</w:t>
            </w:r>
          </w:p>
        </w:tc>
        <w:tc>
          <w:tcPr>
            <w:tcW w:type="dxa" w:w="6009"/>
          </w:tcPr>
          <w:p>
            <w:pPr>
              <w:spacing w:after="20" w:line="252" w:lineRule="auto"/>
            </w:pPr>
            <w:r>
              <w:rPr>
                <w:b w:val="0"/>
                <w:sz w:val="18"/>
              </w:rPr>
              <w:t>Each step on the axis multiplies the value instead of adding to it. On log axes, price = floor area × PSF becomes a straight line, which is why the constant-price curves in chart 5 are straight.</w:t>
            </w:r>
          </w:p>
        </w:tc>
        <w:tc>
          <w:tcPr>
            <w:tcW w:type="dxa" w:w="1134"/>
          </w:tcPr>
          <w:p>
            <w:pPr>
              <w:spacing w:after="20" w:line="252" w:lineRule="auto"/>
            </w:pPr>
            <w:r>
              <w:rPr>
                <w:b w:val="0"/>
                <w:sz w:val="18"/>
              </w:rPr>
              <w:t>5</w:t>
            </w:r>
          </w:p>
        </w:tc>
      </w:tr>
      <w:tr>
        <w:tc>
          <w:tcPr>
            <w:tcW w:type="dxa" w:w="2268"/>
          </w:tcPr>
          <w:p>
            <w:pPr>
              <w:spacing w:after="20" w:line="252" w:lineRule="auto"/>
            </w:pPr>
            <w:r>
              <w:rPr>
                <w:b/>
                <w:sz w:val="18"/>
              </w:rPr>
              <w:t>Regression with controls</w:t>
            </w:r>
          </w:p>
        </w:tc>
        <w:tc>
          <w:tcPr>
            <w:tcW w:type="dxa" w:w="6009"/>
          </w:tcPr>
          <w:p>
            <w:pPr>
              <w:spacing w:after="20" w:line="252" w:lineRule="auto"/>
            </w:pPr>
            <w:r>
              <w:rPr>
                <w:b w:val="0"/>
                <w:sz w:val="18"/>
              </w:rPr>
              <w:t>A model that compares eras while holding other things fixed, here district, property type and year of sale. It answers: among otherwise similar homes, how much smaller is each era?</w:t>
            </w:r>
          </w:p>
        </w:tc>
        <w:tc>
          <w:tcPr>
            <w:tcW w:type="dxa" w:w="1134"/>
          </w:tcPr>
          <w:p>
            <w:pPr>
              <w:spacing w:after="20" w:line="252" w:lineRule="auto"/>
            </w:pPr>
            <w:r>
              <w:rPr>
                <w:b w:val="0"/>
                <w:sz w:val="18"/>
              </w:rPr>
              <w:t>4</w:t>
            </w:r>
          </w:p>
        </w:tc>
      </w:tr>
      <w:tr>
        <w:tc>
          <w:tcPr>
            <w:tcW w:type="dxa" w:w="2268"/>
          </w:tcPr>
          <w:p>
            <w:pPr>
              <w:spacing w:after="20" w:line="252" w:lineRule="auto"/>
            </w:pPr>
            <w:r>
              <w:rPr>
                <w:b/>
                <w:sz w:val="18"/>
              </w:rPr>
              <w:t>95% confidence interval</w:t>
            </w:r>
          </w:p>
        </w:tc>
        <w:tc>
          <w:tcPr>
            <w:tcW w:type="dxa" w:w="6009"/>
          </w:tcPr>
          <w:p>
            <w:pPr>
              <w:spacing w:after="20" w:line="252" w:lineRule="auto"/>
            </w:pPr>
            <w:r>
              <w:rPr>
                <w:b w:val="0"/>
                <w:sz w:val="18"/>
              </w:rPr>
              <w:t>The range the true value very likely sits in, given the data. If the interval does not cross zero, the gap is not a fluke of which homes happened to sell.</w:t>
            </w:r>
          </w:p>
        </w:tc>
        <w:tc>
          <w:tcPr>
            <w:tcW w:type="dxa" w:w="1134"/>
          </w:tcPr>
          <w:p>
            <w:pPr>
              <w:spacing w:after="20" w:line="252" w:lineRule="auto"/>
            </w:pPr>
            <w:r>
              <w:rPr>
                <w:b w:val="0"/>
                <w:sz w:val="18"/>
              </w:rPr>
              <w:t>4</w:t>
            </w:r>
          </w:p>
        </w:tc>
      </w:tr>
      <w:tr>
        <w:tc>
          <w:tcPr>
            <w:tcW w:type="dxa" w:w="2268"/>
          </w:tcPr>
          <w:p>
            <w:pPr>
              <w:spacing w:after="20" w:line="252" w:lineRule="auto"/>
            </w:pPr>
            <w:r>
              <w:rPr>
                <w:b/>
                <w:sz w:val="18"/>
              </w:rPr>
              <w:t>Clustered standard errors</w:t>
            </w:r>
          </w:p>
        </w:tc>
        <w:tc>
          <w:tcPr>
            <w:tcW w:type="dxa" w:w="6009"/>
          </w:tcPr>
          <w:p>
            <w:pPr>
              <w:spacing w:after="20" w:line="252" w:lineRule="auto"/>
            </w:pPr>
            <w:r>
              <w:rPr>
                <w:b w:val="0"/>
                <w:sz w:val="18"/>
              </w:rPr>
              <w:t>Units in one project are designed together, so 1,000 sales in one project are not 1,000 independent observations. Clustering by project makes the intervals honest about that.</w:t>
            </w:r>
          </w:p>
        </w:tc>
        <w:tc>
          <w:tcPr>
            <w:tcW w:type="dxa" w:w="1134"/>
          </w:tcPr>
          <w:p>
            <w:pPr>
              <w:spacing w:after="20" w:line="252" w:lineRule="auto"/>
            </w:pPr>
            <w:r>
              <w:rPr>
                <w:b w:val="0"/>
                <w:sz w:val="18"/>
              </w:rPr>
              <w:t>4</w:t>
            </w:r>
          </w:p>
        </w:tc>
      </w:tr>
      <w:tr>
        <w:tc>
          <w:tcPr>
            <w:tcW w:type="dxa" w:w="2268"/>
          </w:tcPr>
          <w:p>
            <w:pPr>
              <w:spacing w:after="20" w:line="252" w:lineRule="auto"/>
            </w:pPr>
            <w:r>
              <w:rPr>
                <w:b/>
                <w:sz w:val="18"/>
              </w:rPr>
              <w:t>Geometric mean</w:t>
            </w:r>
          </w:p>
        </w:tc>
        <w:tc>
          <w:tcPr>
            <w:tcW w:type="dxa" w:w="6009"/>
          </w:tcPr>
          <w:p>
            <w:pPr>
              <w:spacing w:after="20" w:line="252" w:lineRule="auto"/>
            </w:pPr>
            <w:r>
              <w:rPr>
                <w:b w:val="0"/>
                <w:sz w:val="18"/>
              </w:rPr>
              <w:t>The average of the logs, turned back into a number. It lets a price change split exactly into a PSF part and a floor-area part.</w:t>
            </w:r>
          </w:p>
        </w:tc>
        <w:tc>
          <w:tcPr>
            <w:tcW w:type="dxa" w:w="1134"/>
          </w:tcPr>
          <w:p>
            <w:pPr>
              <w:spacing w:after="20" w:line="252" w:lineRule="auto"/>
            </w:pPr>
            <w:r>
              <w:rPr>
                <w:b w:val="0"/>
                <w:sz w:val="18"/>
              </w:rPr>
              <w:t>9</w:t>
            </w:r>
          </w:p>
        </w:tc>
      </w:tr>
      <w:tr>
        <w:tc>
          <w:tcPr>
            <w:tcW w:type="dxa" w:w="2268"/>
          </w:tcPr>
          <w:p>
            <w:pPr>
              <w:spacing w:after="20" w:line="252" w:lineRule="auto"/>
            </w:pPr>
            <w:r>
              <w:rPr>
                <w:b/>
                <w:sz w:val="18"/>
              </w:rPr>
              <w:t>Index (2009 = 100)</w:t>
            </w:r>
          </w:p>
        </w:tc>
        <w:tc>
          <w:tcPr>
            <w:tcW w:type="dxa" w:w="6009"/>
          </w:tcPr>
          <w:p>
            <w:pPr>
              <w:spacing w:after="20" w:line="252" w:lineRule="auto"/>
            </w:pPr>
            <w:r>
              <w:rPr>
                <w:b w:val="0"/>
                <w:sz w:val="18"/>
              </w:rPr>
              <w:t>A series rescaled so one year equals 100. A value of 200 means double the base year.</w:t>
            </w:r>
          </w:p>
        </w:tc>
        <w:tc>
          <w:tcPr>
            <w:tcW w:type="dxa" w:w="1134"/>
          </w:tcPr>
          <w:p>
            <w:pPr>
              <w:spacing w:after="20" w:line="252" w:lineRule="auto"/>
            </w:pPr>
            <w:r>
              <w:rPr>
                <w:b w:val="0"/>
                <w:sz w:val="18"/>
              </w:rPr>
              <w:t>7</w:t>
            </w:r>
          </w:p>
        </w:tc>
      </w:tr>
    </w:tbl>
    <w:p/>
    <w:p>
      <w:pPr>
        <w:pStyle w:val="Heading2"/>
      </w:pPr>
      <w:r>
        <w:t>Data and cleaning</w:t>
      </w:r>
    </w:p>
    <w:p>
      <w:pPr>
        <w:pStyle w:val="ListBullet"/>
      </w:pPr>
      <w:r>
        <w:rPr>
          <w:b/>
        </w:rPr>
        <w:t>properties2025.csv</w:t>
      </w:r>
      <w:r>
        <w:rPr>
          <w:b w:val="0"/>
        </w:rPr>
        <w:t xml:space="preserve"> (course dataset): 24,151 private home transactions in 2025, 12 columns.</w:t>
      </w:r>
    </w:p>
    <w:p>
      <w:pPr>
        <w:pStyle w:val="ListBullet"/>
      </w:pPr>
      <w:r>
        <w:rPr>
          <w:b/>
        </w:rPr>
        <w:t>properties23.csv</w:t>
      </w:r>
      <w:r>
        <w:rPr>
          <w:b w:val="0"/>
        </w:rPr>
        <w:t xml:space="preserve"> (Lecture 6): 74,571 transactions from Aug 2020 to Dec 2023 with the same columns. Aug to Oct 2021 is missing in the file, and neither file covers 2024.</w:t>
      </w:r>
    </w:p>
    <w:p>
      <w:pPr>
        <w:pStyle w:val="ListBullet"/>
      </w:pPr>
      <w:r>
        <w:rPr>
          <w:b/>
        </w:rPr>
        <w:t>Cleaning:</w:t>
      </w:r>
      <w:r>
        <w:rPr>
          <w:b w:val="0"/>
        </w:rPr>
        <w:t xml:space="preserve"> the 2025 file spells freehold as "freenhold" in 4,600 rows, which is fixed. 155 rows with floor area under 200 or over 5,000 sq ft are dropped (20 from 2025, 135 from 2020 to 2023). They are en-bloc sales of whole buildings and penthouses. 98,567 rows remain.</w:t>
      </w:r>
    </w:p>
    <w:p>
      <w:pPr>
        <w:pStyle w:val="ListBullet"/>
      </w:pPr>
      <w:r>
        <w:rPr>
          <w:b/>
        </w:rPr>
        <w:t>Vintage charts (2 to 5)</w:t>
      </w:r>
      <w:r>
        <w:rPr>
          <w:b w:val="0"/>
        </w:rPr>
        <w:t xml:space="preserve"> use the 66,237 sales of 99-year leaseholds with a lease-start year from 1990 onwards.</w:t>
      </w:r>
    </w:p>
    <w:p>
      <w:pPr>
        <w:pStyle w:val="ListBullet"/>
      </w:pPr>
      <w:r>
        <w:rPr>
          <w:b/>
        </w:rPr>
        <w:t>Outside data:</w:t>
      </w:r>
      <w:r>
        <w:rPr>
          <w:b w:val="0"/>
        </w:rPr>
        <w:t xml:space="preserve"> URA's private residential price index (quarterly, 1Q2009 = 100) and SingStat's yearly change in median household employment income, both from data.gov.sg; the 2025 median household income of S$12,446 from SingStat's Key Household Income Trends 2025; MAS loan rules; URA circular DC18-06.</w:t>
      </w:r>
    </w:p>
    <w:p>
      <w:pPr>
        <w:pStyle w:val="ListBullet"/>
      </w:pPr>
      <w:r>
        <w:rPr>
          <w:b/>
        </w:rPr>
        <w:t>Tools:</w:t>
      </w:r>
      <w:r>
        <w:rPr>
          <w:b w:val="0"/>
        </w:rPr>
        <w:t xml:space="preserve"> Python with Polars for the data, matplotlib for the charts and statsmodels for the regression. Everything is in shrinkflation.ipynb and runs top to bottom.</w:t>
      </w:r>
    </w:p>
    <w:p>
      <w:pPr>
        <w:pStyle w:val="Heading2"/>
      </w:pPr>
      <w:r>
        <w:t>Files and how to rerun</w:t>
      </w:r>
    </w:p>
    <w:p>
      <w:pPr>
        <w:pStyle w:val="ListBullet"/>
      </w:pPr>
      <w:r>
        <w:rPr>
          <w:b/>
        </w:rPr>
        <w:t>shrinkflation.ipynb:</w:t>
      </w:r>
      <w:r>
        <w:rPr>
          <w:b w:val="0"/>
        </w:rPr>
        <w:t xml:space="preserve"> the notebook we hand in. It loads and cleans the data, draws all nine charts, prints every number on the poster and ends with the conclusion and references. It runs top to bottom in Colab or Jupyter if the data folder sits next to it, and needs polars, numpy, matplotlib and statsmodels (Colab has all four).</w:t>
      </w:r>
    </w:p>
    <w:p>
      <w:pPr>
        <w:pStyle w:val="ListBullet"/>
      </w:pPr>
      <w:r>
        <w:rPr>
          <w:b/>
        </w:rPr>
        <w:t>data/</w:t>
      </w:r>
      <w:r>
        <w:rPr>
          <w:b w:val="0"/>
        </w:rPr>
        <w:t xml:space="preserve"> holds the four CSVs, </w:t>
      </w:r>
      <w:r>
        <w:rPr>
          <w:b/>
        </w:rPr>
        <w:t>figs/</w:t>
      </w:r>
      <w:r>
        <w:rPr>
          <w:b w:val="0"/>
        </w:rPr>
        <w:t xml:space="preserve"> the nine charts as the notebook draws them and </w:t>
      </w:r>
      <w:r>
        <w:rPr>
          <w:b/>
        </w:rPr>
        <w:t>figs_poster/</w:t>
      </w:r>
      <w:r>
        <w:rPr>
          <w:b w:val="0"/>
        </w:rPr>
        <w:t xml:space="preserve"> the same charts drawn shorter for the poster. Edit poster text in </w:t>
      </w:r>
      <w:r>
        <w:rPr>
          <w:b/>
        </w:rPr>
        <w:t>shrinkflation_poster.pptx</w:t>
      </w:r>
      <w:r>
        <w:rPr>
          <w:b w:val="0"/>
        </w:rPr>
        <w:t>; the charts are images, so change them in the notebook and re-insert.</w:t>
      </w:r>
    </w:p>
    <w:p>
      <w:pPr>
        <w:pStyle w:val="Heading2"/>
        <w:pageBreakBefore/>
      </w:pPr>
      <w:r>
        <w:t>Chart by chart in depth</w:t>
      </w:r>
    </w:p>
    <w:p>
      <w:r>
        <w:rPr>
          <w:b w:val="0"/>
        </w:rPr>
        <w:t>Each chart below has the takeaway from the poster, what it shows, how to read it, why we picked that chart type, what to watch out for, and answers to questions you might get.</w:t>
      </w:r>
    </w:p>
    <w:p>
      <w:pPr>
        <w:pStyle w:val="Heading3"/>
        <w:pageBreakBefore w:val="0"/>
      </w:pPr>
      <w:r>
        <w:t>Chart 1: back-to-back histogram</w:t>
      </w:r>
    </w:p>
    <w:p>
      <w:pPr>
        <w:keepNext/>
      </w:pPr>
      <w:r>
        <w:rPr>
          <w:b/>
          <w:color w:val="C44E1E"/>
          <w:sz w:val="22"/>
        </w:rPr>
        <w:t>New launches are 21% smaller than resale homes</w:t>
      </w:r>
    </w:p>
    <w:p>
      <w:pPr>
        <w:jc w:val="center"/>
      </w:pPr>
      <w:r>
        <w:drawing>
          <wp:inline xmlns:a="http://schemas.openxmlformats.org/drawingml/2006/main" xmlns:pic="http://schemas.openxmlformats.org/drawingml/2006/picture">
            <wp:extent cx="2844000" cy="2651186"/>
            <wp:docPr id="10" name="Picture 10"/>
            <wp:cNvGraphicFramePr>
              <a:graphicFrameLocks noChangeAspect="1"/>
            </wp:cNvGraphicFramePr>
            <a:graphic>
              <a:graphicData uri="http://schemas.openxmlformats.org/drawingml/2006/picture">
                <pic:pic>
                  <pic:nvPicPr>
                    <pic:cNvPr id="0" name="01_histogram.png"/>
                    <pic:cNvPicPr/>
                  </pic:nvPicPr>
                  <pic:blipFill>
                    <a:blip r:embed="rId10"/>
                    <a:stretch>
                      <a:fillRect/>
                    </a:stretch>
                  </pic:blipFill>
                  <pic:spPr>
                    <a:xfrm>
                      <a:off x="0" y="0"/>
                      <a:ext cx="2844000" cy="2651186"/>
                    </a:xfrm>
                    <a:prstGeom prst="rect"/>
                  </pic:spPr>
                </pic:pic>
              </a:graphicData>
            </a:graphic>
          </wp:inline>
        </w:drawing>
      </w:r>
    </w:p>
    <w:p>
      <w:pPr>
        <w:pStyle w:val="Heading4"/>
      </w:pPr>
      <w:r>
        <w:t>What it shows</w:t>
      </w:r>
    </w:p>
    <w:p>
      <w:r>
        <w:rPr>
          <w:b w:val="0"/>
        </w:rPr>
        <w:t>The size of every home sold in 2025, split into new launches (10,643 sales) and resale homes (12,549). The median new unit has 797 sq ft, the median resale home 1,012 sq ft. Homes of 1,200 sq ft or more make up 34% of resale sales but only 18% of new launches. New launches also cost far more per sq ft: S$2,572 against S$1,747.</w:t>
      </w:r>
    </w:p>
    <w:p>
      <w:pPr>
        <w:pStyle w:val="Heading4"/>
      </w:pPr>
      <w:r>
        <w:t>How to read it</w:t>
      </w:r>
    </w:p>
    <w:p>
      <w:pPr>
        <w:pStyle w:val="ListBullet"/>
      </w:pPr>
      <w:r>
        <w:rPr>
          <w:b w:val="0"/>
        </w:rPr>
        <w:t>Each bar is a 50 sq ft band. Orange bars above the axis are new launches, blue bars below are resale.</w:t>
      </w:r>
    </w:p>
    <w:p>
      <w:pPr>
        <w:pStyle w:val="ListBullet"/>
      </w:pPr>
      <w:r>
        <w:rPr>
          <w:b w:val="0"/>
        </w:rPr>
        <w:t>Bar height is that band's share of its own group, so both groups add up to 100% and can be compared even though their sales counts differ.</w:t>
      </w:r>
    </w:p>
    <w:p>
      <w:pPr>
        <w:pStyle w:val="ListBullet"/>
      </w:pPr>
      <w:r>
        <w:rPr>
          <w:b w:val="0"/>
        </w:rPr>
        <w:t>The black lines mark the two medians. The grey area is 1,200 sq ft and up.</w:t>
      </w:r>
    </w:p>
    <w:p>
      <w:pPr>
        <w:pStyle w:val="Heading4"/>
      </w:pPr>
      <w:r>
        <w:t>Why this chart</w:t>
      </w:r>
    </w:p>
    <w:p>
      <w:r>
        <w:rPr>
          <w:b w:val="0"/>
        </w:rPr>
        <w:t>A histogram shows the whole shape of the sizes, not just an average. Putting the two groups back to back stops the bars from overlapping, which turns two histograms on one axis into a muddy block. It also shows where the gap sits: new launches pile up between 500 and 900 sq ft, and the long right tail is almost all blue.</w:t>
      </w:r>
    </w:p>
    <w:p>
      <w:pPr>
        <w:pStyle w:val="Heading4"/>
      </w:pPr>
      <w:r>
        <w:t>Watch out for</w:t>
      </w:r>
    </w:p>
    <w:p>
      <w:r>
        <w:rPr>
          <w:b w:val="0"/>
        </w:rPr>
        <w:t>This compares what sold in 2025, not like-for-like homes. Resale homes are older and some are in different places. That is why charts 2 to 4 compare homes by the year their land was sold and check for district.</w:t>
      </w:r>
    </w:p>
    <w:p>
      <w:pPr>
        <w:pStyle w:val="Heading4"/>
      </w:pPr>
      <w:r>
        <w:t>If someone asks</w:t>
      </w:r>
    </w:p>
    <w:p>
      <w:pPr>
        <w:pStyle w:val="ListBullet"/>
      </w:pPr>
      <w:r>
        <w:rPr>
          <w:b w:val="0"/>
        </w:rPr>
        <w:t>Why medians? Floor area and price are skewed by a few very large homes. The median is the typical home.</w:t>
      </w:r>
    </w:p>
    <w:p>
      <w:pPr>
        <w:pStyle w:val="ListBullet"/>
      </w:pPr>
      <w:r>
        <w:rPr>
          <w:b w:val="0"/>
        </w:rPr>
        <w:t>Where are sub sales? They are new homes resold before completion, so they belong to neither group (939 sales, 4%).</w:t>
      </w:r>
    </w:p>
    <w:p>
      <w:pPr>
        <w:keepNext/>
        <w:pageBreakBefore/>
      </w:pPr>
      <w:r>
        <w:rPr>
          <w:b w:val="0"/>
          <w:color w:val="52514E"/>
        </w:rPr>
        <w:t>Lead into chart 2: "So new homes are smaller today. Chart 2 shows when that happened."</w:t>
      </w:r>
    </w:p>
    <w:p>
      <w:pPr>
        <w:pStyle w:val="Heading3"/>
        <w:pageBreakBefore w:val="0"/>
      </w:pPr>
      <w:r>
        <w:t>Chart 2: line with interquartile band</w:t>
      </w:r>
    </w:p>
    <w:p>
      <w:pPr>
        <w:keepNext/>
      </w:pPr>
      <w:r>
        <w:rPr>
          <w:b/>
          <w:color w:val="C44E1E"/>
          <w:sz w:val="22"/>
        </w:rPr>
        <w:t>Homes shrank 43% for land sold after 2008</w:t>
      </w:r>
    </w:p>
    <w:p>
      <w:pPr>
        <w:jc w:val="center"/>
      </w:pPr>
      <w:r>
        <w:drawing>
          <wp:inline xmlns:a="http://schemas.openxmlformats.org/drawingml/2006/main" xmlns:pic="http://schemas.openxmlformats.org/drawingml/2006/picture">
            <wp:extent cx="2844000" cy="2651186"/>
            <wp:docPr id="11" name="Picture 11"/>
            <wp:cNvGraphicFramePr>
              <a:graphicFrameLocks noChangeAspect="1"/>
            </wp:cNvGraphicFramePr>
            <a:graphic>
              <a:graphicData uri="http://schemas.openxmlformats.org/drawingml/2006/picture">
                <pic:pic>
                  <pic:nvPicPr>
                    <pic:cNvPr id="0" name="02_line_vintage.png"/>
                    <pic:cNvPicPr/>
                  </pic:nvPicPr>
                  <pic:blipFill>
                    <a:blip r:embed="rId11"/>
                    <a:stretch>
                      <a:fillRect/>
                    </a:stretch>
                  </pic:blipFill>
                  <pic:spPr>
                    <a:xfrm>
                      <a:off x="0" y="0"/>
                      <a:ext cx="2844000" cy="2651186"/>
                    </a:xfrm>
                    <a:prstGeom prst="rect"/>
                  </pic:spPr>
                </pic:pic>
              </a:graphicData>
            </a:graphic>
          </wp:inline>
        </w:drawing>
      </w:r>
    </w:p>
    <w:p>
      <w:pPr>
        <w:pStyle w:val="Heading4"/>
      </w:pPr>
      <w:r>
        <w:t>What it shows</w:t>
      </w:r>
    </w:p>
    <w:p>
      <w:r>
        <w:rPr>
          <w:b w:val="0"/>
        </w:rPr>
        <w:t>The floor area of every 2020 to 2025 sale of a 99-year leasehold, by the year its lease started. Homes on land sold up to 2008 sat around 1,200 sq ft (median 1,238 for 2005 to 2008). For land sold in 2013 to 2015 the median is 710 sq ft, 43% smaller. Since then it has stayed between about 680 and 860 sq ft.</w:t>
      </w:r>
    </w:p>
    <w:p>
      <w:pPr>
        <w:pStyle w:val="Heading4"/>
      </w:pPr>
      <w:r>
        <w:t>How to read it</w:t>
      </w:r>
    </w:p>
    <w:p>
      <w:pPr>
        <w:pStyle w:val="ListBullet"/>
      </w:pPr>
      <w:r>
        <w:rPr>
          <w:b w:val="0"/>
        </w:rPr>
        <w:t>The x-axis is the lease-start year, close to when the land was sold.</w:t>
      </w:r>
    </w:p>
    <w:p>
      <w:pPr>
        <w:pStyle w:val="ListBullet"/>
      </w:pPr>
      <w:r>
        <w:rPr>
          <w:b w:val="0"/>
        </w:rPr>
        <w:t>The blue line is the median floor area. The light band covers the middle 50% of units (25th to 75th percentile).</w:t>
      </w:r>
    </w:p>
    <w:p>
      <w:pPr>
        <w:pStyle w:val="ListBullet"/>
      </w:pPr>
      <w:r>
        <w:rPr>
          <w:b w:val="0"/>
        </w:rPr>
        <w:t>The two vertical lines mark URA's unit cap in 2012 (floor area ÷ 70 m²) and its tightening in 2019 (÷ 85 m²).</w:t>
      </w:r>
    </w:p>
    <w:p>
      <w:pPr>
        <w:pStyle w:val="ListBullet"/>
      </w:pPr>
      <w:r>
        <w:rPr>
          <w:b w:val="0"/>
        </w:rPr>
        <w:t>Years with fewer than 100 sales are left out.</w:t>
      </w:r>
    </w:p>
    <w:p>
      <w:pPr>
        <w:pStyle w:val="Heading4"/>
      </w:pPr>
      <w:r>
        <w:t>Why this chart</w:t>
      </w:r>
    </w:p>
    <w:p>
      <w:r>
        <w:rPr>
          <w:b w:val="0"/>
        </w:rPr>
        <w:t>A line is the natural form for change over time. The band adds the spread, which shows the whole range of sizes moved down and not only the middle. The key choice is lease-start year instead of sale year: a resale home sold in 2025 was designed when its land was sold, so lease-start year dates the design decision.</w:t>
      </w:r>
    </w:p>
    <w:p>
      <w:pPr>
        <w:pStyle w:val="Heading4"/>
      </w:pPr>
      <w:r>
        <w:t>Watch out for</w:t>
      </w:r>
    </w:p>
    <w:p>
      <w:r>
        <w:rPr>
          <w:b w:val="0"/>
        </w:rPr>
        <w:t>The dip at 2002 is one year with few projects. Recent lease-start years have few sales so far (2025 has 781 sales from 3 projects), so the last point is noisy. The chart only includes homes that changed hands in 2020 to 2025.</w:t>
      </w:r>
    </w:p>
    <w:p>
      <w:pPr>
        <w:pStyle w:val="Heading4"/>
      </w:pPr>
      <w:r>
        <w:t>If someone asks</w:t>
      </w:r>
    </w:p>
    <w:p>
      <w:pPr>
        <w:pStyle w:val="ListBullet"/>
      </w:pPr>
      <w:r>
        <w:rPr>
          <w:b w:val="0"/>
        </w:rPr>
        <w:t>Why is lease-start year the year the land was sold? A condo on government land gets a 99-year lease that starts around when the land is awarded. The developer designs and launches within the next few years.</w:t>
      </w:r>
    </w:p>
    <w:p>
      <w:pPr>
        <w:pStyle w:val="ListBullet"/>
      </w:pPr>
      <w:r>
        <w:rPr>
          <w:b w:val="0"/>
        </w:rPr>
        <w:t>Did the cap stop the shrink? The timing fits, and URA brought in the cap to curb shoeboxes, but this chart on its own cannot prove cause and effect.</w:t>
      </w:r>
    </w:p>
    <w:p>
      <w:pPr>
        <w:keepNext/>
        <w:pageBreakBefore/>
      </w:pPr>
      <w:r>
        <w:rPr>
          <w:b w:val="0"/>
          <w:color w:val="52514E"/>
        </w:rPr>
        <w:t>Lead into chart 3: "Which sizes disappeared?"</w:t>
      </w:r>
    </w:p>
    <w:p>
      <w:pPr>
        <w:pStyle w:val="Heading3"/>
        <w:pageBreakBefore w:val="0"/>
      </w:pPr>
      <w:r>
        <w:t>Chart 3: 100% stacked bar</w:t>
      </w:r>
    </w:p>
    <w:p>
      <w:pPr>
        <w:keepNext/>
      </w:pPr>
      <w:r>
        <w:rPr>
          <w:b/>
          <w:color w:val="C44E1E"/>
          <w:sz w:val="22"/>
        </w:rPr>
        <w:t>Shoeboxes rose from 1% to 13%, big homes fell from 34% to 8%</w:t>
      </w:r>
    </w:p>
    <w:p>
      <w:pPr>
        <w:jc w:val="center"/>
      </w:pPr>
      <w:r>
        <w:drawing>
          <wp:inline xmlns:a="http://schemas.openxmlformats.org/drawingml/2006/main" xmlns:pic="http://schemas.openxmlformats.org/drawingml/2006/picture">
            <wp:extent cx="2844000" cy="2651186"/>
            <wp:docPr id="12" name="Picture 12"/>
            <wp:cNvGraphicFramePr>
              <a:graphicFrameLocks noChangeAspect="1"/>
            </wp:cNvGraphicFramePr>
            <a:graphic>
              <a:graphicData uri="http://schemas.openxmlformats.org/drawingml/2006/picture">
                <pic:pic>
                  <pic:nvPicPr>
                    <pic:cNvPr id="0" name="03_stacked_mix.png"/>
                    <pic:cNvPicPr/>
                  </pic:nvPicPr>
                  <pic:blipFill>
                    <a:blip r:embed="rId12"/>
                    <a:stretch>
                      <a:fillRect/>
                    </a:stretch>
                  </pic:blipFill>
                  <pic:spPr>
                    <a:xfrm>
                      <a:off x="0" y="0"/>
                      <a:ext cx="2844000" cy="2651186"/>
                    </a:xfrm>
                    <a:prstGeom prst="rect"/>
                  </pic:spPr>
                </pic:pic>
              </a:graphicData>
            </a:graphic>
          </wp:inline>
        </w:drawing>
      </w:r>
    </w:p>
    <w:p>
      <w:pPr>
        <w:pStyle w:val="Heading4"/>
      </w:pPr>
      <w:r>
        <w:t>What it shows</w:t>
      </w:r>
    </w:p>
    <w:p>
      <w:r>
        <w:rPr>
          <w:b w:val="0"/>
        </w:rPr>
        <w:t>The mix of sizes in each lease-start era, as shares of units.</w:t>
      </w:r>
    </w:p>
    <w:tbl>
      <w:tblPr>
        <w:tblStyle w:val="TableGrid"/>
        <w:tblW w:type="auto" w:w="0"/>
        <w:jc w:val="center"/>
        <w:tblLayout w:type="fixed"/>
        <w:tblLook w:firstColumn="1" w:firstRow="1" w:lastColumn="0" w:lastRow="0" w:noHBand="0" w:noVBand="1" w:val="04A0"/>
      </w:tblPr>
      <w:tblGrid>
        <w:gridCol w:w="1587"/>
        <w:gridCol w:w="1587"/>
        <w:gridCol w:w="1474"/>
        <w:gridCol w:w="1474"/>
        <w:gridCol w:w="1587"/>
        <w:gridCol w:w="1474"/>
      </w:tblGrid>
      <w:tr>
        <w:tc>
          <w:tcPr>
            <w:tcW w:type="dxa" w:w="1587"/>
            <w:shd w:val="clear" w:color="auto" w:fill="E3ECF8"/>
          </w:tcPr>
          <w:p>
            <w:pPr>
              <w:spacing w:after="20" w:line="252" w:lineRule="auto"/>
            </w:pPr>
            <w:r>
              <w:rPr>
                <w:b/>
                <w:sz w:val="18"/>
              </w:rPr>
              <w:t>Lease start</w:t>
            </w:r>
          </w:p>
        </w:tc>
        <w:tc>
          <w:tcPr>
            <w:tcW w:type="dxa" w:w="1587"/>
            <w:shd w:val="clear" w:color="auto" w:fill="E3ECF8"/>
          </w:tcPr>
          <w:p>
            <w:pPr>
              <w:spacing w:after="20" w:line="252" w:lineRule="auto"/>
            </w:pPr>
            <w:r>
              <w:rPr>
                <w:b/>
                <w:sz w:val="18"/>
              </w:rPr>
              <w:t>≤506 (shoebox)</w:t>
            </w:r>
          </w:p>
        </w:tc>
        <w:tc>
          <w:tcPr>
            <w:tcW w:type="dxa" w:w="1474"/>
            <w:shd w:val="clear" w:color="auto" w:fill="E3ECF8"/>
          </w:tcPr>
          <w:p>
            <w:pPr>
              <w:spacing w:after="20" w:line="252" w:lineRule="auto"/>
            </w:pPr>
            <w:r>
              <w:rPr>
                <w:b/>
                <w:sz w:val="18"/>
              </w:rPr>
              <w:t>507–750</w:t>
            </w:r>
          </w:p>
        </w:tc>
        <w:tc>
          <w:tcPr>
            <w:tcW w:type="dxa" w:w="1474"/>
            <w:shd w:val="clear" w:color="auto" w:fill="E3ECF8"/>
          </w:tcPr>
          <w:p>
            <w:pPr>
              <w:spacing w:after="20" w:line="252" w:lineRule="auto"/>
            </w:pPr>
            <w:r>
              <w:rPr>
                <w:b/>
                <w:sz w:val="18"/>
              </w:rPr>
              <w:t>751–1,000</w:t>
            </w:r>
          </w:p>
        </w:tc>
        <w:tc>
          <w:tcPr>
            <w:tcW w:type="dxa" w:w="1587"/>
            <w:shd w:val="clear" w:color="auto" w:fill="E3ECF8"/>
          </w:tcPr>
          <w:p>
            <w:pPr>
              <w:spacing w:after="20" w:line="252" w:lineRule="auto"/>
            </w:pPr>
            <w:r>
              <w:rPr>
                <w:b/>
                <w:sz w:val="18"/>
              </w:rPr>
              <w:t>1,001–1,300</w:t>
            </w:r>
          </w:p>
        </w:tc>
        <w:tc>
          <w:tcPr>
            <w:tcW w:type="dxa" w:w="1474"/>
            <w:shd w:val="clear" w:color="auto" w:fill="E3ECF8"/>
          </w:tcPr>
          <w:p>
            <w:pPr>
              <w:spacing w:after="20" w:line="252" w:lineRule="auto"/>
            </w:pPr>
            <w:r>
              <w:rPr>
                <w:b/>
                <w:sz w:val="18"/>
              </w:rPr>
              <w:t>&gt;1,300</w:t>
            </w:r>
          </w:p>
        </w:tc>
      </w:tr>
      <w:tr>
        <w:tc>
          <w:tcPr>
            <w:tcW w:type="dxa" w:w="1587"/>
          </w:tcPr>
          <w:p>
            <w:pPr>
              <w:spacing w:after="20" w:line="252" w:lineRule="auto"/>
            </w:pPr>
            <w:r>
              <w:rPr>
                <w:b/>
                <w:sz w:val="18"/>
              </w:rPr>
              <w:t>1990–2008</w:t>
            </w:r>
          </w:p>
        </w:tc>
        <w:tc>
          <w:tcPr>
            <w:tcW w:type="dxa" w:w="1587"/>
          </w:tcPr>
          <w:p>
            <w:pPr>
              <w:spacing w:after="20" w:line="252" w:lineRule="auto"/>
            </w:pPr>
            <w:r>
              <w:rPr>
                <w:b w:val="0"/>
                <w:sz w:val="18"/>
              </w:rPr>
              <w:t>1%</w:t>
            </w:r>
          </w:p>
        </w:tc>
        <w:tc>
          <w:tcPr>
            <w:tcW w:type="dxa" w:w="1474"/>
          </w:tcPr>
          <w:p>
            <w:pPr>
              <w:spacing w:after="20" w:line="252" w:lineRule="auto"/>
            </w:pPr>
            <w:r>
              <w:rPr>
                <w:b w:val="0"/>
                <w:sz w:val="18"/>
              </w:rPr>
              <w:t>5%</w:t>
            </w:r>
          </w:p>
        </w:tc>
        <w:tc>
          <w:tcPr>
            <w:tcW w:type="dxa" w:w="1474"/>
          </w:tcPr>
          <w:p>
            <w:pPr>
              <w:spacing w:after="20" w:line="252" w:lineRule="auto"/>
            </w:pPr>
            <w:r>
              <w:rPr>
                <w:b w:val="0"/>
                <w:sz w:val="18"/>
              </w:rPr>
              <w:t>19%</w:t>
            </w:r>
          </w:p>
        </w:tc>
        <w:tc>
          <w:tcPr>
            <w:tcW w:type="dxa" w:w="1587"/>
          </w:tcPr>
          <w:p>
            <w:pPr>
              <w:spacing w:after="20" w:line="252" w:lineRule="auto"/>
            </w:pPr>
            <w:r>
              <w:rPr>
                <w:b w:val="0"/>
                <w:sz w:val="18"/>
              </w:rPr>
              <w:t>41%</w:t>
            </w:r>
          </w:p>
        </w:tc>
        <w:tc>
          <w:tcPr>
            <w:tcW w:type="dxa" w:w="1474"/>
          </w:tcPr>
          <w:p>
            <w:pPr>
              <w:spacing w:after="20" w:line="252" w:lineRule="auto"/>
            </w:pPr>
            <w:r>
              <w:rPr>
                <w:b w:val="0"/>
                <w:sz w:val="18"/>
              </w:rPr>
              <w:t>34%</w:t>
            </w:r>
          </w:p>
        </w:tc>
      </w:tr>
      <w:tr>
        <w:tc>
          <w:tcPr>
            <w:tcW w:type="dxa" w:w="1587"/>
          </w:tcPr>
          <w:p>
            <w:pPr>
              <w:spacing w:after="20" w:line="252" w:lineRule="auto"/>
            </w:pPr>
            <w:r>
              <w:rPr>
                <w:b/>
                <w:sz w:val="18"/>
              </w:rPr>
              <w:t>2009–2012</w:t>
            </w:r>
          </w:p>
        </w:tc>
        <w:tc>
          <w:tcPr>
            <w:tcW w:type="dxa" w:w="1587"/>
          </w:tcPr>
          <w:p>
            <w:pPr>
              <w:spacing w:after="20" w:line="252" w:lineRule="auto"/>
            </w:pPr>
            <w:r>
              <w:rPr>
                <w:b w:val="0"/>
                <w:sz w:val="18"/>
              </w:rPr>
              <w:t>9%</w:t>
            </w:r>
          </w:p>
        </w:tc>
        <w:tc>
          <w:tcPr>
            <w:tcW w:type="dxa" w:w="1474"/>
          </w:tcPr>
          <w:p>
            <w:pPr>
              <w:spacing w:after="20" w:line="252" w:lineRule="auto"/>
            </w:pPr>
            <w:r>
              <w:rPr>
                <w:b w:val="0"/>
                <w:sz w:val="18"/>
              </w:rPr>
              <w:t>23%</w:t>
            </w:r>
          </w:p>
        </w:tc>
        <w:tc>
          <w:tcPr>
            <w:tcW w:type="dxa" w:w="1474"/>
          </w:tcPr>
          <w:p>
            <w:pPr>
              <w:spacing w:after="20" w:line="252" w:lineRule="auto"/>
            </w:pPr>
            <w:r>
              <w:rPr>
                <w:b w:val="0"/>
                <w:sz w:val="18"/>
              </w:rPr>
              <w:t>28%</w:t>
            </w:r>
          </w:p>
        </w:tc>
        <w:tc>
          <w:tcPr>
            <w:tcW w:type="dxa" w:w="1587"/>
          </w:tcPr>
          <w:p>
            <w:pPr>
              <w:spacing w:after="20" w:line="252" w:lineRule="auto"/>
            </w:pPr>
            <w:r>
              <w:rPr>
                <w:b w:val="0"/>
                <w:sz w:val="18"/>
              </w:rPr>
              <w:t>24%</w:t>
            </w:r>
          </w:p>
        </w:tc>
        <w:tc>
          <w:tcPr>
            <w:tcW w:type="dxa" w:w="1474"/>
          </w:tcPr>
          <w:p>
            <w:pPr>
              <w:spacing w:after="20" w:line="252" w:lineRule="auto"/>
            </w:pPr>
            <w:r>
              <w:rPr>
                <w:b w:val="0"/>
                <w:sz w:val="18"/>
              </w:rPr>
              <w:t>16%</w:t>
            </w:r>
          </w:p>
        </w:tc>
      </w:tr>
      <w:tr>
        <w:tc>
          <w:tcPr>
            <w:tcW w:type="dxa" w:w="1587"/>
          </w:tcPr>
          <w:p>
            <w:pPr>
              <w:spacing w:after="20" w:line="252" w:lineRule="auto"/>
            </w:pPr>
            <w:r>
              <w:rPr>
                <w:b/>
                <w:sz w:val="18"/>
              </w:rPr>
              <w:t>2013–2018</w:t>
            </w:r>
          </w:p>
        </w:tc>
        <w:tc>
          <w:tcPr>
            <w:tcW w:type="dxa" w:w="1587"/>
          </w:tcPr>
          <w:p>
            <w:pPr>
              <w:spacing w:after="20" w:line="252" w:lineRule="auto"/>
            </w:pPr>
            <w:r>
              <w:rPr>
                <w:b w:val="0"/>
                <w:sz w:val="18"/>
              </w:rPr>
              <w:t>13%</w:t>
            </w:r>
          </w:p>
        </w:tc>
        <w:tc>
          <w:tcPr>
            <w:tcW w:type="dxa" w:w="1474"/>
          </w:tcPr>
          <w:p>
            <w:pPr>
              <w:spacing w:after="20" w:line="252" w:lineRule="auto"/>
            </w:pPr>
            <w:r>
              <w:rPr>
                <w:b w:val="0"/>
                <w:sz w:val="18"/>
              </w:rPr>
              <w:t>36%</w:t>
            </w:r>
          </w:p>
        </w:tc>
        <w:tc>
          <w:tcPr>
            <w:tcW w:type="dxa" w:w="1474"/>
          </w:tcPr>
          <w:p>
            <w:pPr>
              <w:spacing w:after="20" w:line="252" w:lineRule="auto"/>
            </w:pPr>
            <w:r>
              <w:rPr>
                <w:b w:val="0"/>
                <w:sz w:val="18"/>
              </w:rPr>
              <w:t>25%</w:t>
            </w:r>
          </w:p>
        </w:tc>
        <w:tc>
          <w:tcPr>
            <w:tcW w:type="dxa" w:w="1587"/>
          </w:tcPr>
          <w:p>
            <w:pPr>
              <w:spacing w:after="20" w:line="252" w:lineRule="auto"/>
            </w:pPr>
            <w:r>
              <w:rPr>
                <w:b w:val="0"/>
                <w:sz w:val="18"/>
              </w:rPr>
              <w:t>18%</w:t>
            </w:r>
          </w:p>
        </w:tc>
        <w:tc>
          <w:tcPr>
            <w:tcW w:type="dxa" w:w="1474"/>
          </w:tcPr>
          <w:p>
            <w:pPr>
              <w:spacing w:after="20" w:line="252" w:lineRule="auto"/>
            </w:pPr>
            <w:r>
              <w:rPr>
                <w:b w:val="0"/>
                <w:sz w:val="18"/>
              </w:rPr>
              <w:t>8%</w:t>
            </w:r>
          </w:p>
        </w:tc>
      </w:tr>
      <w:tr>
        <w:tc>
          <w:tcPr>
            <w:tcW w:type="dxa" w:w="1587"/>
          </w:tcPr>
          <w:p>
            <w:pPr>
              <w:spacing w:after="20" w:line="252" w:lineRule="auto"/>
            </w:pPr>
            <w:r>
              <w:rPr>
                <w:b/>
                <w:sz w:val="18"/>
              </w:rPr>
              <w:t>2019–2025</w:t>
            </w:r>
          </w:p>
        </w:tc>
        <w:tc>
          <w:tcPr>
            <w:tcW w:type="dxa" w:w="1587"/>
          </w:tcPr>
          <w:p>
            <w:pPr>
              <w:spacing w:after="20" w:line="252" w:lineRule="auto"/>
            </w:pPr>
            <w:r>
              <w:rPr>
                <w:b w:val="0"/>
                <w:sz w:val="18"/>
              </w:rPr>
              <w:t>9%</w:t>
            </w:r>
          </w:p>
        </w:tc>
        <w:tc>
          <w:tcPr>
            <w:tcW w:type="dxa" w:w="1474"/>
          </w:tcPr>
          <w:p>
            <w:pPr>
              <w:spacing w:after="20" w:line="252" w:lineRule="auto"/>
            </w:pPr>
            <w:r>
              <w:rPr>
                <w:b w:val="0"/>
                <w:sz w:val="18"/>
              </w:rPr>
              <w:t>38%</w:t>
            </w:r>
          </w:p>
        </w:tc>
        <w:tc>
          <w:tcPr>
            <w:tcW w:type="dxa" w:w="1474"/>
          </w:tcPr>
          <w:p>
            <w:pPr>
              <w:spacing w:after="20" w:line="252" w:lineRule="auto"/>
            </w:pPr>
            <w:r>
              <w:rPr>
                <w:b w:val="0"/>
                <w:sz w:val="18"/>
              </w:rPr>
              <w:t>23%</w:t>
            </w:r>
          </w:p>
        </w:tc>
        <w:tc>
          <w:tcPr>
            <w:tcW w:type="dxa" w:w="1587"/>
          </w:tcPr>
          <w:p>
            <w:pPr>
              <w:spacing w:after="20" w:line="252" w:lineRule="auto"/>
            </w:pPr>
            <w:r>
              <w:rPr>
                <w:b w:val="0"/>
                <w:sz w:val="18"/>
              </w:rPr>
              <w:t>19%</w:t>
            </w:r>
          </w:p>
        </w:tc>
        <w:tc>
          <w:tcPr>
            <w:tcW w:type="dxa" w:w="1474"/>
          </w:tcPr>
          <w:p>
            <w:pPr>
              <w:spacing w:after="20" w:line="252" w:lineRule="auto"/>
            </w:pPr>
            <w:r>
              <w:rPr>
                <w:b w:val="0"/>
                <w:sz w:val="18"/>
              </w:rPr>
              <w:t>11%</w:t>
            </w:r>
          </w:p>
        </w:tc>
      </w:tr>
    </w:tbl>
    <w:p/>
    <w:p>
      <w:pPr>
        <w:pStyle w:val="Heading4"/>
      </w:pPr>
      <w:r>
        <w:t>How to read it</w:t>
      </w:r>
    </w:p>
    <w:p>
      <w:pPr>
        <w:pStyle w:val="ListBullet"/>
      </w:pPr>
      <w:r>
        <w:rPr>
          <w:b w:val="0"/>
        </w:rPr>
        <w:t>Each bar is one era and adds up to 100%.</w:t>
      </w:r>
    </w:p>
    <w:p>
      <w:pPr>
        <w:pStyle w:val="ListBullet"/>
      </w:pPr>
      <w:r>
        <w:rPr>
          <w:b w:val="0"/>
        </w:rPr>
        <w:t>Segments run from small (orange shoebox) to large (darkest blue). The numbers inside are percentages.</w:t>
      </w:r>
    </w:p>
    <w:p>
      <w:pPr>
        <w:pStyle w:val="ListBullet"/>
      </w:pPr>
      <w:r>
        <w:rPr>
          <w:b w:val="0"/>
        </w:rPr>
        <w:t>n under each era is the number of sales behind the bar.</w:t>
      </w:r>
    </w:p>
    <w:p>
      <w:pPr>
        <w:pStyle w:val="Heading4"/>
      </w:pPr>
      <w:r>
        <w:t>Why this chart</w:t>
      </w:r>
    </w:p>
    <w:p>
      <w:r>
        <w:rPr>
          <w:b w:val="0"/>
        </w:rPr>
        <w:t>A 100% stacked bar compares the mix across groups of different sizes. Raw counts would mostly show how many homes from each era happened to sell. Shoeboxes are orange because they are the size URA's cap was aimed at, and the blues get darker as units get bigger, so order reads as order.</w:t>
      </w:r>
    </w:p>
    <w:p>
      <w:pPr>
        <w:pStyle w:val="Heading4"/>
      </w:pPr>
      <w:r>
        <w:t>Watch out for</w:t>
      </w:r>
    </w:p>
    <w:p>
      <w:r>
        <w:rPr>
          <w:b w:val="0"/>
        </w:rPr>
        <w:t>The bands are in sq ft and do not map exactly onto bedrooms, because the data has no bedroom count. As a rough guide, 507 to 750 sq ft is one or two bedrooms and above 1,000 sq ft is three or more.</w:t>
      </w:r>
    </w:p>
    <w:p>
      <w:pPr>
        <w:pStyle w:val="Heading4"/>
      </w:pPr>
      <w:r>
        <w:t>If someone asks</w:t>
      </w:r>
    </w:p>
    <w:p>
      <w:pPr>
        <w:pStyle w:val="ListBullet"/>
      </w:pPr>
      <w:r>
        <w:rPr>
          <w:b w:val="0"/>
        </w:rPr>
        <w:t>Did the cap work? Shoeboxes fell from 13% to 9% after 2019, but big homes stayed rare at 11%. The growth went to 507 to 750 sq ft, which rose from 5% to 38% of units.</w:t>
      </w:r>
    </w:p>
    <w:p>
      <w:pPr>
        <w:keepNext/>
        <w:pageBreakBefore/>
      </w:pPr>
      <w:r>
        <w:rPr>
          <w:b w:val="0"/>
          <w:color w:val="52514E"/>
        </w:rPr>
        <w:t>Lead into chart 4: "Maybe newer homes are only smaller because they are built in different places. Chart 4 checks that."</w:t>
      </w:r>
    </w:p>
    <w:p>
      <w:pPr>
        <w:pStyle w:val="Heading3"/>
        <w:pageBreakBefore w:val="0"/>
      </w:pPr>
      <w:r>
        <w:t>Chart 4: coefficient plot</w:t>
      </w:r>
    </w:p>
    <w:p>
      <w:pPr>
        <w:keepNext/>
      </w:pPr>
      <w:r>
        <w:rPr>
          <w:b/>
          <w:color w:val="C44E1E"/>
          <w:sz w:val="22"/>
        </w:rPr>
        <w:t>Within the same district the gap stays at −34%</w:t>
      </w:r>
    </w:p>
    <w:p>
      <w:pPr>
        <w:jc w:val="center"/>
      </w:pPr>
      <w:r>
        <w:drawing>
          <wp:inline xmlns:a="http://schemas.openxmlformats.org/drawingml/2006/main" xmlns:pic="http://schemas.openxmlformats.org/drawingml/2006/picture">
            <wp:extent cx="2844000" cy="2651186"/>
            <wp:docPr id="13" name="Picture 13"/>
            <wp:cNvGraphicFramePr>
              <a:graphicFrameLocks noChangeAspect="1"/>
            </wp:cNvGraphicFramePr>
            <a:graphic>
              <a:graphicData uri="http://schemas.openxmlformats.org/drawingml/2006/picture">
                <pic:pic>
                  <pic:nvPicPr>
                    <pic:cNvPr id="0" name="04_coefficients.png"/>
                    <pic:cNvPicPr/>
                  </pic:nvPicPr>
                  <pic:blipFill>
                    <a:blip r:embed="rId13"/>
                    <a:stretch>
                      <a:fillRect/>
                    </a:stretch>
                  </pic:blipFill>
                  <pic:spPr>
                    <a:xfrm>
                      <a:off x="0" y="0"/>
                      <a:ext cx="2844000" cy="2651186"/>
                    </a:xfrm>
                    <a:prstGeom prst="rect"/>
                  </pic:spPr>
                </pic:pic>
              </a:graphicData>
            </a:graphic>
          </wp:inline>
        </w:drawing>
      </w:r>
    </w:p>
    <w:p>
      <w:pPr>
        <w:pStyle w:val="Heading4"/>
      </w:pPr>
      <w:r>
        <w:t>What it shows</w:t>
      </w:r>
    </w:p>
    <w:p>
      <w:r>
        <w:rPr>
          <w:b w:val="0"/>
        </w:rPr>
        <w:t>How much smaller homes from each era are than 1990 to 2008 homes, before and after holding location fixed. 2009–12: −26% raw, −25% controlled. 2013–18: −35% raw, −34% controlled. 2019–25: −33% raw, −32% controlled. Every interval is far from zero.</w:t>
      </w:r>
    </w:p>
    <w:p>
      <w:pPr>
        <w:pStyle w:val="Heading4"/>
      </w:pPr>
      <w:r>
        <w:t>How to read it</w:t>
      </w:r>
    </w:p>
    <w:p>
      <w:pPr>
        <w:pStyle w:val="ListBullet"/>
      </w:pPr>
      <w:r>
        <w:rPr>
          <w:b w:val="0"/>
        </w:rPr>
        <w:t>Each row is an era compared with 1990 to 2008, which sits on the zero line.</w:t>
      </w:r>
    </w:p>
    <w:p>
      <w:pPr>
        <w:pStyle w:val="ListBullet"/>
      </w:pPr>
      <w:r>
        <w:rPr>
          <w:b w:val="0"/>
        </w:rPr>
        <w:t>Grey hollow dot: the raw gap. Blue dot: the gap among homes in the same district, of the same type (apartment or condominium) and sold in the same year. The lines are 95% confidence intervals.</w:t>
      </w:r>
    </w:p>
    <w:p>
      <w:pPr>
        <w:pStyle w:val="ListBullet"/>
      </w:pPr>
      <w:r>
        <w:rPr>
          <w:b w:val="0"/>
        </w:rPr>
        <w:t>If location explained the shrink, the blue dots would move towards zero. They barely move.</w:t>
      </w:r>
    </w:p>
    <w:p>
      <w:pPr>
        <w:pStyle w:val="Heading4"/>
      </w:pPr>
      <w:r>
        <w:t>Why this chart</w:t>
      </w:r>
    </w:p>
    <w:p>
      <w:r>
        <w:rPr>
          <w:b w:val="0"/>
        </w:rPr>
        <w:t>A coefficient plot shows a regression result, with its uncertainty, without a table of numbers. Putting the raw and controlled estimates next to each other is the test itself: you see at once that the controls change almost nothing.</w:t>
      </w:r>
    </w:p>
    <w:p>
      <w:pPr>
        <w:pStyle w:val="Heading4"/>
      </w:pPr>
      <w:r>
        <w:t>How it was done</w:t>
      </w:r>
    </w:p>
    <w:p>
      <w:pPr>
        <w:pStyle w:val="ListBullet"/>
      </w:pPr>
      <w:r>
        <w:rPr>
          <w:b w:val="0"/>
        </w:rPr>
        <w:t>Ordinary least squares of log floor area on era dummies. The controlled model adds dummies for district, property type and year of sale.</w:t>
      </w:r>
    </w:p>
    <w:p>
      <w:pPr>
        <w:pStyle w:val="ListBullet"/>
      </w:pPr>
      <w:r>
        <w:rPr>
          <w:b w:val="0"/>
        </w:rPr>
        <w:t>Because the model is in logs, each coefficient converts to a percentage gap: exp(b) − 1.</w:t>
      </w:r>
    </w:p>
    <w:p>
      <w:pPr>
        <w:pStyle w:val="ListBullet"/>
      </w:pPr>
      <w:r>
        <w:rPr>
          <w:b w:val="0"/>
        </w:rPr>
        <w:t>Standard errors are clustered by project (464 projects). Units in one project are designed together, so treating 66,237 sales as independent would make the intervals far too narrow.</w:t>
      </w:r>
    </w:p>
    <w:p>
      <w:pPr>
        <w:pStyle w:val="Heading4"/>
      </w:pPr>
      <w:r>
        <w:t>Watch out for</w:t>
      </w:r>
    </w:p>
    <w:p>
      <w:r>
        <w:rPr>
          <w:b w:val="0"/>
        </w:rPr>
        <w:t>District is a broad control, and a regression cannot rule out every other difference between eras. R² is low (0.22) because sizes vary a lot inside every era. That is fine here: the question is how big the era gap is, not predicting the size of each unit.</w:t>
      </w:r>
    </w:p>
    <w:p>
      <w:pPr>
        <w:pStyle w:val="Heading4"/>
      </w:pPr>
      <w:r>
        <w:t>If someone asks</w:t>
      </w:r>
    </w:p>
    <w:p>
      <w:pPr>
        <w:pStyle w:val="ListBullet"/>
      </w:pPr>
      <w:r>
        <w:rPr>
          <w:b w:val="0"/>
        </w:rPr>
        <w:t>Why log floor area? So the result is a percentage, which compares cleanly across eras.</w:t>
      </w:r>
    </w:p>
    <w:p>
      <w:pPr>
        <w:pStyle w:val="ListBullet"/>
      </w:pPr>
      <w:r>
        <w:rPr>
          <w:b w:val="0"/>
        </w:rPr>
        <w:t>Why not include new vs resale as a control? Almost every new sale is from the newest era, so the two would measure the same thing and muddle the estimate.</w:t>
      </w:r>
    </w:p>
    <w:p>
      <w:pPr>
        <w:keepNext/>
        <w:pageBreakBefore/>
      </w:pPr>
      <w:r>
        <w:rPr>
          <w:b w:val="0"/>
          <w:color w:val="52514E"/>
        </w:rPr>
        <w:t>Lead into chart 5: "So the shrink is real. What did it do to the price tag?"</w:t>
      </w:r>
    </w:p>
    <w:p>
      <w:pPr>
        <w:pStyle w:val="Heading3"/>
        <w:pageBreakBefore w:val="0"/>
      </w:pPr>
      <w:r>
        <w:t>Chart 5: scatter with constant-price curves</w:t>
      </w:r>
    </w:p>
    <w:p>
      <w:pPr>
        <w:keepNext/>
      </w:pPr>
      <w:r>
        <w:rPr>
          <w:b/>
          <w:color w:val="C44E1E"/>
          <w:sz w:val="22"/>
        </w:rPr>
        <w:t>Shrinking cut prices to S$1.45M; after 2019 they jump to S$2.05M</w:t>
      </w:r>
    </w:p>
    <w:p>
      <w:pPr>
        <w:jc w:val="center"/>
      </w:pPr>
      <w:r>
        <w:drawing>
          <wp:inline xmlns:a="http://schemas.openxmlformats.org/drawingml/2006/main" xmlns:pic="http://schemas.openxmlformats.org/drawingml/2006/picture">
            <wp:extent cx="2844000" cy="2651186"/>
            <wp:docPr id="14" name="Picture 14"/>
            <wp:cNvGraphicFramePr>
              <a:graphicFrameLocks noChangeAspect="1"/>
            </wp:cNvGraphicFramePr>
            <a:graphic>
              <a:graphicData uri="http://schemas.openxmlformats.org/drawingml/2006/picture">
                <pic:pic>
                  <pic:nvPicPr>
                    <pic:cNvPr id="0" name="05_scatter_isoprice.png"/>
                    <pic:cNvPicPr/>
                  </pic:nvPicPr>
                  <pic:blipFill>
                    <a:blip r:embed="rId14"/>
                    <a:stretch>
                      <a:fillRect/>
                    </a:stretch>
                  </pic:blipFill>
                  <pic:spPr>
                    <a:xfrm>
                      <a:off x="0" y="0"/>
                      <a:ext cx="2844000" cy="2651186"/>
                    </a:xfrm>
                    <a:prstGeom prst="rect"/>
                  </pic:spPr>
                </pic:pic>
              </a:graphicData>
            </a:graphic>
          </wp:inline>
        </w:drawing>
      </w:r>
    </w:p>
    <w:p>
      <w:pPr>
        <w:pStyle w:val="Heading4"/>
      </w:pPr>
      <w:r>
        <w:t>What it shows</w:t>
      </w:r>
    </w:p>
    <w:p>
      <w:r>
        <w:rPr>
          <w:b w:val="0"/>
        </w:rPr>
        <w:t>2025 sales of 99-year leaseholds. From 1990–2008 land to 2013–2018 land, floor area fell 40% (1,216 to 732 sq ft) while PSF rose 27% (S$1,510 to S$1,922), so the median price fell 16%, from S$1.72M to S$1.45M. Homes on post-2019 land are 7% larger (786 sq ft) and 31% dearer per sq ft (S$2,514), and their median price jumps to S$2.05M.</w:t>
      </w:r>
    </w:p>
    <w:p>
      <w:pPr>
        <w:pStyle w:val="Heading4"/>
      </w:pPr>
      <w:r>
        <w:t>How to read it</w:t>
      </w:r>
    </w:p>
    <w:p>
      <w:pPr>
        <w:pStyle w:val="ListBullet"/>
      </w:pPr>
      <w:r>
        <w:rPr>
          <w:b w:val="0"/>
        </w:rPr>
        <w:t>Each small dot is one project (median floor area and PSF, projects with at least 10 sales). Colour is the era, darker for newer.</w:t>
      </w:r>
    </w:p>
    <w:p>
      <w:pPr>
        <w:pStyle w:val="ListBullet"/>
      </w:pPr>
      <w:r>
        <w:rPr>
          <w:b w:val="0"/>
        </w:rPr>
        <w:t>The large dots are the era medians, labelled with the era's median price, and the arrows join them in time order.</w:t>
      </w:r>
    </w:p>
    <w:p>
      <w:pPr>
        <w:pStyle w:val="ListBullet"/>
      </w:pPr>
      <w:r>
        <w:rPr>
          <w:b w:val="0"/>
        </w:rPr>
        <w:t>Both axes are logarithmic. Since price = floor area × PSF, every point on one grey curve has the same price. Moving up and to the left along a curve means a smaller home at a higher PSF for the same price tag. That move is shrinkflation in one picture.</w:t>
      </w:r>
    </w:p>
    <w:p>
      <w:pPr>
        <w:pStyle w:val="Heading4"/>
      </w:pPr>
      <w:r>
        <w:t>Why this chart</w:t>
      </w:r>
    </w:p>
    <w:p>
      <w:r>
        <w:rPr>
          <w:b w:val="0"/>
        </w:rPr>
        <w:t>A scatter shows two measures at once, and the constant-price curves turn it into a direct test of the definition: did the size fall while the price tag held? Using only 2025 sales keeps every price at the same date.</w:t>
      </w:r>
    </w:p>
    <w:p>
      <w:pPr>
        <w:pStyle w:val="Heading4"/>
      </w:pPr>
      <w:r>
        <w:t>Watch out for</w:t>
      </w:r>
    </w:p>
    <w:p>
      <w:r>
        <w:rPr>
          <w:b w:val="0"/>
        </w:rPr>
        <w:t>These are 2025 prices, not the original launch prices. Older homes are also cheaper per sq ft because they are older and have less lease left. So the chart shows the menu a 2025 buyer chooses from.</w:t>
      </w:r>
    </w:p>
    <w:p>
      <w:pPr>
        <w:pStyle w:val="Heading4"/>
      </w:pPr>
      <w:r>
        <w:t>If someone asks</w:t>
      </w:r>
    </w:p>
    <w:p>
      <w:pPr>
        <w:pStyle w:val="ListBullet"/>
      </w:pPr>
      <w:r>
        <w:rPr>
          <w:b w:val="0"/>
        </w:rPr>
        <w:t>Did developers hold the price tag at launch? Our data starts in 2020, so we cannot see 2010 launch prices. What we can show is that the smaller homes from that era still cost less today despite their higher PSF, which is the trade the shrink was built for.</w:t>
      </w:r>
    </w:p>
    <w:p>
      <w:pPr>
        <w:keepNext/>
        <w:pageBreakBefore/>
      </w:pPr>
      <w:r>
        <w:rPr>
          <w:b w:val="0"/>
          <w:color w:val="52514E"/>
        </w:rPr>
        <w:t>Lead into chart 6: "Why does a smaller home mean a lower price tag? Because of how launches are priced."</w:t>
      </w:r>
    </w:p>
    <w:p>
      <w:pPr>
        <w:pStyle w:val="Heading3"/>
        <w:pageBreakBefore w:val="0"/>
      </w:pPr>
      <w:r>
        <w:t>Chart 6: violin</w:t>
      </w:r>
    </w:p>
    <w:p>
      <w:pPr>
        <w:keepNext/>
      </w:pPr>
      <w:r>
        <w:rPr>
          <w:b/>
          <w:color w:val="C44E1E"/>
          <w:sz w:val="22"/>
        </w:rPr>
        <w:t>Every unit size sells at its project's PSF, within 1.5%</w:t>
      </w:r>
    </w:p>
    <w:p>
      <w:pPr>
        <w:jc w:val="center"/>
      </w:pPr>
      <w:r>
        <w:drawing>
          <wp:inline xmlns:a="http://schemas.openxmlformats.org/drawingml/2006/main" xmlns:pic="http://schemas.openxmlformats.org/drawingml/2006/picture">
            <wp:extent cx="2844000" cy="2651186"/>
            <wp:docPr id="15" name="Picture 15"/>
            <wp:cNvGraphicFramePr>
              <a:graphicFrameLocks noChangeAspect="1"/>
            </wp:cNvGraphicFramePr>
            <a:graphic>
              <a:graphicData uri="http://schemas.openxmlformats.org/drawingml/2006/picture">
                <pic:pic>
                  <pic:nvPicPr>
                    <pic:cNvPr id="0" name="06_violin_pricing.png"/>
                    <pic:cNvPicPr/>
                  </pic:nvPicPr>
                  <pic:blipFill>
                    <a:blip r:embed="rId15"/>
                    <a:stretch>
                      <a:fillRect/>
                    </a:stretch>
                  </pic:blipFill>
                  <pic:spPr>
                    <a:xfrm>
                      <a:off x="0" y="0"/>
                      <a:ext cx="2844000" cy="2651186"/>
                    </a:xfrm>
                    <a:prstGeom prst="rect"/>
                  </pic:spPr>
                </pic:pic>
              </a:graphicData>
            </a:graphic>
          </wp:inline>
        </w:drawing>
      </w:r>
    </w:p>
    <w:p>
      <w:pPr>
        <w:pStyle w:val="Heading4"/>
      </w:pPr>
      <w:r>
        <w:t>What it shows</w:t>
      </w:r>
    </w:p>
    <w:p>
      <w:r>
        <w:rPr>
          <w:b w:val="0"/>
        </w:rPr>
        <w:t>10,389 new-launch sales in 2025 from the 50 projects with at least 20 sales. Each unit's PSF is compared with the median PSF of its own project. The medians by size band are −0.5% (shoebox), +0.6%, +0.2%, −0.3% and −1.4% (over 1,300 sq ft). Within a project, a 10% larger unit costs only 0.08% less per sq ft.</w:t>
      </w:r>
    </w:p>
    <w:p>
      <w:pPr>
        <w:pStyle w:val="Heading4"/>
      </w:pPr>
      <w:r>
        <w:t>How to read it</w:t>
      </w:r>
    </w:p>
    <w:p>
      <w:pPr>
        <w:pStyle w:val="ListBullet"/>
      </w:pPr>
      <w:r>
        <w:rPr>
          <w:b w:val="0"/>
        </w:rPr>
        <w:t>Each violin is a size band. Its width at any height shows how many units sit at that PSF difference.</w:t>
      </w:r>
    </w:p>
    <w:p>
      <w:pPr>
        <w:pStyle w:val="ListBullet"/>
      </w:pPr>
      <w:r>
        <w:rPr>
          <w:b w:val="0"/>
        </w:rPr>
        <w:t>The white dot is the median, the black bar the middle 50%.</w:t>
      </w:r>
    </w:p>
    <w:p>
      <w:pPr>
        <w:pStyle w:val="ListBullet"/>
      </w:pPr>
      <w:r>
        <w:rPr>
          <w:b w:val="0"/>
        </w:rPr>
        <w:t>The zero line means the same PSF as the rest of the project.</w:t>
      </w:r>
    </w:p>
    <w:p>
      <w:pPr>
        <w:pStyle w:val="Heading4"/>
      </w:pPr>
      <w:r>
        <w:t>Why this chart</w:t>
      </w:r>
    </w:p>
    <w:p>
      <w:r>
        <w:rPr>
          <w:b w:val="0"/>
        </w:rPr>
        <w:t>A violin shows the full spread for several groups side by side, more than a box plot does. Comparing each unit with its own project takes location out, which would otherwise swamp everything else in PSF.</w:t>
      </w:r>
    </w:p>
    <w:p>
      <w:pPr>
        <w:pStyle w:val="Heading4"/>
      </w:pPr>
      <w:r>
        <w:t>Why it matters</w:t>
      </w:r>
    </w:p>
    <w:p>
      <w:r>
        <w:rPr>
          <w:b w:val="0"/>
        </w:rPr>
        <w:t>If developers charged a large premium per sq ft for small units, shrinking would barely cut the price tag. Because PSF is flat, the price tag falls one for one with floor area: a unit 20% smaller costs about 20% less. That is why shrinking was the tool.</w:t>
      </w:r>
    </w:p>
    <w:p>
      <w:pPr>
        <w:pStyle w:val="Heading4"/>
      </w:pPr>
      <w:r>
        <w:t>Watch out for</w:t>
      </w:r>
    </w:p>
    <w:p>
      <w:r>
        <w:rPr>
          <w:b w:val="0"/>
        </w:rPr>
        <w:t>Floor level and facing also move PSF within a project, which explains the spread around zero. Across the whole market, small-unit projects do have higher PSF, because they tend to be in pricier places. That is why the comparison is made within each project.</w:t>
      </w:r>
    </w:p>
    <w:p>
      <w:pPr>
        <w:pStyle w:val="Heading4"/>
      </w:pPr>
      <w:r>
        <w:t>If someone asks</w:t>
      </w:r>
    </w:p>
    <w:p>
      <w:pPr>
        <w:pStyle w:val="ListBullet"/>
      </w:pPr>
      <w:r>
        <w:rPr>
          <w:b w:val="0"/>
        </w:rPr>
        <w:t>Why do people say shoeboxes are expensive per sq ft? Across the market they are, because they cluster in central locations. Inside the same building they are priced like everything else.</w:t>
      </w:r>
    </w:p>
    <w:p>
      <w:pPr>
        <w:keepNext/>
        <w:pageBreakBefore/>
      </w:pPr>
      <w:r>
        <w:rPr>
          <w:b w:val="0"/>
          <w:color w:val="52514E"/>
        </w:rPr>
        <w:t>Lead into chart 7: "So why did developers shrink homes from 2009 onwards? Chart 7 brings in outside data."</w:t>
      </w:r>
    </w:p>
    <w:p>
      <w:pPr>
        <w:pStyle w:val="Heading3"/>
        <w:pageBreakBefore w:val="0"/>
      </w:pPr>
      <w:r>
        <w:t>Chart 7: diverging lollipop</w:t>
      </w:r>
    </w:p>
    <w:p>
      <w:pPr>
        <w:keepNext/>
      </w:pPr>
      <w:r>
        <w:rPr>
          <w:b/>
          <w:color w:val="C44E1E"/>
          <w:sz w:val="22"/>
        </w:rPr>
        <w:t>Least affordable in 2007–13, when that land was sold</w:t>
      </w:r>
    </w:p>
    <w:p>
      <w:pPr>
        <w:jc w:val="center"/>
      </w:pPr>
      <w:r>
        <w:drawing>
          <wp:inline xmlns:a="http://schemas.openxmlformats.org/drawingml/2006/main" xmlns:pic="http://schemas.openxmlformats.org/drawingml/2006/picture">
            <wp:extent cx="2844000" cy="2651186"/>
            <wp:docPr id="16" name="Picture 16"/>
            <wp:cNvGraphicFramePr>
              <a:graphicFrameLocks noChangeAspect="1"/>
            </wp:cNvGraphicFramePr>
            <a:graphic>
              <a:graphicData uri="http://schemas.openxmlformats.org/drawingml/2006/picture">
                <pic:pic>
                  <pic:nvPicPr>
                    <pic:cNvPr id="0" name="07_lollipop_macro.png"/>
                    <pic:cNvPicPr/>
                  </pic:nvPicPr>
                  <pic:blipFill>
                    <a:blip r:embed="rId16"/>
                    <a:stretch>
                      <a:fillRect/>
                    </a:stretch>
                  </pic:blipFill>
                  <pic:spPr>
                    <a:xfrm>
                      <a:off x="0" y="0"/>
                      <a:ext cx="2844000" cy="2651186"/>
                    </a:xfrm>
                    <a:prstGeom prst="rect"/>
                  </pic:spPr>
                </pic:pic>
              </a:graphicData>
            </a:graphic>
          </wp:inline>
        </w:drawing>
      </w:r>
    </w:p>
    <w:p>
      <w:pPr>
        <w:pStyle w:val="Heading4"/>
      </w:pPr>
      <w:r>
        <w:t>What it shows</w:t>
      </w:r>
    </w:p>
    <w:p>
      <w:r>
        <w:rPr>
          <w:b w:val="0"/>
        </w:rPr>
        <w:t>How affordable private homes were each year against the 2001–2025 average. 2007 to 2013 were 6 to 18% less affordable than usual, except 2009 (financial crisis). From 2014 incomes grew faster than prices; 2017 was 16% more affordable. 2025 is 2% below average.</w:t>
      </w:r>
    </w:p>
    <w:p>
      <w:pPr>
        <w:pStyle w:val="Heading4"/>
      </w:pPr>
      <w:r>
        <w:t>How to read it</w:t>
      </w:r>
    </w:p>
    <w:p>
      <w:pPr>
        <w:pStyle w:val="ListBullet"/>
      </w:pPr>
      <w:r>
        <w:rPr>
          <w:b w:val="0"/>
        </w:rPr>
        <w:t>Each lollipop is a year. Orange above the line: less affordable than usual. Blue below: more affordable.</w:t>
      </w:r>
    </w:p>
    <w:p>
      <w:pPr>
        <w:pStyle w:val="ListBullet"/>
      </w:pPr>
      <w:r>
        <w:rPr>
          <w:b w:val="0"/>
        </w:rPr>
        <w:t>The grey band marks 2007 to 2013, when the land behind chart 2's smallest homes was sold.</w:t>
      </w:r>
    </w:p>
    <w:p>
      <w:pPr>
        <w:pStyle w:val="Heading4"/>
      </w:pPr>
      <w:r>
        <w:t>Why this chart</w:t>
      </w:r>
    </w:p>
    <w:p>
      <w:r>
        <w:rPr>
          <w:b w:val="0"/>
        </w:rPr>
        <w:t>A lollipop shows one value per year against a baseline with less ink than 25 bars, and the colours show the sign at a glance. It brings in the outside data the assignment asked for, to explain why developers shrank homes then.</w:t>
      </w:r>
    </w:p>
    <w:p>
      <w:pPr>
        <w:pStyle w:val="Heading4"/>
      </w:pPr>
      <w:r>
        <w:t>How it was done</w:t>
      </w:r>
    </w:p>
    <w:p>
      <w:pPr>
        <w:pStyle w:val="ListBullet"/>
      </w:pPr>
      <w:r>
        <w:rPr>
          <w:b w:val="0"/>
        </w:rPr>
        <w:t>Price: URA's non-landed price index (condos and apartments), averaged over each year's four quarters.</w:t>
      </w:r>
    </w:p>
    <w:p>
      <w:pPr>
        <w:pStyle w:val="ListBullet"/>
      </w:pPr>
      <w:r>
        <w:rPr>
          <w:b w:val="0"/>
        </w:rPr>
        <w:t>Income: SingStat's yearly change in median household employment income (including employer CPF), chained into an index with 2000 = 100.</w:t>
      </w:r>
    </w:p>
    <w:p>
      <w:pPr>
        <w:pStyle w:val="ListBullet"/>
      </w:pPr>
      <w:r>
        <w:rPr>
          <w:b w:val="0"/>
        </w:rPr>
        <w:t>Ratio = price index ÷ income index, as a percentage above or below its 2001–2025 average. Both indices about doubled from 2009 to 2025, which is why 2025 sits near average.</w:t>
      </w:r>
    </w:p>
    <w:p>
      <w:pPr>
        <w:pStyle w:val="Heading4"/>
      </w:pPr>
      <w:r>
        <w:t>Watch out for</w:t>
      </w:r>
    </w:p>
    <w:p>
      <w:r>
        <w:rPr>
          <w:b w:val="0"/>
        </w:rPr>
        <w:t>This is a ratio of two indices. It says when homes were more or less affordable than usual, not how many years of income a home costs. It is also an association, since interest rates and cooling measures changed in 2007 to 2013 too.</w:t>
      </w:r>
    </w:p>
    <w:p>
      <w:pPr>
        <w:pStyle w:val="Heading4"/>
      </w:pPr>
      <w:r>
        <w:t>If someone asks</w:t>
      </w:r>
    </w:p>
    <w:p>
      <w:pPr>
        <w:pStyle w:val="ListBullet"/>
      </w:pPr>
      <w:r>
        <w:rPr>
          <w:b w:val="0"/>
        </w:rPr>
        <w:t>If 2025 is about average, why are homes hard to afford? The index covers the whole private market. New launches cost far more per sq ft than the market as a whole (S$2,572 against S$1,747 for resale), which chart 8 picks up.</w:t>
      </w:r>
    </w:p>
    <w:p>
      <w:pPr>
        <w:keepNext/>
        <w:pageBreakBefore/>
      </w:pPr>
      <w:r>
        <w:rPr>
          <w:b w:val="0"/>
          <w:color w:val="52514E"/>
        </w:rPr>
        <w:t>Lead into chart 8: "What does that mean for an actual household today?"</w:t>
      </w:r>
    </w:p>
    <w:p>
      <w:pPr>
        <w:pStyle w:val="Heading3"/>
        <w:pageBreakBefore w:val="0"/>
      </w:pPr>
      <w:r>
        <w:t>Chart 8: sensitivity heat map</w:t>
      </w:r>
    </w:p>
    <w:p>
      <w:pPr>
        <w:keepNext/>
      </w:pPr>
      <w:r>
        <w:rPr>
          <w:b/>
          <w:color w:val="C44E1E"/>
          <w:sz w:val="22"/>
        </w:rPr>
        <w:t>The median household can borrow for under 800 sq ft</w:t>
      </w:r>
    </w:p>
    <w:p>
      <w:pPr>
        <w:jc w:val="center"/>
      </w:pPr>
      <w:r>
        <w:drawing>
          <wp:inline xmlns:a="http://schemas.openxmlformats.org/drawingml/2006/main" xmlns:pic="http://schemas.openxmlformats.org/drawingml/2006/picture">
            <wp:extent cx="2844000" cy="2651186"/>
            <wp:docPr id="17" name="Picture 17"/>
            <wp:cNvGraphicFramePr>
              <a:graphicFrameLocks noChangeAspect="1"/>
            </wp:cNvGraphicFramePr>
            <a:graphic>
              <a:graphicData uri="http://schemas.openxmlformats.org/drawingml/2006/picture">
                <pic:pic>
                  <pic:nvPicPr>
                    <pic:cNvPr id="0" name="08_heatmap_tdsr.png"/>
                    <pic:cNvPicPr/>
                  </pic:nvPicPr>
                  <pic:blipFill>
                    <a:blip r:embed="rId17"/>
                    <a:stretch>
                      <a:fillRect/>
                    </a:stretch>
                  </pic:blipFill>
                  <pic:spPr>
                    <a:xfrm>
                      <a:off x="0" y="0"/>
                      <a:ext cx="2844000" cy="2651186"/>
                    </a:xfrm>
                    <a:prstGeom prst="rect"/>
                  </pic:spPr>
                </pic:pic>
              </a:graphicData>
            </a:graphic>
          </wp:inline>
        </w:drawing>
      </w:r>
    </w:p>
    <w:p>
      <w:pPr>
        <w:pStyle w:val="Heading4"/>
      </w:pPr>
      <w:r>
        <w:t>What it shows</w:t>
      </w:r>
    </w:p>
    <w:p>
      <w:r>
        <w:rPr>
          <w:b w:val="0"/>
        </w:rPr>
        <w:t>The largest home, in sq ft, a household can afford under MAS loan rules, for six incomes and seven PSF levels. At the 2025 median household income of S$12,446, the limit is a S$1.91M home. That buys 1,117 sq ft at the 2020 new-launch PSF (S$1,712) but only 743 sq ft at the 2025 PSF (S$2,572), less than the median new unit of 797 sq ft.</w:t>
      </w:r>
    </w:p>
    <w:p>
      <w:pPr>
        <w:pStyle w:val="Heading4"/>
      </w:pPr>
      <w:r>
        <w:t>How to read it</w:t>
      </w:r>
    </w:p>
    <w:p>
      <w:pPr>
        <w:pStyle w:val="ListBullet"/>
      </w:pPr>
      <w:r>
        <w:rPr>
          <w:b w:val="0"/>
        </w:rPr>
        <w:t>Rows are monthly household income, columns are PSF.</w:t>
      </w:r>
    </w:p>
    <w:p>
      <w:pPr>
        <w:pStyle w:val="ListBullet"/>
      </w:pPr>
      <w:r>
        <w:rPr>
          <w:b w:val="0"/>
        </w:rPr>
        <w:t>Each cell is the affordable floor area. Darker blue means more space.</w:t>
      </w:r>
    </w:p>
    <w:p>
      <w:pPr>
        <w:pStyle w:val="ListBullet"/>
      </w:pPr>
      <w:r>
        <w:rPr>
          <w:b w:val="0"/>
        </w:rPr>
        <w:t>Orange boxes are cells below 797 sq ft, the median new unit in 2025.</w:t>
      </w:r>
    </w:p>
    <w:p>
      <w:pPr>
        <w:pStyle w:val="ListBullet"/>
      </w:pPr>
      <w:r>
        <w:rPr>
          <w:b w:val="0"/>
        </w:rPr>
        <w:t>The arrows on top mark the median new-launch PSF in 2020 and in 2025.</w:t>
      </w:r>
    </w:p>
    <w:p>
      <w:pPr>
        <w:pStyle w:val="Heading4"/>
      </w:pPr>
      <w:r>
        <w:t>Why this chart</w:t>
      </w:r>
    </w:p>
    <w:p>
      <w:r>
        <w:rPr>
          <w:b w:val="0"/>
        </w:rPr>
        <w:t>A sensitivity table shows how the answer moves with two inputs at once. The colours let the eye find the cut-off, and the numbers give the exact figure. It links the shrink to an outside rule: banks cap the price tag, not the PSF, so when PSF rises the only thing that can give is floor area.</w:t>
      </w:r>
    </w:p>
    <w:p>
      <w:pPr>
        <w:pStyle w:val="Heading4"/>
      </w:pPr>
      <w:r>
        <w:t>Worked example</w:t>
      </w:r>
    </w:p>
    <w:p>
      <w:pPr>
        <w:pStyle w:val="ListBullet"/>
      </w:pPr>
      <w:r>
        <w:rPr>
          <w:b w:val="0"/>
        </w:rPr>
        <w:t>Median income S$12,446 a month. The most that can go to repayments is 55% of that, S$6,845.</w:t>
      </w:r>
    </w:p>
    <w:p>
      <w:pPr>
        <w:pStyle w:val="ListBullet"/>
      </w:pPr>
      <w:r>
        <w:rPr>
          <w:b w:val="0"/>
        </w:rPr>
        <w:t>At 4% over 30 years, S$6,845 a month repays a loan of about S$1.43M.</w:t>
      </w:r>
    </w:p>
    <w:p>
      <w:pPr>
        <w:pStyle w:val="ListBullet"/>
      </w:pPr>
      <w:r>
        <w:rPr>
          <w:b w:val="0"/>
        </w:rPr>
        <w:t>A bank lends at most 75% of the price, so the price limit is S$1.43M ÷ 0.75 = S$1.91M.</w:t>
      </w:r>
    </w:p>
    <w:p>
      <w:pPr>
        <w:pStyle w:val="ListBullet"/>
      </w:pPr>
      <w:r>
        <w:rPr>
          <w:b w:val="0"/>
        </w:rPr>
        <w:t>At S$2,572 per sq ft that is 743 sq ft.</w:t>
      </w:r>
    </w:p>
    <w:p>
      <w:pPr>
        <w:pStyle w:val="Heading4"/>
      </w:pPr>
      <w:r>
        <w:t>Watch out for</w:t>
      </w:r>
    </w:p>
    <w:p>
      <w:r>
        <w:rPr>
          <w:b w:val="0"/>
        </w:rPr>
        <w:t>The model ignores other debts, which lower the limit, and extra cash or CPF beyond the 25% down payment, which raise it. The income figure includes employer CPF contributions, which banks do not count, so real limits are a little lower. Lower interest rates do not change the table, because banks must test at 4% even when the actual rate is lower.</w:t>
      </w:r>
    </w:p>
    <w:p>
      <w:pPr>
        <w:pStyle w:val="Heading4"/>
      </w:pPr>
      <w:r>
        <w:t>If someone asks</w:t>
      </w:r>
    </w:p>
    <w:p>
      <w:pPr>
        <w:pStyle w:val="ListBullet"/>
      </w:pPr>
      <w:r>
        <w:rPr>
          <w:b w:val="0"/>
        </w:rPr>
        <w:t>Why 30 years? It is the longest tenure that still allows a 75% loan. Above 30 years MAS drops the limit to 55%.</w:t>
      </w:r>
    </w:p>
    <w:p>
      <w:pPr>
        <w:pStyle w:val="ListBullet"/>
      </w:pPr>
      <w:r>
        <w:rPr>
          <w:b w:val="0"/>
        </w:rPr>
        <w:t>Why 4%? MAS requires banks to work out repayments at 4% or the actual rate, whichever is higher.</w:t>
      </w:r>
    </w:p>
    <w:p>
      <w:pPr>
        <w:keepNext/>
        <w:pageBreakBefore/>
      </w:pPr>
      <w:r>
        <w:rPr>
          <w:b w:val="0"/>
          <w:color w:val="52514E"/>
        </w:rPr>
        <w:t>Lead into chart 9: "And once URA stopped homes from shrinking, the price tag had nowhere to go but up."</w:t>
      </w:r>
    </w:p>
    <w:p>
      <w:pPr>
        <w:pStyle w:val="Heading3"/>
        <w:pageBreakBefore w:val="0"/>
      </w:pPr>
      <w:r>
        <w:t>Chart 9: waterfall</w:t>
      </w:r>
    </w:p>
    <w:p>
      <w:pPr>
        <w:keepNext/>
      </w:pPr>
      <w:r>
        <w:rPr>
          <w:b/>
          <w:color w:val="C44E1E"/>
          <w:sz w:val="22"/>
        </w:rPr>
        <w:t>Price tag S$1.46M → S$2.18M, driven by PSF (+39%)</w:t>
      </w:r>
    </w:p>
    <w:p>
      <w:pPr>
        <w:jc w:val="center"/>
      </w:pPr>
      <w:r>
        <w:drawing>
          <wp:inline xmlns:a="http://schemas.openxmlformats.org/drawingml/2006/main" xmlns:pic="http://schemas.openxmlformats.org/drawingml/2006/picture">
            <wp:extent cx="2844000" cy="2651186"/>
            <wp:docPr id="18" name="Picture 18"/>
            <wp:cNvGraphicFramePr>
              <a:graphicFrameLocks noChangeAspect="1"/>
            </wp:cNvGraphicFramePr>
            <a:graphic>
              <a:graphicData uri="http://schemas.openxmlformats.org/drawingml/2006/picture">
                <pic:pic>
                  <pic:nvPicPr>
                    <pic:cNvPr id="0" name="09_waterfall.png"/>
                    <pic:cNvPicPr/>
                  </pic:nvPicPr>
                  <pic:blipFill>
                    <a:blip r:embed="rId18"/>
                    <a:stretch>
                      <a:fillRect/>
                    </a:stretch>
                  </pic:blipFill>
                  <pic:spPr>
                    <a:xfrm>
                      <a:off x="0" y="0"/>
                      <a:ext cx="2844000" cy="2651186"/>
                    </a:xfrm>
                    <a:prstGeom prst="rect"/>
                  </pic:spPr>
                </pic:pic>
              </a:graphicData>
            </a:graphic>
          </wp:inline>
        </w:drawing>
      </w:r>
    </w:p>
    <w:p>
      <w:pPr>
        <w:pStyle w:val="Heading4"/>
      </w:pPr>
      <w:r>
        <w:t>What it shows</w:t>
      </w:r>
    </w:p>
    <w:p>
      <w:r>
        <w:rPr>
          <w:b w:val="0"/>
        </w:rPr>
        <w:t>The typical new-launch price in late 2020 (Aug to Dec, the first months in the Lecture 6 file) against 2025, split into the effect of PSF and of floor area. The price rose 49%. Higher PSF added 39% (about S$575,000) and floor area 7% (about S$145,000). Units got slightly bigger, not smaller.</w:t>
      </w:r>
    </w:p>
    <w:p>
      <w:pPr>
        <w:pStyle w:val="Heading4"/>
      </w:pPr>
      <w:r>
        <w:t>How to read it</w:t>
      </w:r>
    </w:p>
    <w:p>
      <w:pPr>
        <w:pStyle w:val="ListBullet"/>
      </w:pPr>
      <w:r>
        <w:rPr>
          <w:b w:val="0"/>
        </w:rPr>
        <w:t>The grey bars are the starting and ending price.</w:t>
      </w:r>
    </w:p>
    <w:p>
      <w:pPr>
        <w:pStyle w:val="ListBullet"/>
      </w:pPr>
      <w:r>
        <w:rPr>
          <w:b w:val="0"/>
        </w:rPr>
        <w:t>The orange step is what higher PSF added, the blue step what the change in floor area added. They stack from left to right.</w:t>
      </w:r>
    </w:p>
    <w:p>
      <w:pPr>
        <w:pStyle w:val="Heading4"/>
      </w:pPr>
      <w:r>
        <w:t>Why this chart</w:t>
      </w:r>
    </w:p>
    <w:p>
      <w:r>
        <w:rPr>
          <w:b w:val="0"/>
        </w:rPr>
        <w:t>A waterfall shows how a total changes through its parts, which is the exact question: did the price tag rise because of PSF or because of size? Before 2019 shrinking pulled the price tag down. Here the size step points up, so the whole PSF rise reaches the buyer.</w:t>
      </w:r>
    </w:p>
    <w:p>
      <w:pPr>
        <w:pStyle w:val="Heading4"/>
      </w:pPr>
      <w:r>
        <w:t>How it was done</w:t>
      </w:r>
    </w:p>
    <w:p>
      <w:pPr>
        <w:pStyle w:val="ListBullet"/>
      </w:pPr>
      <w:r>
        <w:rPr>
          <w:b w:val="0"/>
        </w:rPr>
        <w:t>Geometric means, so log price = log PSF + log floor area splits the change exactly, with nothing left over.</w:t>
      </w:r>
    </w:p>
    <w:p>
      <w:pPr>
        <w:pStyle w:val="ListBullet"/>
      </w:pPr>
      <w:r>
        <w:rPr>
          <w:b w:val="0"/>
        </w:rPr>
        <w:t>Each region (CCR, RCR, OCR) is compared with itself and weighted by its share of 2025 launches (18%, 41% and 41%), so a year with more prime launches does not look like a price rise.</w:t>
      </w:r>
    </w:p>
    <w:p>
      <w:pPr>
        <w:pStyle w:val="Heading4"/>
      </w:pPr>
      <w:r>
        <w:t>Watch out for</w:t>
      </w:r>
    </w:p>
    <w:p>
      <w:r>
        <w:rPr>
          <w:b w:val="0"/>
        </w:rPr>
        <w:t>Late 2020 is only five months, and the projects launching differ from year to year. Since June 2023 URA counts air-conditioner ledges in a unit's strata area, so developers dropped them and reported unit sizes fell about 6% [7]. That makes the +7% a slight underestimate of the space buyers actually gained.</w:t>
      </w:r>
    </w:p>
    <w:p>
      <w:pPr>
        <w:pStyle w:val="Heading4"/>
      </w:pPr>
      <w:r>
        <w:t>If someone asks</w:t>
      </w:r>
    </w:p>
    <w:p>
      <w:pPr>
        <w:pStyle w:val="ListBullet"/>
      </w:pPr>
      <w:r>
        <w:rPr>
          <w:b w:val="0"/>
        </w:rPr>
        <w:t>Why are units getting bigger again? The 2019 cap means a project can build fewer units on the same floor area, so the average unit has to be larger.</w:t>
      </w:r>
    </w:p>
    <w:p>
      <w:pPr>
        <w:pStyle w:val="Heading2"/>
      </w:pPr>
      <w:r>
        <w:t>Design choices across the poster</w:t>
      </w:r>
    </w:p>
    <w:p>
      <w:pPr>
        <w:pStyle w:val="ListBullet"/>
      </w:pPr>
      <w:r>
        <w:rPr>
          <w:b w:val="0"/>
        </w:rPr>
        <w:t>Nine charts of nine different types, each picked for the question it answers.</w:t>
      </w:r>
    </w:p>
    <w:p>
      <w:pPr>
        <w:pStyle w:val="ListBullet"/>
      </w:pPr>
      <w:r>
        <w:rPr>
          <w:b w:val="0"/>
        </w:rPr>
        <w:t>One takeaway line above each chart, with a number that can be read off the chart, and one short comment below it on what it means.</w:t>
      </w:r>
    </w:p>
    <w:p>
      <w:pPr>
        <w:pStyle w:val="ListBullet"/>
      </w:pPr>
      <w:r>
        <w:rPr>
          <w:b w:val="0"/>
        </w:rPr>
        <w:t>Colours carry the same meaning everywhere: orange is new launches, shoeboxes and price pressure; blue is resale and the baseline. Ordered things (eras, size bands, the heat map) use one blue that gets darker. The palette was checked for colour-blind separation.</w:t>
      </w:r>
    </w:p>
    <w:p>
      <w:pPr>
        <w:pStyle w:val="ListBullet"/>
      </w:pPr>
      <w:r>
        <w:rPr>
          <w:b w:val="0"/>
        </w:rPr>
        <w:t>No chart has two y-axes. Two measures on different scales in one chart can suggest a link that is not there.</w:t>
      </w:r>
    </w:p>
    <w:p>
      <w:pPr>
        <w:pStyle w:val="ListBullet"/>
      </w:pPr>
      <w:r>
        <w:rPr>
          <w:b w:val="0"/>
        </w:rPr>
        <w:t>Labels sit next to the data where possible, so nobody has to hunt in a legend.</w:t>
      </w:r>
    </w:p>
    <w:p>
      <w:pPr>
        <w:pStyle w:val="ListBullet"/>
      </w:pPr>
      <w:r>
        <w:rPr>
          <w:b w:val="0"/>
        </w:rPr>
        <w:t>All charts use the same font and sizes and were drawn at the exact size they have on the poster, so nothing is stretched.</w:t>
      </w:r>
    </w:p>
    <w:p>
      <w:pPr>
        <w:pStyle w:val="Heading2"/>
      </w:pPr>
      <w:r>
        <w:t>Limitations</w:t>
      </w:r>
    </w:p>
    <w:p>
      <w:pPr>
        <w:pStyle w:val="ListBullet"/>
      </w:pPr>
      <w:r>
        <w:rPr>
          <w:b w:val="0"/>
        </w:rPr>
        <w:t>Eras are compared at 2025 prices, not their launch prices, and older homes also lose value with age and a shorter lease.</w:t>
      </w:r>
    </w:p>
    <w:p>
      <w:pPr>
        <w:pStyle w:val="ListBullet"/>
      </w:pPr>
      <w:r>
        <w:rPr>
          <w:b w:val="0"/>
        </w:rPr>
        <w:t>The vintage charts only include homes that sold in 2020 to 2025. An era whose homes rarely trade can be under-represented.</w:t>
      </w:r>
    </w:p>
    <w:p>
      <w:pPr>
        <w:pStyle w:val="ListBullet"/>
      </w:pPr>
      <w:r>
        <w:rPr>
          <w:b w:val="0"/>
        </w:rPr>
        <w:t>There is no bedroom count, so size bands stand in for unit types.</w:t>
      </w:r>
    </w:p>
    <w:p>
      <w:pPr>
        <w:pStyle w:val="ListBullet"/>
      </w:pPr>
      <w:r>
        <w:rPr>
          <w:b w:val="0"/>
        </w:rPr>
        <w:t>2024 is missing, and so are Aug to Oct 2021.</w:t>
      </w:r>
    </w:p>
    <w:p>
      <w:pPr>
        <w:pStyle w:val="ListBullet"/>
      </w:pPr>
      <w:r>
        <w:rPr>
          <w:b w:val="0"/>
        </w:rPr>
        <w:t>Households also got smaller: from 4.0 people in 1995 to 3.1 in 2024 [7]. Part of the shrink is buyers wanting less space. But floor area per household member also fell, from 357 sq ft in 2005 to 252 sq ft in 2015 [7], so homes shrank faster than households did.</w:t>
      </w:r>
    </w:p>
    <w:p>
      <w:pPr>
        <w:pStyle w:val="ListBullet"/>
      </w:pPr>
      <w:r>
        <w:rPr>
          <w:b w:val="0"/>
        </w:rPr>
        <w:t>Since June 2023 strata area is measured differently, which lowers reported sizes by about 6% for new launches [7].</w:t>
      </w:r>
    </w:p>
    <w:p>
      <w:pPr>
        <w:pStyle w:val="ListBullet"/>
      </w:pPr>
      <w:r>
        <w:rPr>
          <w:b w:val="0"/>
        </w:rPr>
        <w:t>All results are associations, not proven causes.</w:t>
      </w:r>
    </w:p>
    <w:p>
      <w:pPr>
        <w:pStyle w:val="Heading2"/>
      </w:pPr>
      <w:r>
        <w:t>Key numbers to remember</w:t>
      </w:r>
    </w:p>
    <w:tbl>
      <w:tblPr>
        <w:tblStyle w:val="TableGrid"/>
        <w:tblW w:type="auto" w:w="0"/>
        <w:jc w:val="center"/>
        <w:tblLayout w:type="fixed"/>
        <w:tblLook w:firstColumn="1" w:firstRow="1" w:lastColumn="0" w:lastRow="0" w:noHBand="0" w:noVBand="1" w:val="04A0"/>
      </w:tblPr>
      <w:tblGrid>
        <w:gridCol w:w="2608"/>
        <w:gridCol w:w="5669"/>
        <w:gridCol w:w="1134"/>
      </w:tblGrid>
      <w:tr>
        <w:tc>
          <w:tcPr>
            <w:tcW w:type="dxa" w:w="2608"/>
            <w:shd w:val="clear" w:color="auto" w:fill="E3ECF8"/>
          </w:tcPr>
          <w:p>
            <w:pPr>
              <w:spacing w:after="20" w:line="252" w:lineRule="auto"/>
            </w:pPr>
            <w:r>
              <w:rPr>
                <w:b/>
                <w:sz w:val="18"/>
              </w:rPr>
              <w:t>Number</w:t>
            </w:r>
          </w:p>
        </w:tc>
        <w:tc>
          <w:tcPr>
            <w:tcW w:type="dxa" w:w="5669"/>
            <w:shd w:val="clear" w:color="auto" w:fill="E3ECF8"/>
          </w:tcPr>
          <w:p>
            <w:pPr>
              <w:spacing w:after="20" w:line="252" w:lineRule="auto"/>
            </w:pPr>
            <w:r>
              <w:rPr>
                <w:b/>
                <w:sz w:val="18"/>
              </w:rPr>
              <w:t>What it is</w:t>
            </w:r>
          </w:p>
        </w:tc>
        <w:tc>
          <w:tcPr>
            <w:tcW w:type="dxa" w:w="1134"/>
            <w:shd w:val="clear" w:color="auto" w:fill="E3ECF8"/>
          </w:tcPr>
          <w:p>
            <w:pPr>
              <w:spacing w:after="20" w:line="252" w:lineRule="auto"/>
            </w:pPr>
            <w:r>
              <w:rPr>
                <w:b/>
                <w:sz w:val="18"/>
              </w:rPr>
              <w:t>Chart</w:t>
            </w:r>
          </w:p>
        </w:tc>
      </w:tr>
      <w:tr>
        <w:tc>
          <w:tcPr>
            <w:tcW w:type="dxa" w:w="2608"/>
          </w:tcPr>
          <w:p>
            <w:pPr>
              <w:spacing w:after="20" w:line="252" w:lineRule="auto"/>
            </w:pPr>
            <w:r>
              <w:rPr>
                <w:b/>
                <w:sz w:val="18"/>
              </w:rPr>
              <w:t>797 vs 1,012 sq ft</w:t>
            </w:r>
          </w:p>
        </w:tc>
        <w:tc>
          <w:tcPr>
            <w:tcW w:type="dxa" w:w="5669"/>
          </w:tcPr>
          <w:p>
            <w:pPr>
              <w:spacing w:after="20" w:line="252" w:lineRule="auto"/>
            </w:pPr>
            <w:r>
              <w:rPr>
                <w:b w:val="0"/>
                <w:sz w:val="18"/>
              </w:rPr>
              <w:t>Median new launch vs median resale home, 2025 (−21%)</w:t>
            </w:r>
          </w:p>
        </w:tc>
        <w:tc>
          <w:tcPr>
            <w:tcW w:type="dxa" w:w="1134"/>
          </w:tcPr>
          <w:p>
            <w:pPr>
              <w:spacing w:after="20" w:line="252" w:lineRule="auto"/>
            </w:pPr>
            <w:r>
              <w:rPr>
                <w:b w:val="0"/>
                <w:sz w:val="18"/>
              </w:rPr>
              <w:t>1</w:t>
            </w:r>
          </w:p>
        </w:tc>
      </w:tr>
      <w:tr>
        <w:tc>
          <w:tcPr>
            <w:tcW w:type="dxa" w:w="2608"/>
          </w:tcPr>
          <w:p>
            <w:pPr>
              <w:spacing w:after="20" w:line="252" w:lineRule="auto"/>
            </w:pPr>
            <w:r>
              <w:rPr>
                <w:b/>
                <w:sz w:val="18"/>
              </w:rPr>
              <w:t>18% vs 34%</w:t>
            </w:r>
          </w:p>
        </w:tc>
        <w:tc>
          <w:tcPr>
            <w:tcW w:type="dxa" w:w="5669"/>
          </w:tcPr>
          <w:p>
            <w:pPr>
              <w:spacing w:after="20" w:line="252" w:lineRule="auto"/>
            </w:pPr>
            <w:r>
              <w:rPr>
                <w:b w:val="0"/>
                <w:sz w:val="18"/>
              </w:rPr>
              <w:t>Share of homes of 1,200 sq ft or more, new vs resale</w:t>
            </w:r>
          </w:p>
        </w:tc>
        <w:tc>
          <w:tcPr>
            <w:tcW w:type="dxa" w:w="1134"/>
          </w:tcPr>
          <w:p>
            <w:pPr>
              <w:spacing w:after="20" w:line="252" w:lineRule="auto"/>
            </w:pPr>
            <w:r>
              <w:rPr>
                <w:b w:val="0"/>
                <w:sz w:val="18"/>
              </w:rPr>
              <w:t>1</w:t>
            </w:r>
          </w:p>
        </w:tc>
      </w:tr>
      <w:tr>
        <w:tc>
          <w:tcPr>
            <w:tcW w:type="dxa" w:w="2608"/>
          </w:tcPr>
          <w:p>
            <w:pPr>
              <w:spacing w:after="20" w:line="252" w:lineRule="auto"/>
            </w:pPr>
            <w:r>
              <w:rPr>
                <w:b/>
                <w:sz w:val="18"/>
              </w:rPr>
              <w:t>1,238 → 710 sq ft</w:t>
            </w:r>
          </w:p>
        </w:tc>
        <w:tc>
          <w:tcPr>
            <w:tcW w:type="dxa" w:w="5669"/>
          </w:tcPr>
          <w:p>
            <w:pPr>
              <w:spacing w:after="20" w:line="252" w:lineRule="auto"/>
            </w:pPr>
            <w:r>
              <w:rPr>
                <w:b w:val="0"/>
                <w:sz w:val="18"/>
              </w:rPr>
              <w:t>Median size, land sold 2005–08 vs 2013–15 (−43%)</w:t>
            </w:r>
          </w:p>
        </w:tc>
        <w:tc>
          <w:tcPr>
            <w:tcW w:type="dxa" w:w="1134"/>
          </w:tcPr>
          <w:p>
            <w:pPr>
              <w:spacing w:after="20" w:line="252" w:lineRule="auto"/>
            </w:pPr>
            <w:r>
              <w:rPr>
                <w:b w:val="0"/>
                <w:sz w:val="18"/>
              </w:rPr>
              <w:t>2</w:t>
            </w:r>
          </w:p>
        </w:tc>
      </w:tr>
      <w:tr>
        <w:tc>
          <w:tcPr>
            <w:tcW w:type="dxa" w:w="2608"/>
          </w:tcPr>
          <w:p>
            <w:pPr>
              <w:spacing w:after="20" w:line="252" w:lineRule="auto"/>
            </w:pPr>
            <w:r>
              <w:rPr>
                <w:b/>
                <w:sz w:val="18"/>
              </w:rPr>
              <w:t>1% → 13% → 9%</w:t>
            </w:r>
          </w:p>
        </w:tc>
        <w:tc>
          <w:tcPr>
            <w:tcW w:type="dxa" w:w="5669"/>
          </w:tcPr>
          <w:p>
            <w:pPr>
              <w:spacing w:after="20" w:line="252" w:lineRule="auto"/>
            </w:pPr>
            <w:r>
              <w:rPr>
                <w:b w:val="0"/>
                <w:sz w:val="18"/>
              </w:rPr>
              <w:t>Shoebox share: pre-2009 land, 2013–18 land, post-2019 land</w:t>
            </w:r>
          </w:p>
        </w:tc>
        <w:tc>
          <w:tcPr>
            <w:tcW w:type="dxa" w:w="1134"/>
          </w:tcPr>
          <w:p>
            <w:pPr>
              <w:spacing w:after="20" w:line="252" w:lineRule="auto"/>
            </w:pPr>
            <w:r>
              <w:rPr>
                <w:b w:val="0"/>
                <w:sz w:val="18"/>
              </w:rPr>
              <w:t>3</w:t>
            </w:r>
          </w:p>
        </w:tc>
      </w:tr>
      <w:tr>
        <w:tc>
          <w:tcPr>
            <w:tcW w:type="dxa" w:w="2608"/>
          </w:tcPr>
          <w:p>
            <w:pPr>
              <w:spacing w:after="20" w:line="252" w:lineRule="auto"/>
            </w:pPr>
            <w:r>
              <w:rPr>
                <w:b/>
                <w:sz w:val="18"/>
              </w:rPr>
              <w:t>34% → 8% → 11%</w:t>
            </w:r>
          </w:p>
        </w:tc>
        <w:tc>
          <w:tcPr>
            <w:tcW w:type="dxa" w:w="5669"/>
          </w:tcPr>
          <w:p>
            <w:pPr>
              <w:spacing w:after="20" w:line="252" w:lineRule="auto"/>
            </w:pPr>
            <w:r>
              <w:rPr>
                <w:b w:val="0"/>
                <w:sz w:val="18"/>
              </w:rPr>
              <w:t>Share of homes over 1,300 sq ft, same eras</w:t>
            </w:r>
          </w:p>
        </w:tc>
        <w:tc>
          <w:tcPr>
            <w:tcW w:type="dxa" w:w="1134"/>
          </w:tcPr>
          <w:p>
            <w:pPr>
              <w:spacing w:after="20" w:line="252" w:lineRule="auto"/>
            </w:pPr>
            <w:r>
              <w:rPr>
                <w:b w:val="0"/>
                <w:sz w:val="18"/>
              </w:rPr>
              <w:t>3</w:t>
            </w:r>
          </w:p>
        </w:tc>
      </w:tr>
      <w:tr>
        <w:tc>
          <w:tcPr>
            <w:tcW w:type="dxa" w:w="2608"/>
          </w:tcPr>
          <w:p>
            <w:pPr>
              <w:spacing w:after="20" w:line="252" w:lineRule="auto"/>
            </w:pPr>
            <w:r>
              <w:rPr>
                <w:b/>
                <w:sz w:val="18"/>
              </w:rPr>
              <w:t>−34%</w:t>
            </w:r>
          </w:p>
        </w:tc>
        <w:tc>
          <w:tcPr>
            <w:tcW w:type="dxa" w:w="5669"/>
          </w:tcPr>
          <w:p>
            <w:pPr>
              <w:spacing w:after="20" w:line="252" w:lineRule="auto"/>
            </w:pPr>
            <w:r>
              <w:rPr>
                <w:b w:val="0"/>
                <w:sz w:val="18"/>
              </w:rPr>
              <w:t>Size gap for 2013–18 land within the same district, type and sale year</w:t>
            </w:r>
          </w:p>
        </w:tc>
        <w:tc>
          <w:tcPr>
            <w:tcW w:type="dxa" w:w="1134"/>
          </w:tcPr>
          <w:p>
            <w:pPr>
              <w:spacing w:after="20" w:line="252" w:lineRule="auto"/>
            </w:pPr>
            <w:r>
              <w:rPr>
                <w:b w:val="0"/>
                <w:sz w:val="18"/>
              </w:rPr>
              <w:t>4</w:t>
            </w:r>
          </w:p>
        </w:tc>
      </w:tr>
      <w:tr>
        <w:tc>
          <w:tcPr>
            <w:tcW w:type="dxa" w:w="2608"/>
          </w:tcPr>
          <w:p>
            <w:pPr>
              <w:spacing w:after="20" w:line="252" w:lineRule="auto"/>
            </w:pPr>
            <w:r>
              <w:rPr>
                <w:b/>
                <w:sz w:val="18"/>
              </w:rPr>
              <w:t>S$1.72M → S$1.45M → S$2.05M</w:t>
            </w:r>
          </w:p>
        </w:tc>
        <w:tc>
          <w:tcPr>
            <w:tcW w:type="dxa" w:w="5669"/>
          </w:tcPr>
          <w:p>
            <w:pPr>
              <w:spacing w:after="20" w:line="252" w:lineRule="auto"/>
            </w:pPr>
            <w:r>
              <w:rPr>
                <w:b w:val="0"/>
                <w:sz w:val="18"/>
              </w:rPr>
              <w:t>Median 2025 price: pre-2009 land, 2013–18 land, post-2019 land</w:t>
            </w:r>
          </w:p>
        </w:tc>
        <w:tc>
          <w:tcPr>
            <w:tcW w:type="dxa" w:w="1134"/>
          </w:tcPr>
          <w:p>
            <w:pPr>
              <w:spacing w:after="20" w:line="252" w:lineRule="auto"/>
            </w:pPr>
            <w:r>
              <w:rPr>
                <w:b w:val="0"/>
                <w:sz w:val="18"/>
              </w:rPr>
              <w:t>5</w:t>
            </w:r>
          </w:p>
        </w:tc>
      </w:tr>
      <w:tr>
        <w:tc>
          <w:tcPr>
            <w:tcW w:type="dxa" w:w="2608"/>
          </w:tcPr>
          <w:p>
            <w:pPr>
              <w:spacing w:after="20" w:line="252" w:lineRule="auto"/>
            </w:pPr>
            <w:r>
              <w:rPr>
                <w:b/>
                <w:sz w:val="18"/>
              </w:rPr>
              <w:t>within 1.5%</w:t>
            </w:r>
          </w:p>
        </w:tc>
        <w:tc>
          <w:tcPr>
            <w:tcW w:type="dxa" w:w="5669"/>
          </w:tcPr>
          <w:p>
            <w:pPr>
              <w:spacing w:after="20" w:line="252" w:lineRule="auto"/>
            </w:pPr>
            <w:r>
              <w:rPr>
                <w:b w:val="0"/>
                <w:sz w:val="18"/>
              </w:rPr>
              <w:t>How close every size band's PSF is to its project's PSF</w:t>
            </w:r>
          </w:p>
        </w:tc>
        <w:tc>
          <w:tcPr>
            <w:tcW w:type="dxa" w:w="1134"/>
          </w:tcPr>
          <w:p>
            <w:pPr>
              <w:spacing w:after="20" w:line="252" w:lineRule="auto"/>
            </w:pPr>
            <w:r>
              <w:rPr>
                <w:b w:val="0"/>
                <w:sz w:val="18"/>
              </w:rPr>
              <w:t>6</w:t>
            </w:r>
          </w:p>
        </w:tc>
      </w:tr>
      <w:tr>
        <w:tc>
          <w:tcPr>
            <w:tcW w:type="dxa" w:w="2608"/>
          </w:tcPr>
          <w:p>
            <w:pPr>
              <w:spacing w:after="20" w:line="252" w:lineRule="auto"/>
            </w:pPr>
            <w:r>
              <w:rPr>
                <w:b/>
                <w:sz w:val="18"/>
              </w:rPr>
              <w:t>+6% to +18%</w:t>
            </w:r>
          </w:p>
        </w:tc>
        <w:tc>
          <w:tcPr>
            <w:tcW w:type="dxa" w:w="5669"/>
          </w:tcPr>
          <w:p>
            <w:pPr>
              <w:spacing w:after="20" w:line="252" w:lineRule="auto"/>
            </w:pPr>
            <w:r>
              <w:rPr>
                <w:b w:val="0"/>
                <w:sz w:val="18"/>
              </w:rPr>
              <w:t>How much less affordable than usual homes were in 2007–13 (except 2009)</w:t>
            </w:r>
          </w:p>
        </w:tc>
        <w:tc>
          <w:tcPr>
            <w:tcW w:type="dxa" w:w="1134"/>
          </w:tcPr>
          <w:p>
            <w:pPr>
              <w:spacing w:after="20" w:line="252" w:lineRule="auto"/>
            </w:pPr>
            <w:r>
              <w:rPr>
                <w:b w:val="0"/>
                <w:sz w:val="18"/>
              </w:rPr>
              <w:t>7</w:t>
            </w:r>
          </w:p>
        </w:tc>
      </w:tr>
      <w:tr>
        <w:tc>
          <w:tcPr>
            <w:tcW w:type="dxa" w:w="2608"/>
          </w:tcPr>
          <w:p>
            <w:pPr>
              <w:spacing w:after="20" w:line="252" w:lineRule="auto"/>
            </w:pPr>
            <w:r>
              <w:rPr>
                <w:b/>
                <w:sz w:val="18"/>
              </w:rPr>
              <w:t>S$12,446 → S$1.91M → 743 sq ft</w:t>
            </w:r>
          </w:p>
        </w:tc>
        <w:tc>
          <w:tcPr>
            <w:tcW w:type="dxa" w:w="5669"/>
          </w:tcPr>
          <w:p>
            <w:pPr>
              <w:spacing w:after="20" w:line="252" w:lineRule="auto"/>
            </w:pPr>
            <w:r>
              <w:rPr>
                <w:b w:val="0"/>
                <w:sz w:val="18"/>
              </w:rPr>
              <w:t>Median income, the price it can borrow for, the floor area at 2025 launch PSF</w:t>
            </w:r>
          </w:p>
        </w:tc>
        <w:tc>
          <w:tcPr>
            <w:tcW w:type="dxa" w:w="1134"/>
          </w:tcPr>
          <w:p>
            <w:pPr>
              <w:spacing w:after="20" w:line="252" w:lineRule="auto"/>
            </w:pPr>
            <w:r>
              <w:rPr>
                <w:b w:val="0"/>
                <w:sz w:val="18"/>
              </w:rPr>
              <w:t>8</w:t>
            </w:r>
          </w:p>
        </w:tc>
      </w:tr>
      <w:tr>
        <w:tc>
          <w:tcPr>
            <w:tcW w:type="dxa" w:w="2608"/>
          </w:tcPr>
          <w:p>
            <w:pPr>
              <w:spacing w:after="20" w:line="252" w:lineRule="auto"/>
            </w:pPr>
            <w:r>
              <w:rPr>
                <w:b/>
                <w:sz w:val="18"/>
              </w:rPr>
              <w:t>+49% (PSF +39%, area +7%)</w:t>
            </w:r>
          </w:p>
        </w:tc>
        <w:tc>
          <w:tcPr>
            <w:tcW w:type="dxa" w:w="5669"/>
          </w:tcPr>
          <w:p>
            <w:pPr>
              <w:spacing w:after="20" w:line="252" w:lineRule="auto"/>
            </w:pPr>
            <w:r>
              <w:rPr>
                <w:b w:val="0"/>
                <w:sz w:val="18"/>
              </w:rPr>
              <w:t>Typical new-launch price, late 2020 to 2025</w:t>
            </w:r>
          </w:p>
        </w:tc>
        <w:tc>
          <w:tcPr>
            <w:tcW w:type="dxa" w:w="1134"/>
          </w:tcPr>
          <w:p>
            <w:pPr>
              <w:spacing w:after="20" w:line="252" w:lineRule="auto"/>
            </w:pPr>
            <w:r>
              <w:rPr>
                <w:b w:val="0"/>
                <w:sz w:val="18"/>
              </w:rPr>
              <w:t>9</w:t>
            </w:r>
          </w:p>
        </w:tc>
      </w:tr>
      <w:tr>
        <w:tc>
          <w:tcPr>
            <w:tcW w:type="dxa" w:w="2608"/>
          </w:tcPr>
          <w:p>
            <w:pPr>
              <w:spacing w:after="20" w:line="252" w:lineRule="auto"/>
            </w:pPr>
            <w:r>
              <w:rPr>
                <w:b/>
                <w:sz w:val="18"/>
              </w:rPr>
              <w:t>S$2,572 vs S$1,747</w:t>
            </w:r>
          </w:p>
        </w:tc>
        <w:tc>
          <w:tcPr>
            <w:tcW w:type="dxa" w:w="5669"/>
          </w:tcPr>
          <w:p>
            <w:pPr>
              <w:spacing w:after="20" w:line="252" w:lineRule="auto"/>
            </w:pPr>
            <w:r>
              <w:rPr>
                <w:b w:val="0"/>
                <w:sz w:val="18"/>
              </w:rPr>
              <w:t>Median PSF, new launch vs resale, 2025 (resale gives 47% more space per dollar)</w:t>
            </w:r>
          </w:p>
        </w:tc>
        <w:tc>
          <w:tcPr>
            <w:tcW w:type="dxa" w:w="1134"/>
          </w:tcPr>
          <w:p>
            <w:pPr>
              <w:spacing w:after="20" w:line="252" w:lineRule="auto"/>
            </w:pPr>
            <w:r>
              <w:rPr>
                <w:b w:val="0"/>
                <w:sz w:val="18"/>
              </w:rPr>
              <w:t>1, answer</w:t>
            </w:r>
          </w:p>
        </w:tc>
      </w:tr>
    </w:tbl>
    <w:p/>
    <w:p>
      <w:pPr>
        <w:pStyle w:val="Heading2"/>
      </w:pPr>
      <w:r>
        <w:t>Questions to expect</w:t>
      </w:r>
    </w:p>
    <w:p>
      <w:r>
        <w:rPr>
          <w:b/>
        </w:rPr>
        <w:t>Isn't this just smaller families?</w:t>
      </w:r>
      <w:r>
        <w:rPr>
          <w:b w:val="0"/>
        </w:rPr>
        <w:t xml:space="preserve"> Partly, but homes shrank faster. Floor area per household member fell by about a quarter from 2005 to 2015, so households got less space per person, not just smaller homes for smaller households.</w:t>
      </w:r>
    </w:p>
    <w:p>
      <w:r>
        <w:rPr>
          <w:b/>
        </w:rPr>
        <w:t>Isn't this just inflation?</w:t>
      </w:r>
      <w:r>
        <w:rPr>
          <w:b w:val="0"/>
        </w:rPr>
        <w:t xml:space="preserve"> Shrinkflation is about what you get for the price tag. Up to 2019 the price tag was held down by shrinking. From 2020 to 2025 the rise came from PSF, and size went slightly up.</w:t>
      </w:r>
    </w:p>
    <w:p>
      <w:r>
        <w:rPr>
          <w:b/>
        </w:rPr>
        <w:t>Why lease-start year and not completion year?</w:t>
      </w:r>
      <w:r>
        <w:rPr>
          <w:b w:val="0"/>
        </w:rPr>
        <w:t xml:space="preserve"> The land sale is when the developer decides the sizes, and completion comes three to five years later. The data also has no completion year.</w:t>
      </w:r>
    </w:p>
    <w:p>
      <w:r>
        <w:rPr>
          <w:b/>
        </w:rPr>
        <w:t>Is the shrink good or bad?</w:t>
      </w:r>
      <w:r>
        <w:rPr>
          <w:b w:val="0"/>
        </w:rPr>
        <w:t xml:space="preserve"> It kept price tags lower but gave buyers less space. The 2019 cap chose space over a lower price tag, and the cost of that shows up in chart 9.</w:t>
      </w:r>
    </w:p>
    <w:p>
      <w:r>
        <w:rPr>
          <w:b/>
        </w:rPr>
        <w:t>What does it mean for a buyer?</w:t>
      </w:r>
      <w:r>
        <w:rPr>
          <w:b w:val="0"/>
        </w:rPr>
        <w:t xml:space="preserve"> Compare PSF and space, not the price tag. In 2025 a resale home gives 47% more floor area per dollar than a new launch (S$1,747 against S$2,572 per sq ft), in exchange for an older building and a shorter lease.</w:t>
      </w:r>
    </w:p>
    <w:p>
      <w:r>
        <w:rPr>
          <w:b/>
        </w:rPr>
        <w:t>And for policy?</w:t>
      </w:r>
      <w:r>
        <w:rPr>
          <w:b w:val="0"/>
        </w:rPr>
        <w:t xml:space="preserve"> With unit sizes capped, affordability now depends on land supply and income growth. Developers can no longer shrink their way to a lower price tag, so they compete on layouts that waste less space.</w:t>
      </w:r>
    </w:p>
    <w:p>
      <w:r>
        <w:rPr>
          <w:b/>
        </w:rPr>
        <w:t>Does the cap set a minimum flat size?</w:t>
      </w:r>
      <w:r>
        <w:rPr>
          <w:b w:val="0"/>
        </w:rPr>
        <w:t xml:space="preserve"> No. It caps how many units a project may have, which sets a floor on the average. Single small units are still allowed.</w:t>
      </w:r>
    </w:p>
    <w:p>
      <w:r>
        <w:rPr>
          <w:b/>
        </w:rPr>
        <w:t>Why are post-2019 medians below 85 m²?</w:t>
      </w:r>
      <w:r>
        <w:rPr>
          <w:b w:val="0"/>
        </w:rPr>
        <w:t xml:space="preserve"> The cap counts gross floor area, which includes a share of common space, so the flat itself is smaller. Medians also sit below averages because a few big units pull the average up.</w:t>
      </w:r>
    </w:p>
    <w:p>
      <w:r>
        <w:rPr>
          <w:b/>
        </w:rPr>
        <w:t>Did the cap cause the shrink to stop?</w:t>
      </w:r>
      <w:r>
        <w:rPr>
          <w:b w:val="0"/>
        </w:rPr>
        <w:t xml:space="preserve"> The timing fits and the cap was designed to do it, but our charts show timing, not proof.</w:t>
      </w:r>
    </w:p>
    <w:p>
      <w:r>
        <w:rPr>
          <w:b/>
        </w:rPr>
        <w:t>What would you do with more time?</w:t>
      </w:r>
      <w:r>
        <w:rPr>
          <w:b w:val="0"/>
        </w:rPr>
        <w:t xml:space="preserve"> Get launch prices from 2005 to 2019 from URA REALIS to see the price tags at the time, add bedroom counts, and compare projects whose land was sold just before and just after the 2019 cap.</w:t>
      </w:r>
    </w:p>
    <w:p>
      <w:pPr>
        <w:pStyle w:val="Heading2"/>
      </w:pPr>
      <w:r>
        <w:t>Sources</w:t>
      </w:r>
    </w:p>
    <w:p>
      <w:r>
        <w:rPr>
          <w:b w:val="0"/>
          <w:sz w:val="18"/>
        </w:rPr>
        <w:t>[1] URA REALIS private residential transactions: properties2025.csv (course dataset) and properties23.csv (Lecture 6).</w:t>
      </w:r>
    </w:p>
    <w:p>
      <w:r>
        <w:rPr>
          <w:b w:val="0"/>
          <w:sz w:val="18"/>
        </w:rPr>
        <w:t>[2] URA, Private Residential Property Price Index (1Q2009 = 100), quarterly. https://data.gov.sg/datasets/d_97f8a2e995022d311c6c68cfda6d034c/view</w:t>
      </w:r>
    </w:p>
    <w:p>
      <w:r>
        <w:rPr>
          <w:b w:val="0"/>
          <w:sz w:val="18"/>
        </w:rPr>
        <w:t>[3] SingStat, change in median household employment income, 2000 to 2025. https://data.gov.sg/datasets/d_968496622a54acf5f67256434453b94c/view. Median household income S$12,446: Key Household Income Trends 2025, press release of 9 Feb 2026.</w:t>
      </w:r>
    </w:p>
    <w:p>
      <w:r>
        <w:rPr>
          <w:b w:val="0"/>
          <w:sz w:val="18"/>
        </w:rPr>
        <w:t>[4] MAS, TDSR of 55% (from 16 Dec 2021) and 4% interest rate floor (from 30 Sep 2022); loan tenure and LTV limits. https://www.mas.gov.sg/regulation/explainers/new-housing-loans/loan-tenure-and-loan-to-value-limits</w:t>
      </w:r>
    </w:p>
    <w:p>
      <w:r>
        <w:rPr>
          <w:b w:val="0"/>
          <w:sz w:val="18"/>
        </w:rPr>
        <w:t>[5] URA circular DC18-06, 17 Oct 2018. https://www.ura.gov.sg/guidelines/archived-circulars/dc18-06/</w:t>
      </w:r>
    </w:p>
    <w:p>
      <w:r>
        <w:rPr>
          <w:b w:val="0"/>
          <w:sz w:val="18"/>
        </w:rPr>
        <w:t>[6] ONS (2019), The impact of shrinkflation on CPIH, UK. https://www.ons.gov.uk/economy/inflationandpriceindices/articles/theimpactofshrinkflationoncpihuk/howmanyofourproductsaregettingsmaller</w:t>
      </w:r>
    </w:p>
    <w:p>
      <w:r>
        <w:rPr>
          <w:b w:val="0"/>
          <w:sz w:val="18"/>
        </w:rPr>
        <w:t>[7] Lee Sze Teck (Huttons), Are home sizes in Singapore shrinking?, EdgeProp, 7 Mar 2025. https://www.edgeprop.sg/property-news/are-home-sizes-singapore-shrinking</w:t>
      </w:r>
    </w:p>
    <w:p>
      <w:r>
        <w:rPr>
          <w:b w:val="0"/>
          <w:sz w:val="18"/>
        </w:rPr>
        <w:t>[8] EdgeProp, URA curbs excessive development of shoebox units, 17 Oct 2018. https://edgeprop.sg/property-news/ura-curbs-excessive-development-shoebox-units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Arial" w:hAnsi="Arial"/>
      <w:b/>
      <w:bCs/>
      <w:color w:val="0D366B"/>
      <w:sz w:val="32"/>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Arial" w:hAnsi="Arial"/>
      <w:b/>
      <w:bCs/>
      <w:color w:val="0D36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color w:val="0D36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Arial" w:hAnsi="Arial"/>
      <w:b/>
      <w:bCs/>
      <w:i w:val="0"/>
      <w:iCs/>
      <w:color w:val="5251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olor w:val="0D36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