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150" w:rsidRDefault="00563150" w:rsidP="00563150">
      <w:pPr>
        <w:pStyle w:val="NormalWeb"/>
        <w:shd w:val="clear" w:color="auto" w:fill="FFFFFF"/>
        <w:spacing w:before="0" w:beforeAutospacing="0" w:after="165" w:afterAutospacing="0"/>
        <w:rPr>
          <w:rFonts w:ascii="Georgia" w:hAnsi="Georgia"/>
          <w:color w:val="71716E"/>
          <w:sz w:val="27"/>
          <w:szCs w:val="27"/>
        </w:rPr>
      </w:pPr>
      <w:r>
        <w:rPr>
          <w:rFonts w:ascii="Georgia" w:hAnsi="Georgia"/>
          <w:color w:val="71716E"/>
          <w:sz w:val="27"/>
          <w:szCs w:val="27"/>
        </w:rPr>
        <w:t>“À ce jour, et sous réserve d’en faire un usage strictement nécessaire au fonctionnement et aux opérations d’administration courante du site web ou de l’application, sont identifiées comme pouvant être configurées pour rentrer dans le périmètre de l’exemption au recueil de consentement les solutions suivantes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 la solution Analytics Suite Delta de AT Internet dans sa version disponible à la date du 30 mars 2021 et visée par </w:t>
      </w:r>
      <w:hyperlink r:id="rId5" w:tgtFrame="_blank" w:tooltip="Guide de configuration - Exemption mesure d'audience ATInternet (PDF, 839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 la solution SmartProfile de Net Solution Partner dans sa version 21 et visée par </w:t>
      </w:r>
      <w:hyperlink r:id="rId6" w:tgtFrame="_blank" w:tooltip="Guide de configuration - Exemption mesure d'audience SmartProfile (PDF, 290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Wysistat Business de Wysistat dans sa version 12.1 et visée par </w:t>
      </w:r>
      <w:hyperlink r:id="rId7" w:tgtFrame="_blank" w:tooltip="Guide de configuration - Exemption mesure d'audience Wysistat (PDF, 380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Piwik PRO Analytics Suite de Piwik PRO dans sa version 15.2.0  et visée par </w:t>
      </w:r>
      <w:hyperlink r:id="rId8" w:tgtFrame="_blank" w:tooltip="Guide de configuration - Exemption mesure d'audience Piwik pro (PDF, 204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Abla Analytics de Astra Porta dans sa version 1.9  et visée par </w:t>
      </w:r>
      <w:hyperlink r:id="rId9" w:tgtFrame="_blank" w:tooltip="Guide de configuration - Exemption mesure d'audience Abla analytics (PDF, 27,3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BEYABLE Analytics de BEYABLE dans sa version 1.0 et visée par </w:t>
      </w:r>
      <w:hyperlink r:id="rId10" w:tgtFrame="_blank" w:tooltip="Guide de configuration - BEYABLE Analytics (PDF, 268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etracker Analytics (Basic, Pro, Entreprise) de etracker dans sa version disponible à la date du 4 août 2021 et visée par </w:t>
      </w:r>
      <w:hyperlink r:id="rId11" w:tgtFrame="_blank" w:tooltip="Guide de configuration - Exemption mesure d'audience etracker (PDF, 216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Retency Web Audience de Retency dans sa version 1.0 et visée par </w:t>
      </w:r>
      <w:hyperlink r:id="rId12" w:tgtFrame="_blank" w:tooltip="Guide de configuration - Exemption mesure d'audience Retency (PDF, 272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Nonli de Nonli dans sa version 2.0 et visée par </w:t>
      </w:r>
      <w:hyperlink r:id="rId13" w:tgtFrame="_blank" w:tooltip="Guide de configuration - Exemption mesure d'audience Nonli (PDF, 354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CS Digital de Contentsquare dans sa version 10 et visée par </w:t>
      </w:r>
      <w:hyperlink r:id="rId14" w:tgtFrame="_blank" w:tooltip="Guide de configuration - Exemption mesure d'audience Contentsquare (PDF, 1,3 M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Matomo Analytics de Matomo dans sa version 4 et visée par </w:t>
      </w:r>
      <w:hyperlink r:id="rId15" w:tgtFrame="_blank" w:tooltip="Guide de configuration - Exemption mesure d'audience Matomo (PDF, 265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Wizaly de Wizaly SAS dans sa version 12 et visée par </w:t>
      </w:r>
      <w:hyperlink r:id="rId16" w:tgtFrame="_blank" w:tooltip="Guide de configuration - Exemption mesure d'audience Wizaly (PDF, 614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Compass de Marfeel Solutions dans sa version 1.0  et visée par </w:t>
      </w:r>
      <w:hyperlink r:id="rId17" w:tgtFrame="_blank" w:tooltip="Guide de configuration - Exemption mesure d'audience Compass de Marfeel Solutions (PDF, 296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Statshop de Web2Roi dans sa version 1.8 et visée par </w:t>
      </w:r>
      <w:hyperlink r:id="rId18" w:tgtFrame="_blank" w:tooltip="Guide de configuration - Statshop (PDF, 205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Eulerian de Eulerian Technologies dans sa version 6 et visée par </w:t>
      </w:r>
      <w:hyperlink r:id="rId19" w:tgtFrame="_blank" w:tooltip="Guide de paramétrage - Eulerian (PDF, 471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Thank-You Marketing Analytics de Thank-You dans sa version 2.0 et visée par </w:t>
      </w:r>
      <w:hyperlink r:id="rId20" w:tgtFrame="_blank" w:tooltip="Guide de configuration - Thank-You Marketing Analytics (PDF, 129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lastRenderedPageBreak/>
        <w:t>la solution eStat Streaming de Médiamétrie dans ses versions JavaScript/TypeScript : 7.2.2 ; Apple : 6.0.0 ; Android : 6.0.0 et visée par </w:t>
      </w:r>
      <w:hyperlink r:id="rId21" w:tgtFrame="_blank" w:tooltip="Guide de configuration - eStat Streaming de Médiamétrie (PDF, 253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 TrustCommander de Commanders Act dans sa version TRUST 2.0 et visée par </w:t>
      </w:r>
      <w:hyperlink r:id="rId22" w:tgtFrame="_blank" w:tooltip="Guide configuration mesure d'audience exemptée TrustCommander (PDF, 454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 ;</w:t>
      </w:r>
    </w:p>
    <w:p w:rsidR="00563150" w:rsidRDefault="00563150" w:rsidP="00563150">
      <w:pPr>
        <w:numPr>
          <w:ilvl w:val="0"/>
          <w:numId w:val="1"/>
        </w:numPr>
        <w:shd w:val="clear" w:color="auto" w:fill="FFFFFF"/>
        <w:spacing w:before="100" w:beforeAutospacing="1" w:after="150"/>
        <w:rPr>
          <w:rFonts w:ascii="Georgia" w:eastAsia="Times New Roman" w:hAnsi="Georgia"/>
          <w:color w:val="71716E"/>
          <w:sz w:val="24"/>
          <w:szCs w:val="24"/>
        </w:rPr>
      </w:pPr>
      <w:r>
        <w:rPr>
          <w:rFonts w:ascii="Georgia" w:eastAsia="Times New Roman" w:hAnsi="Georgia"/>
          <w:color w:val="71716E"/>
          <w:sz w:val="24"/>
          <w:szCs w:val="24"/>
        </w:rPr>
        <w:t>la solution</w:t>
      </w:r>
      <w:r>
        <w:rPr>
          <w:rStyle w:val="Emphasis"/>
          <w:rFonts w:ascii="Georgia" w:eastAsia="Times New Roman" w:hAnsi="Georgia"/>
          <w:color w:val="71716E"/>
          <w:sz w:val="24"/>
          <w:szCs w:val="24"/>
        </w:rPr>
        <w:t> </w:t>
      </w:r>
      <w:r>
        <w:rPr>
          <w:rFonts w:ascii="Georgia" w:eastAsia="Times New Roman" w:hAnsi="Georgia"/>
          <w:color w:val="71716E"/>
          <w:sz w:val="24"/>
          <w:szCs w:val="24"/>
        </w:rPr>
        <w:t>Alphalyr Analytics de Alphalyr dans sa version 1.1 et visée par </w:t>
      </w:r>
      <w:hyperlink r:id="rId23" w:tgtFrame="_blank" w:tooltip="Guide de configuration - Alphalyr analytics (PDF, 288 ko) - Nouvelle fenêtre" w:history="1">
        <w:r>
          <w:rPr>
            <w:rStyle w:val="Hyperlink"/>
            <w:rFonts w:eastAsia="Times New Roman"/>
            <w:color w:val="4596EC"/>
            <w:sz w:val="24"/>
            <w:szCs w:val="24"/>
          </w:rPr>
          <w:t>ce guide de configuration</w:t>
        </w:r>
      </w:hyperlink>
      <w:r>
        <w:rPr>
          <w:rFonts w:ascii="Georgia" w:eastAsia="Times New Roman" w:hAnsi="Georgia"/>
          <w:color w:val="71716E"/>
          <w:sz w:val="24"/>
          <w:szCs w:val="24"/>
        </w:rPr>
        <w:t>.</w:t>
      </w:r>
    </w:p>
    <w:p w:rsidR="00C0233C" w:rsidRPr="00B5350C" w:rsidRDefault="00C0233C">
      <w:pPr>
        <w:rPr>
          <w:rFonts w:ascii="Georgia" w:hAnsi="Georgia"/>
          <w:sz w:val="20"/>
          <w:szCs w:val="20"/>
        </w:rPr>
      </w:pPr>
      <w:bookmarkStart w:id="0" w:name="_GoBack"/>
      <w:bookmarkEnd w:id="0"/>
    </w:p>
    <w:sectPr w:rsidR="00C0233C" w:rsidRPr="00B5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0522"/>
    <w:multiLevelType w:val="multilevel"/>
    <w:tmpl w:val="213E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50"/>
    <w:rsid w:val="002E519D"/>
    <w:rsid w:val="00563150"/>
    <w:rsid w:val="00933A79"/>
    <w:rsid w:val="00B5350C"/>
    <w:rsid w:val="00C02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7D3C9-0BEC-4A77-A6BE-F6F164AD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150"/>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3150"/>
    <w:rPr>
      <w:color w:val="0563C1"/>
      <w:u w:val="single"/>
    </w:rPr>
  </w:style>
  <w:style w:type="paragraph" w:styleId="NormalWeb">
    <w:name w:val="Normal (Web)"/>
    <w:basedOn w:val="Normal"/>
    <w:uiPriority w:val="99"/>
    <w:semiHidden/>
    <w:unhideWhenUsed/>
    <w:rsid w:val="00563150"/>
    <w:pPr>
      <w:spacing w:before="100" w:beforeAutospacing="1" w:after="100" w:afterAutospacing="1"/>
    </w:pPr>
    <w:rPr>
      <w:lang w:eastAsia="en-GB"/>
    </w:rPr>
  </w:style>
  <w:style w:type="character" w:styleId="Emphasis">
    <w:name w:val="Emphasis"/>
    <w:basedOn w:val="DefaultParagraphFont"/>
    <w:uiPriority w:val="20"/>
    <w:qFormat/>
    <w:rsid w:val="00563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0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sites/default/files/atoms/files/exemption_pour_la_mesure_daudience_sans_consentement_piwik.pdf" TargetMode="External"/><Relationship Id="rId13" Type="http://schemas.openxmlformats.org/officeDocument/2006/relationships/hyperlink" Target="https://www.cnil.fr/sites/default/files/atoms/files/nonli_-_guide_de_configuration_-_solution_de_mesure_daudience_exemptee.pdf" TargetMode="External"/><Relationship Id="rId18" Type="http://schemas.openxmlformats.org/officeDocument/2006/relationships/hyperlink" Target="https://www.cnil.fr/sites/default/files/atoms/files/guide_utilisateur_exempt_final.pdf" TargetMode="External"/><Relationship Id="rId3" Type="http://schemas.openxmlformats.org/officeDocument/2006/relationships/settings" Target="settings.xml"/><Relationship Id="rId21" Type="http://schemas.openxmlformats.org/officeDocument/2006/relationships/hyperlink" Target="https://www.cnil.fr/sites/default/files/atoms/files/guide_de_configuration_estatstreaming_-_exemption_de_consentement.pdf" TargetMode="External"/><Relationship Id="rId7" Type="http://schemas.openxmlformats.org/officeDocument/2006/relationships/hyperlink" Target="https://www.cnil.fr/sites/default/files/atoms/files/wysistat_-_guide_de_configuration_pour_mesure_daudience_exemptee.pdf" TargetMode="External"/><Relationship Id="rId12" Type="http://schemas.openxmlformats.org/officeDocument/2006/relationships/hyperlink" Target="https://www.cnil.fr/sites/default/files/atoms/files/retency_-_guide_de_configuration_-_solution_de_mesure_daudience_exemptee.pdf" TargetMode="External"/><Relationship Id="rId17" Type="http://schemas.openxmlformats.org/officeDocument/2006/relationships/hyperlink" Target="https://www.cnil.fr/sites/default/files/atoms/files/marfeel_compass_-_guide_de_configuration_-_exemption_de_mesure_daudienc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il.fr/sites/default/files/atoms/files/wizaly_-_guide_de_configuration_collecte_hors_consentement.pdf" TargetMode="External"/><Relationship Id="rId20" Type="http://schemas.openxmlformats.org/officeDocument/2006/relationships/hyperlink" Target="https://www.cnil.fr/sites/default/files/atoms/files/guide-de-configuration_thank-you.pdf" TargetMode="External"/><Relationship Id="rId1" Type="http://schemas.openxmlformats.org/officeDocument/2006/relationships/numbering" Target="numbering.xml"/><Relationship Id="rId6" Type="http://schemas.openxmlformats.org/officeDocument/2006/relationships/hyperlink" Target="https://www.cnil.fr/sites/default/files/atoms/files/smartprofile_-_guide_de_configuration_-_solution_exemptee.pdf" TargetMode="External"/><Relationship Id="rId11" Type="http://schemas.openxmlformats.org/officeDocument/2006/relationships/hyperlink" Target="https://www.cnil.fr/sites/default/files/atoms/files/etracker_-_guide_de_configuration_solution_de_mesure_daudience_exemptee.pdf" TargetMode="External"/><Relationship Id="rId24" Type="http://schemas.openxmlformats.org/officeDocument/2006/relationships/fontTable" Target="fontTable.xml"/><Relationship Id="rId5" Type="http://schemas.openxmlformats.org/officeDocument/2006/relationships/hyperlink" Target="https://www.cnil.fr/sites/default/files/atoms/files/atinternet_-_guide_de_configuration_-_solution_exemptee_0.pdf" TargetMode="External"/><Relationship Id="rId15" Type="http://schemas.openxmlformats.org/officeDocument/2006/relationships/hyperlink" Target="https://www.cnil.fr/sites/default/files/atoms/files/matomo_analytics_-_exemption_-_guide_de_configuration.pdf" TargetMode="External"/><Relationship Id="rId23" Type="http://schemas.openxmlformats.org/officeDocument/2006/relationships/hyperlink" Target="https://www.cnil.fr/sites/default/files/atoms/files/alphalyr-analytics-guide-de-configuration_-_exemption_de_mesure_daudience.pdf" TargetMode="External"/><Relationship Id="rId10" Type="http://schemas.openxmlformats.org/officeDocument/2006/relationships/hyperlink" Target="https://www.cnil.fr/sites/default/files/atoms/files/beyable_analytics_-_guide_de_configuration_-_mode_exempte.pdf" TargetMode="External"/><Relationship Id="rId19" Type="http://schemas.openxmlformats.org/officeDocument/2006/relationships/hyperlink" Target="https://www.cnil.fr/sites/default/files/atoms/files/eulerian_-_guide_de_parametrage.pdf" TargetMode="External"/><Relationship Id="rId4" Type="http://schemas.openxmlformats.org/officeDocument/2006/relationships/webSettings" Target="webSettings.xml"/><Relationship Id="rId9" Type="http://schemas.openxmlformats.org/officeDocument/2006/relationships/hyperlink" Target="https://www.cnil.fr/sites/default/files/atoms/files/guide_de_configuration_exemption_cnil_abla_analytics.pdf" TargetMode="External"/><Relationship Id="rId14" Type="http://schemas.openxmlformats.org/officeDocument/2006/relationships/hyperlink" Target="https://www.cnil.fr/sites/default/files/atoms/files/contentsquare_-_guide_de_configuration_solution_de_mesure_daudience_exemptee.pdf" TargetMode="External"/><Relationship Id="rId22" Type="http://schemas.openxmlformats.org/officeDocument/2006/relationships/hyperlink" Target="https://www.cnil.fr/sites/default/files/atoms/files/guide_configuration_mesure_daudience_exemptee_trustcommander.pdf" TargetMode="External"/></Relationships>
</file>

<file path=word/theme/theme1.xml><?xml version="1.0" encoding="utf-8"?>
<a:theme xmlns:a="http://schemas.openxmlformats.org/drawingml/2006/main" name="Office Theme">
  <a:themeElements>
    <a:clrScheme name="Corporate Colours">
      <a:dk1>
        <a:srgbClr val="585E62"/>
      </a:dk1>
      <a:lt1>
        <a:sysClr val="window" lastClr="FFFFFF"/>
      </a:lt1>
      <a:dk2>
        <a:srgbClr val="CCE226"/>
      </a:dk2>
      <a:lt2>
        <a:srgbClr val="939798"/>
      </a:lt2>
      <a:accent1>
        <a:srgbClr val="CCE226"/>
      </a:accent1>
      <a:accent2>
        <a:srgbClr val="939798"/>
      </a:accent2>
      <a:accent3>
        <a:srgbClr val="DEE1E3"/>
      </a:accent3>
      <a:accent4>
        <a:srgbClr val="E9EEAE"/>
      </a:accent4>
      <a:accent5>
        <a:srgbClr val="56595A"/>
      </a:accent5>
      <a:accent6>
        <a:srgbClr val="ADB3B7"/>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1042</Words>
  <Characters>5941</Characters>
  <Application>Microsoft Office Word</Application>
  <DocSecurity>0</DocSecurity>
  <Lines>49</Lines>
  <Paragraphs>13</Paragraphs>
  <ScaleCrop>false</ScaleCrop>
  <Company>"Lombard International Assurance S.A."</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Verdier</dc:creator>
  <cp:keywords/>
  <dc:description/>
  <cp:lastModifiedBy>Bastien Verdier</cp:lastModifiedBy>
  <cp:revision>1</cp:revision>
  <dcterms:created xsi:type="dcterms:W3CDTF">2022-12-05T10:18:00Z</dcterms:created>
  <dcterms:modified xsi:type="dcterms:W3CDTF">2022-12-05T10:19:00Z</dcterms:modified>
</cp:coreProperties>
</file>