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[benchmark</w:t>
      </w:r>
      <w:r>
        <w:t xml:space="preserve"> </w:t>
      </w:r>
      <w:r>
        <w:t xml:space="preserve">data]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baseline-fixation-durations-for-all-studies-ffd"/>
      <w:bookmarkEnd w:id="21"/>
      <w:r>
        <w:t xml:space="preserve">Baseline fixation durations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[242.54, 251.9]</w:t>
            </w:r>
          </w:p>
        </w:tc>
        <w:tc>
          <w:p>
            <w:pPr>
              <w:pStyle w:val="Compact"/>
              <w:jc w:val="left"/>
            </w:pPr>
            <w:r>
              <w:t xml:space="preserve">21.54 (1.81) [18.28, 25.42]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[242.43, 251.77]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247.23 (2.37) [242.6, 251.88]</w:t>
            </w:r>
          </w:p>
        </w:tc>
        <w:tc>
          <w:p>
            <w:pPr>
              <w:pStyle w:val="Compact"/>
              <w:jc w:val="left"/>
            </w:pPr>
            <w:r>
              <w:t xml:space="preserve">21.39 (1.77) [18.21, 25.16]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247.07 (3.07) [242.49, 251.73]</w:t>
            </w:r>
          </w:p>
        </w:tc>
        <w:tc>
          <w:p>
            <w:pPr>
              <w:pStyle w:val="Compact"/>
              <w:jc w:val="left"/>
            </w:pPr>
            <w:r>
              <w:t xml:space="preserve">21.39 (1.78) [18.23, 25.14]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[242.57, 251.91]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[242.4, 251.72]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baseline-fixation-durations-for-all-studies-sfd"/>
      <w:bookmarkEnd w:id="22"/>
      <w:r>
        <w:t xml:space="preserve">Baseline fixation durations for all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250.45 (3.82) [242.96, 257.93]</w:t>
            </w:r>
          </w:p>
        </w:tc>
        <w:tc>
          <w:p>
            <w:pPr>
              <w:pStyle w:val="Compact"/>
              <w:jc w:val="left"/>
            </w:pPr>
            <w:r>
              <w:t xml:space="preserve">23.89 (2.94) [18.89, 30.38]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250.05 (3.8) [242.51, 257.45]</w:t>
            </w:r>
          </w:p>
        </w:tc>
        <w:tc>
          <w:p>
            <w:pPr>
              <w:pStyle w:val="Compact"/>
              <w:jc w:val="left"/>
            </w:pPr>
            <w:r>
              <w:t xml:space="preserve">23.87 (2.92) [18.85, 30.31]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250.44 (3.74) [243.03, 257.82]</w:t>
            </w:r>
          </w:p>
        </w:tc>
        <w:tc>
          <w:p>
            <w:pPr>
              <w:pStyle w:val="Compact"/>
              <w:jc w:val="left"/>
            </w:pPr>
            <w:r>
              <w:t xml:space="preserve">23.52 (2.84) [18.69, 29.79]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250.05 (4.25) [242.68, 257.42]</w:t>
            </w:r>
          </w:p>
        </w:tc>
        <w:tc>
          <w:p>
            <w:pPr>
              <w:pStyle w:val="Compact"/>
              <w:jc w:val="left"/>
            </w:pPr>
            <w:r>
              <w:t xml:space="preserve">23.55 (2.86) [18.69, 29.81]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250.4 (3.83) [242.83, 257.99]</w:t>
            </w:r>
          </w:p>
        </w:tc>
        <w:tc>
          <w:p>
            <w:pPr>
              <w:pStyle w:val="Compact"/>
              <w:jc w:val="left"/>
            </w:pPr>
            <w:r>
              <w:t xml:space="preserve">23.86 (2.91) [18.89, 30.32]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250.07 (3.82) [242.51, 257.59]</w:t>
            </w:r>
          </w:p>
        </w:tc>
        <w:tc>
          <w:p>
            <w:pPr>
              <w:pStyle w:val="Compact"/>
              <w:jc w:val="left"/>
            </w:pPr>
            <w:r>
              <w:t xml:space="preserve">23.86 (2.93) [18.86, 30.42]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baseline-fixation-durations-for-all-studies-gd"/>
      <w:bookmarkEnd w:id="23"/>
      <w:r>
        <w:t xml:space="preserve">Baseline fixation durations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284.22 (3.77) [276.81, 291.71]</w:t>
            </w:r>
          </w:p>
        </w:tc>
        <w:tc>
          <w:p>
            <w:pPr>
              <w:pStyle w:val="Compact"/>
              <w:jc w:val="left"/>
            </w:pPr>
            <w:r>
              <w:t xml:space="preserve">35.89 (2.83) [30.76, 41.93]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283.82 (3.76) [276.49, 291.24]</w:t>
            </w:r>
          </w:p>
        </w:tc>
        <w:tc>
          <w:p>
            <w:pPr>
              <w:pStyle w:val="Compact"/>
              <w:jc w:val="left"/>
            </w:pPr>
            <w:r>
              <w:t xml:space="preserve">35.91 (2.83) [30.84, 41.97]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284.2 (3.77) [276.81, 291.62]</w:t>
            </w:r>
          </w:p>
        </w:tc>
        <w:tc>
          <w:p>
            <w:pPr>
              <w:pStyle w:val="Compact"/>
              <w:jc w:val="left"/>
            </w:pPr>
            <w:r>
              <w:t xml:space="preserve">35.69 (2.8) [30.66,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283.8 (4.4) [276.37, 291.23]</w:t>
            </w:r>
          </w:p>
        </w:tc>
        <w:tc>
          <w:p>
            <w:pPr>
              <w:pStyle w:val="Compact"/>
              <w:jc w:val="left"/>
            </w:pPr>
            <w:r>
              <w:t xml:space="preserve">35.7 (2.82) [30.69,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284.18 (3.78) [276.75, 291.59]</w:t>
            </w:r>
          </w:p>
        </w:tc>
        <w:tc>
          <w:p>
            <w:pPr>
              <w:pStyle w:val="Compact"/>
              <w:jc w:val="left"/>
            </w:pPr>
            <w:r>
              <w:t xml:space="preserve">35.89 (2.81) [30.84, 41.8]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283.8 (3.74) [276.53, 291.12]</w:t>
            </w:r>
          </w:p>
        </w:tc>
        <w:tc>
          <w:p>
            <w:pPr>
              <w:pStyle w:val="Compact"/>
              <w:jc w:val="left"/>
            </w:pPr>
            <w:r>
              <w:t xml:space="preserve">35.88 (2.83) [30.84, 41.88]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baseline-fixation-durations-for-all-studies-tvt"/>
      <w:bookmarkEnd w:id="24"/>
      <w:r>
        <w:t xml:space="preserve">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333.99 (9.99) [314.23, 353.7]</w:t>
            </w:r>
          </w:p>
        </w:tc>
        <w:tc>
          <w:p>
            <w:pPr>
              <w:pStyle w:val="Compact"/>
              <w:jc w:val="left"/>
            </w:pPr>
            <w:r>
              <w:t xml:space="preserve">51.48 (7.69) [38.88, 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330.72 (10.03) [310.46, 350.15]</w:t>
            </w:r>
          </w:p>
        </w:tc>
        <w:tc>
          <w:p>
            <w:pPr>
              <w:pStyle w:val="Compact"/>
              <w:jc w:val="left"/>
            </w:pPr>
            <w:r>
              <w:t xml:space="preserve">51.5 (7.78) [38.88, 69.24]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334.06 (9.79) [314.76, 353.44]</w:t>
            </w:r>
          </w:p>
        </w:tc>
        <w:tc>
          <w:p>
            <w:pPr>
              <w:pStyle w:val="Compact"/>
              <w:jc w:val="left"/>
            </w:pPr>
            <w:r>
              <w:t xml:space="preserve">50.34 (7.39) [38.3,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330.8 (10.09) [311.32, 349.72]</w:t>
            </w:r>
          </w:p>
        </w:tc>
        <w:tc>
          <w:p>
            <w:pPr>
              <w:pStyle w:val="Compact"/>
              <w:jc w:val="left"/>
            </w:pPr>
            <w:r>
              <w:t xml:space="preserve">50.33 (7.41) [38.16, 67.02]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333.92 (9.99) [314.24, 353.86]</w:t>
            </w:r>
          </w:p>
        </w:tc>
        <w:tc>
          <w:p>
            <w:pPr>
              <w:pStyle w:val="Compact"/>
              <w:jc w:val="left"/>
            </w:pPr>
            <w:r>
              <w:t xml:space="preserve">51.12 (7.58) [38.74, 68.15]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330.61 (9.92) [310.44, 349.82]</w:t>
            </w:r>
          </w:p>
        </w:tc>
        <w:tc>
          <w:p>
            <w:pPr>
              <w:pStyle w:val="Compact"/>
              <w:jc w:val="left"/>
            </w:pPr>
            <w:r>
              <w:t xml:space="preserve">51.23 (7.59) [38.85, 68.55]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b0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[benchmark data]</dc:title>
  <dc:creator>Martin R. Vasilev</dc:creator>
  <dcterms:created xsi:type="dcterms:W3CDTF">2016-05-18</dcterms:created>
  <dcterms:modified xsi:type="dcterms:W3CDTF">2016-05-18</dcterms:modified>
</cp:coreProperties>
</file>