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Local Reading · Figure Preservation</w:t>
      </w:r>
    </w:p>
    <w:p>
      <w:r>
        <w:t xml:space="preserve">A document is more than its text. Figures should stay beside their captions. Click the figure to inspect it.</w:t>
      </w:r>
    </w:p>
    <w:p>
      <w:r>
        <w:drawing>
          <wp:inline distT="0" distB="0" distL="0" distR="0">
            <wp:extent cx="5715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Fig. 1. Local document import retains embedded images. This diagram is a synthetic test fixture.</w:t>
      </w:r>
    </w:p>
    <w:p>
      <w:pPr>
        <w:pStyle w:val="Heading2"/>
      </w:pPr>
      <w:r>
        <w:t xml:space="preserve">Evidence and notes</w:t>
      </w:r>
    </w:p>
    <w:p>
      <w:r>
        <w:t xml:space="preserve">Each claim should point to its direct supporting passage. Different source paragraphs remain individually accessible.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84883bb13de9ca024d4b57f82f1ec953bb121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2026-10-02T10:01:39.401Z</dcterms:created>
  <dcterms:modified xsi:type="dcterms:W3CDTF">2026-10-02T10:01:39.402Z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