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44585" w14:textId="0C735054" w:rsidR="00476362" w:rsidRPr="00FC663A" w:rsidRDefault="00476362" w:rsidP="00476362">
      <w:pPr>
        <w:rPr>
          <w:b/>
          <w:bCs/>
        </w:rPr>
      </w:pPr>
      <w:r w:rsidRPr="00FC663A">
        <w:rPr>
          <w:b/>
          <w:bCs/>
        </w:rPr>
        <w:t>Compliance</w:t>
      </w:r>
    </w:p>
    <w:p w14:paraId="20DB86DB" w14:textId="1478376E" w:rsidR="00647289" w:rsidRDefault="00647289" w:rsidP="00647289">
      <w:pPr>
        <w:jc w:val="both"/>
      </w:pPr>
      <w:r>
        <w:t>Über den eigentlichen Wortsinn – das bloße Einhalten gesetzlicher Vorgaben – hinaus hat sich Compliance zu einem zentralen Steuerungsinstrument moderner Unternehmensführung entwickelt. Unabhängig von Größe und Struktur des Unternehmens gilt: Angesichts einer stetig wachsenden Regelungsdichte ist ein verantwortungsbewusster und zuverläss</w:t>
      </w:r>
      <w:r w:rsidR="00FC663A">
        <w:t>iger</w:t>
      </w:r>
      <w:r>
        <w:t xml:space="preserve"> Umgang mit geltenden Gesetzen sowie internen und externen Verhaltensstandards für Unternehmen, deren Organe und Mitarbeiter essenziell.</w:t>
      </w:r>
    </w:p>
    <w:p w14:paraId="20D136EF" w14:textId="214CBC04" w:rsidR="00647289" w:rsidRDefault="00647289" w:rsidP="00647289">
      <w:pPr>
        <w:jc w:val="both"/>
      </w:pPr>
      <w:r>
        <w:t>Funktionierende Compliance-Strukturen entfalten dabei eine mehrdimensionale Wirkung: Sie schützen nicht nur präventiv vor (straf-)rechtlichen Risiken, sondern sichern zugleich Reputation und schaffen langfristig Vertrauen und Stabilität. Gleichzeitig kommt Compliance auch eine repressive Funktion zu: Stehen Regelverstöße im Raum, kann der Nachweis wirksamer Compliance-Strukturen im Rahmen der Unternehmensverteidigung maßgeblich dazu beitragen, Sanktionsrisiken für das Unternehmen und seine Entscheidungsträger zu reduzieren oder im Einzelfall sogar zu vermeiden. Compliance ist damit schon lange kein „nice-to-have“ mehr, niemals nur Prävention, sondern integraler Bestandteil einer ganzheitlichen Verteidigungsstrategie.</w:t>
      </w:r>
    </w:p>
    <w:p w14:paraId="15352B38" w14:textId="6AC28972" w:rsidR="00647289" w:rsidRDefault="00647289" w:rsidP="00647289">
      <w:pPr>
        <w:jc w:val="both"/>
      </w:pPr>
      <w:r>
        <w:t xml:space="preserve">Aufgrund unserer langjährigen Erfahrung im Wirtschafts- und Steuerstrafrecht kennen wir die praktischen Herausforderungen, die mit der Implementierung und Aufrechterhaltung wirksamer Compliance-Strukturen verbunden sind. Unser Fokus liegt darauf, rechtssichere, zugleich aber pragmatische und wirtschaftlich sinnvolle Lösungen zu entwickeln, die sich in bestehende Unternehmensabläufe integrieren lassen. Unsere Leitlinie ist dabei klar: </w:t>
      </w:r>
      <w:r w:rsidR="00FC663A">
        <w:t>J</w:t>
      </w:r>
      <w:r>
        <w:t>ede auf dem Papier noch so gute Compliance-Maßnahme entfaltet ihren Schutz nur dann, wenn sie im Unternehmensalltag tatsächlich gelebt wird.</w:t>
      </w:r>
    </w:p>
    <w:p w14:paraId="120D8D53" w14:textId="6F98A469" w:rsidR="00647289" w:rsidRDefault="00647289" w:rsidP="00647289">
      <w:pPr>
        <w:jc w:val="both"/>
      </w:pPr>
      <w:r>
        <w:t>Unsere Beratungsschwerpunkte im Bereich Compliance umfassen insbesondere:</w:t>
      </w:r>
    </w:p>
    <w:p w14:paraId="2CF3573C" w14:textId="77777777" w:rsidR="00647289" w:rsidRDefault="00647289" w:rsidP="00647289">
      <w:pPr>
        <w:pStyle w:val="Listenabsatz"/>
        <w:numPr>
          <w:ilvl w:val="0"/>
          <w:numId w:val="3"/>
        </w:numPr>
        <w:jc w:val="both"/>
      </w:pPr>
      <w:r>
        <w:t>Aufbau, Überprüfung und Optimierung von Compliance-Management-Systemen</w:t>
      </w:r>
    </w:p>
    <w:p w14:paraId="0E66677A" w14:textId="2249EDE6" w:rsidR="00647289" w:rsidRDefault="00647289" w:rsidP="00647289">
      <w:pPr>
        <w:pStyle w:val="Listenabsatz"/>
        <w:numPr>
          <w:ilvl w:val="0"/>
          <w:numId w:val="3"/>
        </w:numPr>
        <w:jc w:val="both"/>
      </w:pPr>
      <w:r>
        <w:t>Entwicklung und Implementierung interner Richtlinien und Verhaltenskodizes (insbesondere Code of Conduct</w:t>
      </w:r>
      <w:r w:rsidR="00FC663A">
        <w:t>, Compliance Manuals etc.</w:t>
      </w:r>
      <w:r>
        <w:t>)</w:t>
      </w:r>
    </w:p>
    <w:p w14:paraId="099C5C29" w14:textId="77777777" w:rsidR="00647289" w:rsidRDefault="00647289" w:rsidP="00647289">
      <w:pPr>
        <w:pStyle w:val="Listenabsatz"/>
        <w:numPr>
          <w:ilvl w:val="0"/>
          <w:numId w:val="3"/>
        </w:numPr>
        <w:jc w:val="both"/>
      </w:pPr>
      <w:r>
        <w:t>Beratung zu aufsichts- und organisationsrechtlichen Pflichten von Geschäftsleitung und Organen</w:t>
      </w:r>
    </w:p>
    <w:p w14:paraId="4E884425" w14:textId="77777777" w:rsidR="00647289" w:rsidRDefault="00647289" w:rsidP="00647289">
      <w:pPr>
        <w:pStyle w:val="Listenabsatz"/>
        <w:numPr>
          <w:ilvl w:val="0"/>
          <w:numId w:val="4"/>
        </w:numPr>
        <w:jc w:val="both"/>
      </w:pPr>
      <w:r>
        <w:t>Umsetzung der gesetzlichen Anforderungen im Bereich Hinweisgeberschutz und Hinweisgebersysteme</w:t>
      </w:r>
    </w:p>
    <w:p w14:paraId="5CAB2292" w14:textId="32D1E5D6" w:rsidR="00647289" w:rsidRDefault="00647289" w:rsidP="00647289">
      <w:pPr>
        <w:pStyle w:val="Listenabsatz"/>
        <w:numPr>
          <w:ilvl w:val="0"/>
          <w:numId w:val="4"/>
        </w:numPr>
        <w:jc w:val="both"/>
      </w:pPr>
      <w:r>
        <w:t>Unterstützung bei der Umsetzung komplexer regulatorischer Vorgaben</w:t>
      </w:r>
    </w:p>
    <w:p w14:paraId="2C5A20CB" w14:textId="09384E26" w:rsidR="00647289" w:rsidRDefault="00647289" w:rsidP="00647289">
      <w:pPr>
        <w:pStyle w:val="Listenabsatz"/>
        <w:numPr>
          <w:ilvl w:val="0"/>
          <w:numId w:val="4"/>
        </w:numPr>
        <w:jc w:val="both"/>
      </w:pPr>
      <w:r>
        <w:t>Schulungen und Sensibilisierung von Mitarbeitern und Führungskräften</w:t>
      </w:r>
      <w:r w:rsidR="00FC663A">
        <w:t>.</w:t>
      </w:r>
    </w:p>
    <w:p w14:paraId="2093D327" w14:textId="77777777" w:rsidR="00647289" w:rsidRDefault="00647289" w:rsidP="00647289">
      <w:pPr>
        <w:jc w:val="both"/>
      </w:pPr>
      <w:r>
        <w:t>Im Falle eines (möglichen) Compliance-Verstoßes stehen wir Ihnen mit einer strukturierten und diskreten Aufarbeitung zur Seite. Dazu gehören:</w:t>
      </w:r>
    </w:p>
    <w:p w14:paraId="56CBA50F" w14:textId="77777777" w:rsidR="00647289" w:rsidRDefault="00647289" w:rsidP="00647289">
      <w:pPr>
        <w:pStyle w:val="Listenabsatz"/>
        <w:numPr>
          <w:ilvl w:val="0"/>
          <w:numId w:val="5"/>
        </w:numPr>
        <w:jc w:val="both"/>
      </w:pPr>
      <w:r>
        <w:lastRenderedPageBreak/>
        <w:t>Sachverhaltsaufklärung und rechtliche Bewertung einschließlich der Entwicklung von Handlungsoptionen und Maßnahmen zur Risikobegrenzung (interne Untersuchungen)</w:t>
      </w:r>
    </w:p>
    <w:p w14:paraId="5D88136E" w14:textId="77777777" w:rsidR="00647289" w:rsidRDefault="00647289" w:rsidP="00647289">
      <w:pPr>
        <w:pStyle w:val="Listenabsatz"/>
        <w:numPr>
          <w:ilvl w:val="0"/>
          <w:numId w:val="5"/>
        </w:numPr>
        <w:jc w:val="both"/>
      </w:pPr>
      <w:r>
        <w:t>Begleitung gegenüber Behörden und Ermittlungsorganen</w:t>
      </w:r>
    </w:p>
    <w:p w14:paraId="44631686" w14:textId="08ED2363" w:rsidR="00647289" w:rsidRDefault="00647289" w:rsidP="00647289">
      <w:pPr>
        <w:jc w:val="both"/>
      </w:pPr>
      <w:r>
        <w:t xml:space="preserve">Unser Ziel ist es, </w:t>
      </w:r>
      <w:r w:rsidR="00FC663A">
        <w:t xml:space="preserve">Unternehmen, ihre Entscheidungsträger und Mitarbeiter in die Lage zu versetzen, </w:t>
      </w:r>
      <w:r>
        <w:t xml:space="preserve">Risiken frühzeitig zu </w:t>
      </w:r>
      <w:r w:rsidR="00FC663A">
        <w:t xml:space="preserve">erkennen und zu </w:t>
      </w:r>
      <w:r>
        <w:t xml:space="preserve">kontrollieren, Haftung zu vermeiden und </w:t>
      </w:r>
      <w:r w:rsidR="00FC663A">
        <w:t xml:space="preserve">dadurch </w:t>
      </w:r>
      <w:r>
        <w:t>den Handlungsspielraum des Unternehmens zu sichern. Wir begleiten Unternehmen und Entscheidungsträger in allen Phasen – von der präventiven Beratung über die Aufklärung bis hin zur effektiven Verteidigung im Ermittlungs- und Gerichtsverfahren.</w:t>
      </w:r>
    </w:p>
    <w:sectPr w:rsidR="0064728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E3E2A"/>
    <w:multiLevelType w:val="hybridMultilevel"/>
    <w:tmpl w:val="0BF034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6715A6"/>
    <w:multiLevelType w:val="hybridMultilevel"/>
    <w:tmpl w:val="8D9AE8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334479"/>
    <w:multiLevelType w:val="hybridMultilevel"/>
    <w:tmpl w:val="4AC266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CA799C"/>
    <w:multiLevelType w:val="hybridMultilevel"/>
    <w:tmpl w:val="383E2A9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1C3706"/>
    <w:multiLevelType w:val="hybridMultilevel"/>
    <w:tmpl w:val="62E2163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3458799">
    <w:abstractNumId w:val="4"/>
  </w:num>
  <w:num w:numId="2" w16cid:durableId="228350228">
    <w:abstractNumId w:val="0"/>
  </w:num>
  <w:num w:numId="3" w16cid:durableId="392388928">
    <w:abstractNumId w:val="1"/>
  </w:num>
  <w:num w:numId="4" w16cid:durableId="519049708">
    <w:abstractNumId w:val="3"/>
  </w:num>
  <w:num w:numId="5" w16cid:durableId="19663458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362"/>
    <w:rsid w:val="002B2866"/>
    <w:rsid w:val="00412330"/>
    <w:rsid w:val="00421744"/>
    <w:rsid w:val="00476362"/>
    <w:rsid w:val="00521275"/>
    <w:rsid w:val="005C4EB8"/>
    <w:rsid w:val="005E1CE1"/>
    <w:rsid w:val="00647289"/>
    <w:rsid w:val="00676AEB"/>
    <w:rsid w:val="0098170F"/>
    <w:rsid w:val="00B54452"/>
    <w:rsid w:val="00BF7C48"/>
    <w:rsid w:val="00C81CD2"/>
    <w:rsid w:val="00D85CF1"/>
    <w:rsid w:val="00EB0A16"/>
    <w:rsid w:val="00F22615"/>
    <w:rsid w:val="00FC663A"/>
    <w:rsid w:val="00FE2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EF2A7"/>
  <w15:chartTrackingRefBased/>
  <w15:docId w15:val="{50F301FE-A597-4788-AAEF-C149E0437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76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76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763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76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76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76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76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76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76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763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763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763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7636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7636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7636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7636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7636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7636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76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76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76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76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76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7636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7636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7636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76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7636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763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436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Monika Glogger (Rechtsanwältin, STÜRZL Steuerstrafrecht)</dc:creator>
  <cp:keywords/>
  <dc:description/>
  <cp:lastModifiedBy>Dr. Monika Glogger (Rechtsanwältin, STÜRZL Steuerstrafrecht)</cp:lastModifiedBy>
  <cp:revision>2</cp:revision>
  <dcterms:created xsi:type="dcterms:W3CDTF">2026-06-08T09:36:00Z</dcterms:created>
  <dcterms:modified xsi:type="dcterms:W3CDTF">2026-10-06T08:39:00Z</dcterms:modified>
</cp:coreProperties>
</file>