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CACv Procurement Agent — RAG System Evaluation Report</w:t>
      </w:r>
    </w:p>
    <w:p>
      <w:r>
        <w:t>15-Case ChromaDB Evaluation, Vector Context Grounding &amp; Failure Analysis</w:t>
      </w:r>
    </w:p>
    <w:p>
      <w:pPr>
        <w:pStyle w:val="Heading2"/>
      </w:pPr>
      <w:r>
        <w:t>1. Executive Summary</w:t>
      </w:r>
    </w:p>
    <w:p>
      <w:r>
        <w:t>This evaluation report documents the end-to-end performance testing of the CACv Procurement Agent's Retrieval-Augmented Generation (RAG) architecture. The evaluation framework benchmarks retrieval precision and context grounding using gemini-3.6-flash and ChromaDB (sme_procurement collection) across 15 structured test scenarios.</w:t>
      </w:r>
    </w:p>
    <w:p>
      <w:pPr>
        <w:pStyle w:val="Heading2"/>
      </w:pPr>
      <w:r>
        <w:t>2. 15-Case Evaluation Matrix</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Category</w:t>
            </w:r>
          </w:p>
        </w:tc>
        <w:tc>
          <w:tcPr>
            <w:tcW w:type="dxa" w:w="1728"/>
          </w:tcPr>
          <w:p>
            <w:r>
              <w:t>Question</w:t>
            </w:r>
          </w:p>
        </w:tc>
        <w:tc>
          <w:tcPr>
            <w:tcW w:type="dxa" w:w="1728"/>
          </w:tcPr>
          <w:p>
            <w:r>
              <w:t>Generated Answer Excerpt</w:t>
            </w:r>
          </w:p>
        </w:tc>
        <w:tc>
          <w:tcPr>
            <w:tcW w:type="dxa" w:w="1728"/>
          </w:tcPr>
          <w:p>
            <w:r>
              <w:t>Status</w:t>
            </w:r>
          </w:p>
        </w:tc>
      </w:tr>
      <w:tr>
        <w:tc>
          <w:tcPr>
            <w:tcW w:type="dxa" w:w="1728"/>
          </w:tcPr>
          <w:p>
            <w:r>
              <w:t>1</w:t>
            </w:r>
          </w:p>
        </w:tc>
        <w:tc>
          <w:tcPr>
            <w:tcW w:type="dxa" w:w="1728"/>
          </w:tcPr>
          <w:p>
            <w:r>
              <w:t>Fully Answerable</w:t>
            </w:r>
          </w:p>
        </w:tc>
        <w:tc>
          <w:tcPr>
            <w:tcW w:type="dxa" w:w="1728"/>
          </w:tcPr>
          <w:p>
            <w:r>
              <w:t>What total cost threshold requires Business Owner approval?</w:t>
            </w:r>
          </w:p>
        </w:tc>
        <w:tc>
          <w:tcPr>
            <w:tcW w:type="dxa" w:w="1728"/>
          </w:tcPr>
          <w:p>
            <w:r>
              <w:t>Total cost ≥ UGX 2,000,000 requires Business Owner approval.</w:t>
            </w:r>
          </w:p>
        </w:tc>
        <w:tc>
          <w:tcPr>
            <w:tcW w:type="dxa" w:w="1728"/>
          </w:tcPr>
          <w:p>
            <w:r>
              <w:t>Passed</w:t>
            </w:r>
          </w:p>
        </w:tc>
      </w:tr>
      <w:tr>
        <w:tc>
          <w:tcPr>
            <w:tcW w:type="dxa" w:w="1728"/>
          </w:tcPr>
          <w:p>
            <w:r>
              <w:t>2</w:t>
            </w:r>
          </w:p>
        </w:tc>
        <w:tc>
          <w:tcPr>
            <w:tcW w:type="dxa" w:w="1728"/>
          </w:tcPr>
          <w:p>
            <w:r>
              <w:t>Fully Answerable</w:t>
            </w:r>
          </w:p>
        </w:tc>
        <w:tc>
          <w:tcPr>
            <w:tcW w:type="dxa" w:w="1728"/>
          </w:tcPr>
          <w:p>
            <w:r>
              <w:t>What is the approval threshold for Procurement Manager?</w:t>
            </w:r>
          </w:p>
        </w:tc>
        <w:tc>
          <w:tcPr>
            <w:tcW w:type="dxa" w:w="1728"/>
          </w:tcPr>
          <w:p>
            <w:r>
              <w:t>Procurement Manager approves directly if total cost &lt; UGX 2,000,000.</w:t>
            </w:r>
          </w:p>
        </w:tc>
        <w:tc>
          <w:tcPr>
            <w:tcW w:type="dxa" w:w="1728"/>
          </w:tcPr>
          <w:p>
            <w:r>
              <w:t>Passed</w:t>
            </w:r>
          </w:p>
        </w:tc>
      </w:tr>
      <w:tr>
        <w:tc>
          <w:tcPr>
            <w:tcW w:type="dxa" w:w="1728"/>
          </w:tcPr>
          <w:p>
            <w:r>
              <w:t>3</w:t>
            </w:r>
          </w:p>
        </w:tc>
        <w:tc>
          <w:tcPr>
            <w:tcW w:type="dxa" w:w="1728"/>
          </w:tcPr>
          <w:p>
            <w:r>
              <w:t>Fully Answerable</w:t>
            </w:r>
          </w:p>
        </w:tc>
        <w:tc>
          <w:tcPr>
            <w:tcW w:type="dxa" w:w="1728"/>
          </w:tcPr>
          <w:p>
            <w:r>
              <w:t>Can the agent perform payment execution?</w:t>
            </w:r>
          </w:p>
        </w:tc>
        <w:tc>
          <w:tcPr>
            <w:tcW w:type="dxa" w:w="1728"/>
          </w:tcPr>
          <w:p>
            <w:r>
              <w:t>No. Payment execution is performed strictly by the finance team.</w:t>
            </w:r>
          </w:p>
        </w:tc>
        <w:tc>
          <w:tcPr>
            <w:tcW w:type="dxa" w:w="1728"/>
          </w:tcPr>
          <w:p>
            <w:r>
              <w:t>Passed</w:t>
            </w:r>
          </w:p>
        </w:tc>
      </w:tr>
      <w:tr>
        <w:tc>
          <w:tcPr>
            <w:tcW w:type="dxa" w:w="1728"/>
          </w:tcPr>
          <w:p>
            <w:r>
              <w:t>4</w:t>
            </w:r>
          </w:p>
        </w:tc>
        <w:tc>
          <w:tcPr>
            <w:tcW w:type="dxa" w:w="1728"/>
          </w:tcPr>
          <w:p>
            <w:r>
              <w:t>Fully Answerable</w:t>
            </w:r>
          </w:p>
        </w:tc>
        <w:tc>
          <w:tcPr>
            <w:tcW w:type="dxa" w:w="1728"/>
          </w:tcPr>
          <w:p>
            <w:r>
              <w:t>What are the priority rules for high criticality items?</w:t>
            </w:r>
          </w:p>
        </w:tc>
        <w:tc>
          <w:tcPr>
            <w:tcW w:type="dxa" w:w="1728"/>
          </w:tcPr>
          <w:p>
            <w:r>
              <w:t>Reorder high criticality items first; order early if lead time &gt; 14 days.</w:t>
            </w:r>
          </w:p>
        </w:tc>
        <w:tc>
          <w:tcPr>
            <w:tcW w:type="dxa" w:w="1728"/>
          </w:tcPr>
          <w:p>
            <w:r>
              <w:t>Passed</w:t>
            </w:r>
          </w:p>
        </w:tc>
      </w:tr>
      <w:tr>
        <w:tc>
          <w:tcPr>
            <w:tcW w:type="dxa" w:w="1728"/>
          </w:tcPr>
          <w:p>
            <w:r>
              <w:t>5</w:t>
            </w:r>
          </w:p>
        </w:tc>
        <w:tc>
          <w:tcPr>
            <w:tcW w:type="dxa" w:w="1728"/>
          </w:tcPr>
          <w:p>
            <w:r>
              <w:t>Fully Answerable</w:t>
            </w:r>
          </w:p>
        </w:tc>
        <w:tc>
          <w:tcPr>
            <w:tcW w:type="dxa" w:w="1728"/>
          </w:tcPr>
          <w:p>
            <w:r>
              <w:t>What criteria select suppliers when multiple offer the same item?</w:t>
            </w:r>
          </w:p>
        </w:tc>
        <w:tc>
          <w:tcPr>
            <w:tcW w:type="dxa" w:w="1728"/>
          </w:tcPr>
          <w:p>
            <w:r>
              <w:t>Price (40%), Lead time (25%), MOQ flexibility (15%), Payment terms (10%), Reliability (10%).</w:t>
            </w:r>
          </w:p>
        </w:tc>
        <w:tc>
          <w:tcPr>
            <w:tcW w:type="dxa" w:w="1728"/>
          </w:tcPr>
          <w:p>
            <w:r>
              <w:t>Passed</w:t>
            </w:r>
          </w:p>
        </w:tc>
      </w:tr>
      <w:tr>
        <w:tc>
          <w:tcPr>
            <w:tcW w:type="dxa" w:w="1728"/>
          </w:tcPr>
          <w:p>
            <w:r>
              <w:t>6</w:t>
            </w:r>
          </w:p>
        </w:tc>
        <w:tc>
          <w:tcPr>
            <w:tcW w:type="dxa" w:w="1728"/>
          </w:tcPr>
          <w:p>
            <w:r>
              <w:t>Fully Answerable</w:t>
            </w:r>
          </w:p>
        </w:tc>
        <w:tc>
          <w:tcPr>
            <w:tcW w:type="dxa" w:w="1728"/>
          </w:tcPr>
          <w:p>
            <w:r>
              <w:t>When must an item be reordered?</w:t>
            </w:r>
          </w:p>
        </w:tc>
        <w:tc>
          <w:tcPr>
            <w:tcW w:type="dxa" w:w="1728"/>
          </w:tcPr>
          <w:p>
            <w:r>
              <w:t>When current_qty falls below reorder_threshold.</w:t>
            </w:r>
          </w:p>
        </w:tc>
        <w:tc>
          <w:tcPr>
            <w:tcW w:type="dxa" w:w="1728"/>
          </w:tcPr>
          <w:p>
            <w:r>
              <w:t>Passed</w:t>
            </w:r>
          </w:p>
        </w:tc>
      </w:tr>
      <w:tr>
        <w:tc>
          <w:tcPr>
            <w:tcW w:type="dxa" w:w="1728"/>
          </w:tcPr>
          <w:p>
            <w:r>
              <w:t>7</w:t>
            </w:r>
          </w:p>
        </w:tc>
        <w:tc>
          <w:tcPr>
            <w:tcW w:type="dxa" w:w="1728"/>
          </w:tcPr>
          <w:p>
            <w:r>
              <w:t>Fully Answerable</w:t>
            </w:r>
          </w:p>
        </w:tc>
        <w:tc>
          <w:tcPr>
            <w:tcW w:type="dxa" w:w="1728"/>
          </w:tcPr>
          <w:p>
            <w:r>
              <w:t>What is the weight given to price per unit?</w:t>
            </w:r>
          </w:p>
        </w:tc>
        <w:tc>
          <w:tcPr>
            <w:tcW w:type="dxa" w:w="1728"/>
          </w:tcPr>
          <w:p>
            <w:r>
              <w:t>40% weight.</w:t>
            </w:r>
          </w:p>
        </w:tc>
        <w:tc>
          <w:tcPr>
            <w:tcW w:type="dxa" w:w="1728"/>
          </w:tcPr>
          <w:p>
            <w:r>
              <w:t>Passed</w:t>
            </w:r>
          </w:p>
        </w:tc>
      </w:tr>
      <w:tr>
        <w:tc>
          <w:tcPr>
            <w:tcW w:type="dxa" w:w="1728"/>
          </w:tcPr>
          <w:p>
            <w:r>
              <w:t>8</w:t>
            </w:r>
          </w:p>
        </w:tc>
        <w:tc>
          <w:tcPr>
            <w:tcW w:type="dxa" w:w="1728"/>
          </w:tcPr>
          <w:p>
            <w:r>
              <w:t>Partially Answerable</w:t>
            </w:r>
          </w:p>
        </w:tc>
        <w:tc>
          <w:tcPr>
            <w:tcW w:type="dxa" w:w="1728"/>
          </w:tcPr>
          <w:p>
            <w:r>
              <w:t>What happens if a supplier's MOQ is missing or not met?</w:t>
            </w:r>
          </w:p>
        </w:tc>
        <w:tc>
          <w:tcPr>
            <w:tcW w:type="dxa" w:w="1728"/>
          </w:tcPr>
          <w:p>
            <w:r>
              <w:t>Below MOQ: Halt &amp; suggest alternative. Missing MOQ: Not covered in context.</w:t>
            </w:r>
          </w:p>
        </w:tc>
        <w:tc>
          <w:tcPr>
            <w:tcW w:type="dxa" w:w="1728"/>
          </w:tcPr>
          <w:p>
            <w:r>
              <w:t>Passed</w:t>
            </w:r>
          </w:p>
        </w:tc>
      </w:tr>
      <w:tr>
        <w:tc>
          <w:tcPr>
            <w:tcW w:type="dxa" w:w="1728"/>
          </w:tcPr>
          <w:p>
            <w:r>
              <w:t>9</w:t>
            </w:r>
          </w:p>
        </w:tc>
        <w:tc>
          <w:tcPr>
            <w:tcW w:type="dxa" w:w="1728"/>
          </w:tcPr>
          <w:p>
            <w:r>
              <w:t>Fully Answerable</w:t>
            </w:r>
          </w:p>
        </w:tc>
        <w:tc>
          <w:tcPr>
            <w:tcW w:type="dxa" w:w="1728"/>
          </w:tcPr>
          <w:p>
            <w:r>
              <w:t>Who performs payment execution?</w:t>
            </w:r>
          </w:p>
        </w:tc>
        <w:tc>
          <w:tcPr>
            <w:tcW w:type="dxa" w:w="1728"/>
          </w:tcPr>
          <w:p>
            <w:r>
              <w:t>Finance team.</w:t>
            </w:r>
          </w:p>
        </w:tc>
        <w:tc>
          <w:tcPr>
            <w:tcW w:type="dxa" w:w="1728"/>
          </w:tcPr>
          <w:p>
            <w:r>
              <w:t>Passed</w:t>
            </w:r>
          </w:p>
        </w:tc>
      </w:tr>
      <w:tr>
        <w:tc>
          <w:tcPr>
            <w:tcW w:type="dxa" w:w="1728"/>
          </w:tcPr>
          <w:p>
            <w:r>
              <w:t>10</w:t>
            </w:r>
          </w:p>
        </w:tc>
        <w:tc>
          <w:tcPr>
            <w:tcW w:type="dxa" w:w="1728"/>
          </w:tcPr>
          <w:p>
            <w:r>
              <w:t>Fully Answerable</w:t>
            </w:r>
          </w:p>
        </w:tc>
        <w:tc>
          <w:tcPr>
            <w:tcW w:type="dxa" w:w="1728"/>
          </w:tcPr>
          <w:p>
            <w:r>
              <w:t>How is order quantity calculated for standard reorders?</w:t>
            </w:r>
          </w:p>
        </w:tc>
        <w:tc>
          <w:tcPr>
            <w:tcW w:type="dxa" w:w="1728"/>
          </w:tcPr>
          <w:p>
            <w:r>
              <w:t>Reach max_stock where defined; otherwise 2 × reorder_threshold.</w:t>
            </w:r>
          </w:p>
        </w:tc>
        <w:tc>
          <w:tcPr>
            <w:tcW w:type="dxa" w:w="1728"/>
          </w:tcPr>
          <w:p>
            <w:r>
              <w:t>Passed</w:t>
            </w:r>
          </w:p>
        </w:tc>
      </w:tr>
      <w:tr>
        <w:tc>
          <w:tcPr>
            <w:tcW w:type="dxa" w:w="1728"/>
          </w:tcPr>
          <w:p>
            <w:r>
              <w:t>11</w:t>
            </w:r>
          </w:p>
        </w:tc>
        <w:tc>
          <w:tcPr>
            <w:tcW w:type="dxa" w:w="1728"/>
          </w:tcPr>
          <w:p>
            <w:r>
              <w:t>Unanswerable</w:t>
            </w:r>
          </w:p>
        </w:tc>
        <w:tc>
          <w:tcPr>
            <w:tcW w:type="dxa" w:w="1728"/>
          </w:tcPr>
          <w:p>
            <w:r>
              <w:t>What is the penalty for vendor late delivery of hardware?</w:t>
            </w:r>
          </w:p>
        </w:tc>
        <w:tc>
          <w:tcPr>
            <w:tcW w:type="dxa" w:w="1728"/>
          </w:tcPr>
          <w:p>
            <w:r>
              <w:t>Not covered in policy context.</w:t>
            </w:r>
          </w:p>
        </w:tc>
        <w:tc>
          <w:tcPr>
            <w:tcW w:type="dxa" w:w="1728"/>
          </w:tcPr>
          <w:p>
            <w:r>
              <w:t>Guardrail Enforced</w:t>
            </w:r>
          </w:p>
        </w:tc>
      </w:tr>
      <w:tr>
        <w:tc>
          <w:tcPr>
            <w:tcW w:type="dxa" w:w="1728"/>
          </w:tcPr>
          <w:p>
            <w:r>
              <w:t>12</w:t>
            </w:r>
          </w:p>
        </w:tc>
        <w:tc>
          <w:tcPr>
            <w:tcW w:type="dxa" w:w="1728"/>
          </w:tcPr>
          <w:p>
            <w:r>
              <w:t>Unanswerable</w:t>
            </w:r>
          </w:p>
        </w:tc>
        <w:tc>
          <w:tcPr>
            <w:tcW w:type="dxa" w:w="1728"/>
          </w:tcPr>
          <w:p>
            <w:r>
              <w:t>What is the policy for vendor invoice settlement timelines?</w:t>
            </w:r>
          </w:p>
        </w:tc>
        <w:tc>
          <w:tcPr>
            <w:tcW w:type="dxa" w:w="1728"/>
          </w:tcPr>
          <w:p>
            <w:r>
              <w:t>Not covered in policy context.</w:t>
            </w:r>
          </w:p>
        </w:tc>
        <w:tc>
          <w:tcPr>
            <w:tcW w:type="dxa" w:w="1728"/>
          </w:tcPr>
          <w:p>
            <w:r>
              <w:t>Guardrail Enforced</w:t>
            </w:r>
          </w:p>
        </w:tc>
      </w:tr>
      <w:tr>
        <w:tc>
          <w:tcPr>
            <w:tcW w:type="dxa" w:w="1728"/>
          </w:tcPr>
          <w:p>
            <w:r>
              <w:t>13</w:t>
            </w:r>
          </w:p>
        </w:tc>
        <w:tc>
          <w:tcPr>
            <w:tcW w:type="dxa" w:w="1728"/>
          </w:tcPr>
          <w:p>
            <w:r>
              <w:t>Unanswerable</w:t>
            </w:r>
          </w:p>
        </w:tc>
        <w:tc>
          <w:tcPr>
            <w:tcW w:type="dxa" w:w="1728"/>
          </w:tcPr>
          <w:p>
            <w:r>
              <w:t>Can travel expenses be reimbursed without manager sign-off?</w:t>
            </w:r>
          </w:p>
        </w:tc>
        <w:tc>
          <w:tcPr>
            <w:tcW w:type="dxa" w:w="1728"/>
          </w:tcPr>
          <w:p>
            <w:r>
              <w:t>Not covered in policy context.</w:t>
            </w:r>
          </w:p>
        </w:tc>
        <w:tc>
          <w:tcPr>
            <w:tcW w:type="dxa" w:w="1728"/>
          </w:tcPr>
          <w:p>
            <w:r>
              <w:t>Guardrail Enforced</w:t>
            </w:r>
          </w:p>
        </w:tc>
      </w:tr>
      <w:tr>
        <w:tc>
          <w:tcPr>
            <w:tcW w:type="dxa" w:w="1728"/>
          </w:tcPr>
          <w:p>
            <w:r>
              <w:t>14</w:t>
            </w:r>
          </w:p>
        </w:tc>
        <w:tc>
          <w:tcPr>
            <w:tcW w:type="dxa" w:w="1728"/>
          </w:tcPr>
          <w:p>
            <w:r>
              <w:t>Unanswerable</w:t>
            </w:r>
          </w:p>
        </w:tc>
        <w:tc>
          <w:tcPr>
            <w:tcW w:type="dxa" w:w="1728"/>
          </w:tcPr>
          <w:p>
            <w:r>
              <w:t>Who must sign off on hardware disposal forms?</w:t>
            </w:r>
          </w:p>
        </w:tc>
        <w:tc>
          <w:tcPr>
            <w:tcW w:type="dxa" w:w="1728"/>
          </w:tcPr>
          <w:p>
            <w:r>
              <w:t>Not covered in policy context.</w:t>
            </w:r>
          </w:p>
        </w:tc>
        <w:tc>
          <w:tcPr>
            <w:tcW w:type="dxa" w:w="1728"/>
          </w:tcPr>
          <w:p>
            <w:r>
              <w:t>Guardrail Enforced</w:t>
            </w:r>
          </w:p>
        </w:tc>
      </w:tr>
      <w:tr>
        <w:tc>
          <w:tcPr>
            <w:tcW w:type="dxa" w:w="1728"/>
          </w:tcPr>
          <w:p>
            <w:r>
              <w:t>15</w:t>
            </w:r>
          </w:p>
        </w:tc>
        <w:tc>
          <w:tcPr>
            <w:tcW w:type="dxa" w:w="1728"/>
          </w:tcPr>
          <w:p>
            <w:r>
              <w:t>Fully Answerable</w:t>
            </w:r>
          </w:p>
        </w:tc>
        <w:tc>
          <w:tcPr>
            <w:tcW w:type="dxa" w:w="1728"/>
          </w:tcPr>
          <w:p>
            <w:r>
              <w:t>What is the rule regarding high-criticality items like cement?</w:t>
            </w:r>
          </w:p>
        </w:tc>
        <w:tc>
          <w:tcPr>
            <w:tcW w:type="dxa" w:w="1728"/>
          </w:tcPr>
          <w:p>
            <w:r>
              <w:t>Do not select on price alone; prefer shorter lead times.</w:t>
            </w:r>
          </w:p>
        </w:tc>
        <w:tc>
          <w:tcPr>
            <w:tcW w:type="dxa" w:w="1728"/>
          </w:tcPr>
          <w:p>
            <w:r>
              <w:t>Passed</w:t>
            </w:r>
          </w:p>
        </w:tc>
      </w:tr>
    </w:tbl>
    <w:p>
      <w:pPr>
        <w:pStyle w:val="Heading2"/>
      </w:pPr>
      <w:r>
        <w:t>3. Retrieval &amp; Grounding Failure Analysis</w:t>
      </w:r>
    </w:p>
    <w:p>
      <w:r>
        <w:t>• Failure Mode 1: Domain Currency &amp; Currency Symbol Mismatch</w:t>
      </w:r>
    </w:p>
    <w:p>
      <w:r>
        <w:t>When queries used generic currency notation (e.g., USD), the semantic retriever struggled to bind to policies defined strictly in UGX. Strict grounding parameters caused the model to issue complete refusals rather than inferring equivalent approval tiers.</w:t>
        <w:br/>
        <w:t>Mitigation: Implement query normalization to convert global monetary terms to local context (UGX) prior to vector similarity lookups.</w:t>
      </w:r>
    </w:p>
    <w:p>
      <w:r>
        <w:t>• Failure Mode 2: Context Fragmentation Across Documents</w:t>
      </w:r>
    </w:p>
    <w:p>
      <w:r>
        <w:t>Compound queries (such as Case 8 asking about both 'missing' and 'unmet' MOQ conditions) required pulling facts spanning separate file chunks. The vector search correctly retrieved the 'unmet' rule from approval_workflow.md but missed the missing field policy.</w:t>
        <w:br/>
        <w:t>Mitigation: Implement overlapping chunk boundaries (50–100 token overlap) and store section-level metadata tags in ChromaDB.</w:t>
      </w:r>
    </w:p>
    <w:p>
      <w:r>
        <w:t>• Failure Mode 3: Chunk Truncation on Structural Markdown Tables</w:t>
      </w:r>
    </w:p>
    <w:p>
      <w:r>
        <w:t>Detailed structured guidelines (such as supplier scoring weights in Case 15) experienced token clipping when context strings approached chunk limits, leading to truncated sentences at the tail end of generated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