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B076F" w14:textId="5F6C2DED" w:rsidR="000906B3" w:rsidRDefault="00715B41" w:rsidP="007209F0">
      <w:pPr>
        <w:pStyle w:val="Heading1"/>
        <w:rPr>
          <w:lang w:val="it-IT"/>
        </w:rPr>
      </w:pPr>
      <w:r>
        <w:rPr>
          <w:lang w:val="it-IT"/>
        </w:rPr>
        <w:t>2022/01/24</w:t>
      </w:r>
    </w:p>
    <w:p w14:paraId="542AD7D4" w14:textId="43A22EDC" w:rsidR="007209F0" w:rsidRPr="007209F0" w:rsidRDefault="007209F0">
      <w:pPr>
        <w:rPr>
          <w:b/>
          <w:bCs/>
          <w:lang w:val="it-IT"/>
        </w:rPr>
      </w:pPr>
      <w:r w:rsidRPr="007209F0">
        <w:rPr>
          <w:b/>
          <w:bCs/>
          <w:lang w:val="it-IT"/>
        </w:rPr>
        <w:t>Intro call</w:t>
      </w:r>
    </w:p>
    <w:p w14:paraId="1C1AF044" w14:textId="7A6ABFFC" w:rsidR="00715B41" w:rsidRDefault="00715B41">
      <w:pPr>
        <w:rPr>
          <w:lang w:val="it-IT"/>
        </w:rPr>
      </w:pPr>
      <w:r>
        <w:rPr>
          <w:lang w:val="it-IT"/>
        </w:rPr>
        <w:t>La divisione banca dei territori copre i privati:</w:t>
      </w:r>
    </w:p>
    <w:p w14:paraId="6C541942" w14:textId="5E23C715" w:rsidR="00715B41" w:rsidRDefault="00715B41">
      <w:pPr>
        <w:rPr>
          <w:lang w:val="it-IT"/>
        </w:rPr>
      </w:pPr>
      <w:r>
        <w:rPr>
          <w:lang w:val="it-IT"/>
        </w:rPr>
        <w:t>-CIP copre grandi imprese (&lt;350mln fatturato)</w:t>
      </w:r>
    </w:p>
    <w:p w14:paraId="1D994C1E" w14:textId="4B807D8E" w:rsidR="00715B41" w:rsidRDefault="00715B41">
      <w:pPr>
        <w:rPr>
          <w:lang w:val="it-IT"/>
        </w:rPr>
      </w:pPr>
      <w:r>
        <w:rPr>
          <w:lang w:val="it-IT"/>
        </w:rPr>
        <w:t xml:space="preserve">-società estere, </w:t>
      </w:r>
      <w:proofErr w:type="spellStart"/>
      <w:r>
        <w:rPr>
          <w:lang w:val="it-IT"/>
        </w:rPr>
        <w:t>princip</w:t>
      </w:r>
      <w:proofErr w:type="spellEnd"/>
      <w:r>
        <w:rPr>
          <w:lang w:val="it-IT"/>
        </w:rPr>
        <w:t xml:space="preserve">. Est </w:t>
      </w:r>
      <w:proofErr w:type="spellStart"/>
      <w:r>
        <w:rPr>
          <w:lang w:val="it-IT"/>
        </w:rPr>
        <w:t>europa</w:t>
      </w:r>
      <w:proofErr w:type="spellEnd"/>
    </w:p>
    <w:p w14:paraId="1B5D9405" w14:textId="700438B7" w:rsidR="00715B41" w:rsidRDefault="00715B41">
      <w:pPr>
        <w:rPr>
          <w:lang w:val="it-IT"/>
        </w:rPr>
      </w:pPr>
    </w:p>
    <w:p w14:paraId="6D00A775" w14:textId="47A45D38" w:rsidR="00715B41" w:rsidRDefault="00715B41">
      <w:pPr>
        <w:rPr>
          <w:lang w:val="it-IT"/>
        </w:rPr>
      </w:pPr>
      <w:r>
        <w:rPr>
          <w:lang w:val="it-IT"/>
        </w:rPr>
        <w:t xml:space="preserve">Stefano Barrese guida divisione territori, organizzata in direzioni che seguono vari </w:t>
      </w:r>
      <w:proofErr w:type="spellStart"/>
      <w:r>
        <w:rPr>
          <w:lang w:val="it-IT"/>
        </w:rPr>
        <w:t>clienteli</w:t>
      </w:r>
      <w:proofErr w:type="spellEnd"/>
      <w:r>
        <w:rPr>
          <w:lang w:val="it-IT"/>
        </w:rPr>
        <w:t xml:space="preserve">, loro seguono imprese, la responsabile di sales e marketing imprese è Anna </w:t>
      </w:r>
      <w:proofErr w:type="spellStart"/>
      <w:r>
        <w:rPr>
          <w:lang w:val="it-IT"/>
        </w:rPr>
        <w:t>Roscio</w:t>
      </w:r>
      <w:proofErr w:type="spellEnd"/>
      <w:r>
        <w:rPr>
          <w:lang w:val="it-IT"/>
        </w:rPr>
        <w:t>: coordinamento e indirizzo di tutti i prodotti offerti alla clientela.</w:t>
      </w:r>
      <w:r w:rsidR="00E16BEE">
        <w:rPr>
          <w:lang w:val="it-IT"/>
        </w:rPr>
        <w:t xml:space="preserve"> Sotto di lei Anna Carbonelli, persona business, responsabile area factoring (risponde a domande tecniche per formazione IT)</w:t>
      </w:r>
      <w:r w:rsidR="00E767D8">
        <w:rPr>
          <w:lang w:val="it-IT"/>
        </w:rPr>
        <w:t>: nostra referente di progetto</w:t>
      </w:r>
      <w:r w:rsidR="00E16BEE">
        <w:rPr>
          <w:lang w:val="it-IT"/>
        </w:rPr>
        <w:t>. Sotto ancora, Barbara Concia</w:t>
      </w:r>
      <w:r w:rsidR="00E767D8">
        <w:rPr>
          <w:lang w:val="it-IT"/>
        </w:rPr>
        <w:t xml:space="preserve"> (+Valeria Scala)</w:t>
      </w:r>
      <w:r w:rsidR="00E16BEE">
        <w:rPr>
          <w:lang w:val="it-IT"/>
        </w:rPr>
        <w:t>.</w:t>
      </w:r>
      <w:r w:rsidR="00E767D8">
        <w:rPr>
          <w:lang w:val="it-IT"/>
        </w:rPr>
        <w:t xml:space="preserve"> </w:t>
      </w:r>
    </w:p>
    <w:p w14:paraId="1F953322" w14:textId="29577715" w:rsidR="00715B41" w:rsidRDefault="00715B41">
      <w:pPr>
        <w:rPr>
          <w:lang w:val="it-IT"/>
        </w:rPr>
      </w:pPr>
      <w:r>
        <w:rPr>
          <w:lang w:val="it-IT"/>
        </w:rPr>
        <w:t>Ci occupiamo del prodotto “Factoring”, famiglia dei finanziamenti a breve termine (durata breve, entro 18 mesi): anticipo, smobilizzo effetti</w:t>
      </w:r>
      <w:r w:rsidR="003E4930">
        <w:rPr>
          <w:lang w:val="it-IT"/>
        </w:rPr>
        <w:t>, utilizzato dalle imprese per avere credito.</w:t>
      </w:r>
    </w:p>
    <w:p w14:paraId="1B8023EB" w14:textId="3FEC9686" w:rsidR="003E4930" w:rsidRDefault="003E4930">
      <w:pPr>
        <w:rPr>
          <w:lang w:val="it-IT"/>
        </w:rPr>
      </w:pPr>
      <w:r>
        <w:rPr>
          <w:lang w:val="it-IT"/>
        </w:rPr>
        <w:t>L’impresa cede la fattura alla banca per ricevere il pagamento subito (e non dopo 60-90 gg), con sconto della fattura.</w:t>
      </w:r>
    </w:p>
    <w:p w14:paraId="72575C08" w14:textId="7A815C1E" w:rsidR="007209F0" w:rsidRDefault="007209F0">
      <w:pPr>
        <w:rPr>
          <w:lang w:val="it-IT"/>
        </w:rPr>
      </w:pPr>
      <w:r>
        <w:rPr>
          <w:lang w:val="it-IT"/>
        </w:rPr>
        <w:t xml:space="preserve">Prima di concedere il credito la banca fa un’analisi per studiare il cliente (istruttoria), la banca ha introdotto uno strumento per automatizzare il </w:t>
      </w:r>
      <w:proofErr w:type="spellStart"/>
      <w:r>
        <w:rPr>
          <w:lang w:val="it-IT"/>
        </w:rPr>
        <w:t>rpocesso</w:t>
      </w:r>
      <w:proofErr w:type="spellEnd"/>
      <w:r>
        <w:rPr>
          <w:lang w:val="it-IT"/>
        </w:rPr>
        <w:t xml:space="preserve"> di valutazione dell’impresa che cede la fattura (soggetto ceduto) -&gt; VPC (valutazione portafoglio ceduto)</w:t>
      </w:r>
    </w:p>
    <w:p w14:paraId="4FB7EE2C" w14:textId="3053926D" w:rsidR="007209F0" w:rsidRDefault="007209F0">
      <w:pPr>
        <w:rPr>
          <w:lang w:val="it-IT"/>
        </w:rPr>
      </w:pPr>
      <w:r>
        <w:rPr>
          <w:lang w:val="it-IT"/>
        </w:rPr>
        <w:t xml:space="preserve">Funziona con una serie di </w:t>
      </w:r>
      <w:proofErr w:type="spellStart"/>
      <w:r>
        <w:rPr>
          <w:lang w:val="it-IT"/>
        </w:rPr>
        <w:t>check</w:t>
      </w:r>
      <w:proofErr w:type="spellEnd"/>
      <w:r>
        <w:rPr>
          <w:lang w:val="it-IT"/>
        </w:rPr>
        <w:t xml:space="preserve"> ai quali viene poi associato uno score e un semaforo: è sufficiente che si accenda un semaforo rosso per bloccare la valutazione, uno giallo per riportare la valutazione al caso manuale.</w:t>
      </w:r>
    </w:p>
    <w:p w14:paraId="112520F0" w14:textId="20EBBE5D" w:rsidR="00E16BEE" w:rsidRDefault="00E16BEE">
      <w:pPr>
        <w:rPr>
          <w:lang w:val="it-IT"/>
        </w:rPr>
      </w:pPr>
      <w:r>
        <w:rPr>
          <w:lang w:val="it-IT"/>
        </w:rPr>
        <w:t xml:space="preserve">Questo progetto coinvolge anima business, crediti e </w:t>
      </w:r>
      <w:proofErr w:type="spellStart"/>
      <w:r>
        <w:rPr>
          <w:lang w:val="it-IT"/>
        </w:rPr>
        <w:t>risk</w:t>
      </w:r>
      <w:proofErr w:type="spellEnd"/>
      <w:r>
        <w:rPr>
          <w:lang w:val="it-IT"/>
        </w:rPr>
        <w:t xml:space="preserve"> management.</w:t>
      </w:r>
    </w:p>
    <w:p w14:paraId="0EF2A7FE" w14:textId="0E236337" w:rsidR="00E16BEE" w:rsidRDefault="00E16BEE">
      <w:pPr>
        <w:rPr>
          <w:lang w:val="it-IT"/>
        </w:rPr>
      </w:pPr>
    </w:p>
    <w:p w14:paraId="7EA1E156" w14:textId="5BEAA8F3" w:rsidR="00E16BEE" w:rsidRDefault="00E16BEE">
      <w:pPr>
        <w:rPr>
          <w:lang w:val="it-IT"/>
        </w:rPr>
      </w:pPr>
      <w:r>
        <w:rPr>
          <w:lang w:val="it-IT"/>
        </w:rPr>
        <w:t>Cosa abbiamo fatto finora?</w:t>
      </w:r>
    </w:p>
    <w:p w14:paraId="54604DB0" w14:textId="19CB2623" w:rsidR="005862B4" w:rsidRDefault="005862B4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2182BC72" wp14:editId="56E68CC9">
            <wp:extent cx="5731510" cy="321500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F55" w14:textId="77777777" w:rsidR="00E16BEE" w:rsidRDefault="00E16BEE">
      <w:pPr>
        <w:rPr>
          <w:lang w:val="it-IT"/>
        </w:rPr>
      </w:pPr>
      <w:r>
        <w:rPr>
          <w:lang w:val="it-IT"/>
        </w:rPr>
        <w:t xml:space="preserve">-prima parte: definizione dei requisiti IT -&gt; passare da logica </w:t>
      </w:r>
      <w:proofErr w:type="spellStart"/>
      <w:r>
        <w:rPr>
          <w:lang w:val="it-IT"/>
        </w:rPr>
        <w:t>checklist</w:t>
      </w:r>
      <w:proofErr w:type="spellEnd"/>
      <w:r>
        <w:rPr>
          <w:lang w:val="it-IT"/>
        </w:rPr>
        <w:t xml:space="preserve"> ad albero decisionale: creato ambiente per tradurre output albero in linguaggio in cui VPC è scritta. Traduzione </w:t>
      </w:r>
      <w:proofErr w:type="spellStart"/>
      <w:r>
        <w:rPr>
          <w:lang w:val="it-IT"/>
        </w:rPr>
        <w:t>pmml</w:t>
      </w:r>
      <w:proofErr w:type="spellEnd"/>
      <w:r>
        <w:rPr>
          <w:lang w:val="it-IT"/>
        </w:rPr>
        <w:t xml:space="preserve"> in Java o altro. </w:t>
      </w:r>
    </w:p>
    <w:p w14:paraId="7550BDAF" w14:textId="5F81F557" w:rsidR="00E16BEE" w:rsidRDefault="00E16BEE">
      <w:pPr>
        <w:rPr>
          <w:lang w:val="it-IT"/>
        </w:rPr>
      </w:pPr>
      <w:r>
        <w:rPr>
          <w:lang w:val="it-IT"/>
        </w:rPr>
        <w:t xml:space="preserve">Fabio: Trasformeranno l’albero in una famiglia di </w:t>
      </w:r>
      <w:proofErr w:type="spellStart"/>
      <w:r>
        <w:rPr>
          <w:lang w:val="it-IT"/>
        </w:rPr>
        <w:t>checklist</w:t>
      </w:r>
      <w:proofErr w:type="spellEnd"/>
      <w:r>
        <w:rPr>
          <w:lang w:val="it-IT"/>
        </w:rPr>
        <w:t xml:space="preserve"> a seconda del ramo dell’albero</w:t>
      </w:r>
    </w:p>
    <w:p w14:paraId="17ADF528" w14:textId="34CAD89A" w:rsidR="005862B4" w:rsidRDefault="005862B4">
      <w:pPr>
        <w:rPr>
          <w:lang w:val="it-IT"/>
        </w:rPr>
      </w:pPr>
      <w:r>
        <w:rPr>
          <w:lang w:val="it-IT"/>
        </w:rPr>
        <w:lastRenderedPageBreak/>
        <w:t>Sono stati fatti interventi per rendere richiamabile questo prodotto non solo da VPC ma anche da altri sevizi.</w:t>
      </w:r>
    </w:p>
    <w:p w14:paraId="64E45380" w14:textId="65B3E917" w:rsidR="005862B4" w:rsidRDefault="005862B4">
      <w:pPr>
        <w:rPr>
          <w:lang w:val="it-IT"/>
        </w:rPr>
      </w:pPr>
      <w:r>
        <w:rPr>
          <w:lang w:val="it-IT"/>
        </w:rPr>
        <w:t>È stata richiesta l’integrazione di altri indicatori che oggi non sono agganciati alla VPC.</w:t>
      </w:r>
    </w:p>
    <w:p w14:paraId="420201AE" w14:textId="5426477B" w:rsidR="005862B4" w:rsidRDefault="005862B4">
      <w:pPr>
        <w:rPr>
          <w:lang w:val="it-IT"/>
        </w:rPr>
      </w:pPr>
      <w:r>
        <w:rPr>
          <w:lang w:val="it-IT"/>
        </w:rPr>
        <w:t>Entro questa settimana comunicare a DSI (IT di ISP) se ci sono modifiche da fare nella traduzione degli alberi nella loro architettura.</w:t>
      </w:r>
      <w:r w:rsidR="00E767D8">
        <w:rPr>
          <w:lang w:val="it-IT"/>
        </w:rPr>
        <w:t xml:space="preserve"> Responsabile DSI: Ilaria Pardo.</w:t>
      </w:r>
    </w:p>
    <w:p w14:paraId="5D7E25C7" w14:textId="440493D8" w:rsidR="00E16BEE" w:rsidRDefault="00E16BEE">
      <w:pPr>
        <w:rPr>
          <w:lang w:val="it-IT"/>
        </w:rPr>
      </w:pPr>
    </w:p>
    <w:p w14:paraId="7EA89CFB" w14:textId="4811BDD9" w:rsidR="005862B4" w:rsidRDefault="005862B4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27D039BB" wp14:editId="0321F070">
            <wp:extent cx="5731510" cy="3196590"/>
            <wp:effectExtent l="0" t="0" r="0" b="381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FA69" w14:textId="717D0C34" w:rsidR="005862B4" w:rsidRDefault="005862B4">
      <w:pPr>
        <w:rPr>
          <w:lang w:val="it-IT"/>
        </w:rPr>
      </w:pPr>
    </w:p>
    <w:p w14:paraId="654A22E5" w14:textId="1F678B86" w:rsidR="005862B4" w:rsidRDefault="005862B4">
      <w:pPr>
        <w:rPr>
          <w:lang w:val="it-IT"/>
        </w:rPr>
      </w:pPr>
      <w:r>
        <w:rPr>
          <w:lang w:val="it-IT"/>
        </w:rPr>
        <w:t>Piano di lavoro attuale</w:t>
      </w:r>
    </w:p>
    <w:p w14:paraId="62604AC0" w14:textId="4B0C228A" w:rsidR="005862B4" w:rsidRDefault="005862B4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1DECE91E" wp14:editId="6F4F2A06">
            <wp:extent cx="5731510" cy="319405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370" w14:textId="1159C467" w:rsidR="005862B4" w:rsidRDefault="005862B4">
      <w:pPr>
        <w:rPr>
          <w:lang w:val="it-IT"/>
        </w:rPr>
      </w:pPr>
    </w:p>
    <w:p w14:paraId="3BD050AD" w14:textId="20CD3A3B" w:rsidR="005862B4" w:rsidRDefault="005862B4">
      <w:pPr>
        <w:rPr>
          <w:lang w:val="it-IT"/>
        </w:rPr>
      </w:pPr>
      <w:r>
        <w:rPr>
          <w:lang w:val="it-IT"/>
        </w:rPr>
        <w:t>Prima scadenza: approvazione AFU (analisi funzionale)</w:t>
      </w:r>
      <w:r w:rsidR="00B344AD">
        <w:rPr>
          <w:lang w:val="it-IT"/>
        </w:rPr>
        <w:t xml:space="preserve">. </w:t>
      </w:r>
    </w:p>
    <w:p w14:paraId="7C3FADB1" w14:textId="2F5B9D31" w:rsidR="007F2281" w:rsidRDefault="007F2281">
      <w:pPr>
        <w:rPr>
          <w:lang w:val="it-IT"/>
        </w:rPr>
      </w:pPr>
    </w:p>
    <w:p w14:paraId="68AA3FE2" w14:textId="2C7B185D" w:rsidR="00996472" w:rsidRDefault="00996472">
      <w:pPr>
        <w:rPr>
          <w:lang w:val="it-IT"/>
        </w:rPr>
      </w:pPr>
      <w:r>
        <w:rPr>
          <w:lang w:val="it-IT"/>
        </w:rPr>
        <w:t xml:space="preserve">Call 15.40: </w:t>
      </w:r>
      <w:proofErr w:type="spellStart"/>
      <w:r>
        <w:rPr>
          <w:lang w:val="it-IT"/>
        </w:rPr>
        <w:t>onboarding</w:t>
      </w:r>
      <w:proofErr w:type="spellEnd"/>
    </w:p>
    <w:p w14:paraId="77126C78" w14:textId="72F6D6D9" w:rsidR="007F2281" w:rsidRDefault="007F2281">
      <w:pPr>
        <w:rPr>
          <w:lang w:val="it-IT"/>
        </w:rPr>
      </w:pPr>
      <w:r>
        <w:rPr>
          <w:lang w:val="it-IT"/>
        </w:rPr>
        <w:t>Differenza tra</w:t>
      </w:r>
    </w:p>
    <w:p w14:paraId="029D27B1" w14:textId="7005358A" w:rsidR="007F2281" w:rsidRPr="007F2281" w:rsidRDefault="007F2281">
      <w:pPr>
        <w:rPr>
          <w:lang w:val="en-US"/>
        </w:rPr>
      </w:pPr>
      <w:r w:rsidRPr="007F2281">
        <w:rPr>
          <w:lang w:val="en-US"/>
        </w:rPr>
        <w:lastRenderedPageBreak/>
        <w:t>-VPC full e light</w:t>
      </w:r>
    </w:p>
    <w:p w14:paraId="12E3EF30" w14:textId="2F389547" w:rsidR="007F2281" w:rsidRDefault="007F2281">
      <w:pPr>
        <w:rPr>
          <w:lang w:val="en-US"/>
        </w:rPr>
      </w:pPr>
      <w:r w:rsidRPr="007F2281">
        <w:rPr>
          <w:lang w:val="en-US"/>
        </w:rPr>
        <w:t>-V</w:t>
      </w:r>
      <w:r>
        <w:rPr>
          <w:lang w:val="en-US"/>
        </w:rPr>
        <w:t>PC 2.0</w:t>
      </w:r>
    </w:p>
    <w:p w14:paraId="28C39784" w14:textId="72986ACE" w:rsidR="00A70865" w:rsidRDefault="00A70865">
      <w:pPr>
        <w:rPr>
          <w:lang w:val="en-US"/>
        </w:rPr>
      </w:pPr>
    </w:p>
    <w:p w14:paraId="5C466874" w14:textId="27ECBFA7" w:rsidR="00A70865" w:rsidRDefault="00A70865">
      <w:pPr>
        <w:rPr>
          <w:lang w:val="it-IT"/>
        </w:rPr>
      </w:pPr>
      <w:r w:rsidRPr="00A70865">
        <w:rPr>
          <w:lang w:val="it-IT"/>
        </w:rPr>
        <w:t>Nel factoring il cliente su cui risi</w:t>
      </w:r>
      <w:r>
        <w:rPr>
          <w:lang w:val="it-IT"/>
        </w:rPr>
        <w:t xml:space="preserve">ede il rischio è quello ceduto che quindi viene </w:t>
      </w:r>
      <w:r w:rsidR="007D037E">
        <w:rPr>
          <w:lang w:val="it-IT"/>
        </w:rPr>
        <w:t>valutato manualmente, mentre il cedente è valutato automaticamente</w:t>
      </w:r>
    </w:p>
    <w:p w14:paraId="40812742" w14:textId="1C183D6B" w:rsidR="007D037E" w:rsidRDefault="007D037E">
      <w:pPr>
        <w:rPr>
          <w:lang w:val="it-IT"/>
        </w:rPr>
      </w:pPr>
      <w:r>
        <w:rPr>
          <w:lang w:val="it-IT"/>
        </w:rPr>
        <w:t xml:space="preserve">Nel </w:t>
      </w:r>
      <w:proofErr w:type="spellStart"/>
      <w:r>
        <w:rPr>
          <w:lang w:val="it-IT"/>
        </w:rPr>
        <w:t>confirming</w:t>
      </w:r>
      <w:proofErr w:type="spellEnd"/>
      <w:r>
        <w:rPr>
          <w:lang w:val="it-IT"/>
        </w:rPr>
        <w:t xml:space="preserve"> è al contrario</w:t>
      </w:r>
      <w:r w:rsidR="00996472">
        <w:rPr>
          <w:lang w:val="it-IT"/>
        </w:rPr>
        <w:t>. La VPC effettua un sottoinsieme dei controlli.</w:t>
      </w:r>
    </w:p>
    <w:p w14:paraId="68F8F65A" w14:textId="320FDBA6" w:rsidR="00996472" w:rsidRDefault="00996472">
      <w:pPr>
        <w:rPr>
          <w:lang w:val="it-IT"/>
        </w:rPr>
      </w:pPr>
    </w:p>
    <w:p w14:paraId="256A39EF" w14:textId="3CC5CD36" w:rsidR="00996472" w:rsidRDefault="00996472">
      <w:pPr>
        <w:rPr>
          <w:lang w:val="it-IT"/>
        </w:rPr>
      </w:pPr>
      <w:proofErr w:type="spellStart"/>
      <w:r>
        <w:rPr>
          <w:lang w:val="it-IT"/>
        </w:rPr>
        <w:t>Vairianti</w:t>
      </w:r>
      <w:proofErr w:type="spellEnd"/>
      <w:r>
        <w:rPr>
          <w:lang w:val="it-IT"/>
        </w:rPr>
        <w:t xml:space="preserve"> pro soluto e pro solvendo si differenziano per il rischio ma sono varianti dello stesso prodotto</w:t>
      </w:r>
    </w:p>
    <w:p w14:paraId="6E4D0AA2" w14:textId="67C51F14" w:rsidR="00996472" w:rsidRDefault="00996472">
      <w:pPr>
        <w:rPr>
          <w:lang w:val="it-IT"/>
        </w:rPr>
      </w:pPr>
      <w:r>
        <w:rPr>
          <w:lang w:val="it-IT"/>
        </w:rPr>
        <w:t>Il cedente presenta uno o più debitori, con PIVA e importo, entrano nel motorino VPC, vengono valutati secondo le logiche di seguito e secondo l’esito si può avere un finanziamento concesso in automatico o la pratica viene passata al valutatore umano (in banca è la concessione crediti).</w:t>
      </w:r>
    </w:p>
    <w:p w14:paraId="10463595" w14:textId="70825D82" w:rsidR="00434E4B" w:rsidRDefault="00434E4B">
      <w:pPr>
        <w:rPr>
          <w:lang w:val="it-IT"/>
        </w:rPr>
      </w:pPr>
    </w:p>
    <w:p w14:paraId="544A2FE6" w14:textId="05610713" w:rsidR="00434E4B" w:rsidRPr="00A70865" w:rsidRDefault="00434E4B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6591414" wp14:editId="749AD650">
            <wp:extent cx="5731510" cy="3186430"/>
            <wp:effectExtent l="0" t="0" r="0" b="127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1DAF" w14:textId="66AF4B0C" w:rsidR="007F2281" w:rsidRDefault="007F2281">
      <w:pPr>
        <w:rPr>
          <w:lang w:val="it-IT"/>
        </w:rPr>
      </w:pPr>
    </w:p>
    <w:p w14:paraId="6DDEFC46" w14:textId="23527A84" w:rsidR="00D570EC" w:rsidRDefault="00D570EC">
      <w:pPr>
        <w:rPr>
          <w:lang w:val="it-IT"/>
        </w:rPr>
      </w:pPr>
      <w:r>
        <w:rPr>
          <w:lang w:val="it-IT"/>
        </w:rPr>
        <w:t xml:space="preserve">Prima controlli su info: correttezza/mancanza CF, </w:t>
      </w:r>
      <w:proofErr w:type="spellStart"/>
      <w:r>
        <w:rPr>
          <w:lang w:val="it-IT"/>
        </w:rPr>
        <w:t>etc</w:t>
      </w:r>
      <w:proofErr w:type="spellEnd"/>
      <w:r>
        <w:rPr>
          <w:lang w:val="it-IT"/>
        </w:rPr>
        <w:t>, poi esito semaforico.</w:t>
      </w:r>
    </w:p>
    <w:p w14:paraId="6CEEC8AB" w14:textId="77777777" w:rsidR="00D570EC" w:rsidRDefault="00D570EC">
      <w:pPr>
        <w:rPr>
          <w:lang w:val="it-IT"/>
        </w:rPr>
      </w:pPr>
    </w:p>
    <w:p w14:paraId="2E32D081" w14:textId="4E59FA93" w:rsidR="00D570EC" w:rsidRDefault="00D570EC">
      <w:pPr>
        <w:rPr>
          <w:lang w:val="it-IT"/>
        </w:rPr>
      </w:pPr>
      <w:r>
        <w:rPr>
          <w:lang w:val="it-IT"/>
        </w:rPr>
        <w:t>Che controlli fa la VPC?</w:t>
      </w:r>
    </w:p>
    <w:p w14:paraId="10090DA4" w14:textId="77777777" w:rsidR="00D570EC" w:rsidRDefault="00D570EC" w:rsidP="00D570EC">
      <w:pPr>
        <w:pStyle w:val="ListParagraph"/>
        <w:numPr>
          <w:ilvl w:val="0"/>
          <w:numId w:val="1"/>
        </w:numPr>
        <w:rPr>
          <w:lang w:val="it-IT"/>
        </w:rPr>
      </w:pPr>
      <w:r w:rsidRPr="00D570EC">
        <w:rPr>
          <w:lang w:val="it-IT"/>
        </w:rPr>
        <w:t>Perimetro: la richiesta rientra nelle casistiche che la VPC può gestire; il ceduto non può essere soggetto estero -&gt; in automatico in giallo, non soggetto PA -&gt; giallo</w:t>
      </w:r>
    </w:p>
    <w:p w14:paraId="45B8F08A" w14:textId="77777777" w:rsidR="00D570EC" w:rsidRDefault="00D570EC" w:rsidP="00D570EC">
      <w:pPr>
        <w:pStyle w:val="ListParagraph"/>
        <w:numPr>
          <w:ilvl w:val="0"/>
          <w:numId w:val="1"/>
        </w:numPr>
        <w:rPr>
          <w:lang w:val="it-IT"/>
        </w:rPr>
      </w:pPr>
      <w:r w:rsidRPr="00D570EC">
        <w:rPr>
          <w:lang w:val="it-IT"/>
        </w:rPr>
        <w:t>Correttezza e completezza dei dati (36 controlli)</w:t>
      </w:r>
    </w:p>
    <w:p w14:paraId="4FAD0A5C" w14:textId="62F0B1D3" w:rsidR="00D570EC" w:rsidRDefault="00D570EC" w:rsidP="00D570EC">
      <w:pPr>
        <w:pStyle w:val="ListParagraph"/>
        <w:numPr>
          <w:ilvl w:val="0"/>
          <w:numId w:val="1"/>
        </w:numPr>
        <w:rPr>
          <w:lang w:val="it-IT"/>
        </w:rPr>
      </w:pPr>
      <w:r w:rsidRPr="00D570EC">
        <w:rPr>
          <w:lang w:val="it-IT"/>
        </w:rPr>
        <w:t>Controlli di merito</w:t>
      </w:r>
    </w:p>
    <w:p w14:paraId="46E2E7BC" w14:textId="7C510628" w:rsidR="00D570EC" w:rsidRDefault="00D570EC" w:rsidP="00D570EC">
      <w:pPr>
        <w:pStyle w:val="ListParagraph"/>
        <w:numPr>
          <w:ilvl w:val="0"/>
          <w:numId w:val="1"/>
        </w:numPr>
        <w:rPr>
          <w:lang w:val="it-IT"/>
        </w:rPr>
      </w:pPr>
      <w:r>
        <w:rPr>
          <w:lang w:val="it-IT"/>
        </w:rPr>
        <w:t xml:space="preserve">Valutazione soggetto dal punto di vista creditizio: 42 controlli per capire se il soggetto sarà in grado di risanare il debito. Es. Centrale rischi, scaduto di rate di </w:t>
      </w:r>
      <w:proofErr w:type="spellStart"/>
      <w:r>
        <w:rPr>
          <w:lang w:val="it-IT"/>
        </w:rPr>
        <w:t>alrti</w:t>
      </w:r>
      <w:proofErr w:type="spellEnd"/>
      <w:r>
        <w:rPr>
          <w:lang w:val="it-IT"/>
        </w:rPr>
        <w:t xml:space="preserve"> finanziamenti, </w:t>
      </w:r>
      <w:proofErr w:type="spellStart"/>
      <w:r>
        <w:rPr>
          <w:lang w:val="it-IT"/>
        </w:rPr>
        <w:t>etc</w:t>
      </w:r>
      <w:proofErr w:type="spellEnd"/>
      <w:r>
        <w:rPr>
          <w:lang w:val="it-IT"/>
        </w:rPr>
        <w:t>…</w:t>
      </w:r>
    </w:p>
    <w:p w14:paraId="4B6618F4" w14:textId="6637423B" w:rsidR="00D570EC" w:rsidRDefault="00D570EC" w:rsidP="00D570EC">
      <w:pPr>
        <w:rPr>
          <w:lang w:val="it-IT"/>
        </w:rPr>
      </w:pPr>
      <w:r>
        <w:rPr>
          <w:lang w:val="it-IT"/>
        </w:rPr>
        <w:t>Della lista di controlli resta da capire cosa può essere gestito dall’albero e cosa va inserito “a mano”.</w:t>
      </w:r>
    </w:p>
    <w:p w14:paraId="70F4B77C" w14:textId="772FF905" w:rsidR="00BE1428" w:rsidRDefault="00BE1428" w:rsidP="00D570EC">
      <w:pPr>
        <w:rPr>
          <w:lang w:val="it-IT"/>
        </w:rPr>
      </w:pPr>
    </w:p>
    <w:p w14:paraId="06712117" w14:textId="176E37AE" w:rsidR="00BE1428" w:rsidRDefault="00BE1428" w:rsidP="00D570EC">
      <w:pPr>
        <w:rPr>
          <w:lang w:val="it-IT"/>
        </w:rPr>
      </w:pPr>
      <w:r>
        <w:rPr>
          <w:lang w:val="it-IT"/>
        </w:rPr>
        <w:t>Q: Differenza tra albero semplice e definitivo?</w:t>
      </w:r>
    </w:p>
    <w:p w14:paraId="102F70AB" w14:textId="7A0315EB" w:rsidR="00BE1428" w:rsidRDefault="00BE1428" w:rsidP="00D570EC">
      <w:pPr>
        <w:rPr>
          <w:lang w:val="it-IT"/>
        </w:rPr>
      </w:pPr>
      <w:r>
        <w:rPr>
          <w:lang w:val="it-IT"/>
        </w:rPr>
        <w:lastRenderedPageBreak/>
        <w:t xml:space="preserve">Il primo è un momento di alberatura semplice -&gt; fast </w:t>
      </w:r>
      <w:proofErr w:type="spellStart"/>
      <w:r>
        <w:rPr>
          <w:lang w:val="it-IT"/>
        </w:rPr>
        <w:t>track</w:t>
      </w:r>
      <w:proofErr w:type="spellEnd"/>
      <w:r>
        <w:rPr>
          <w:lang w:val="it-IT"/>
        </w:rPr>
        <w:t xml:space="preserve"> su pratiche che mi portano direttamente in verde. Tutto il resto VPC attuale, fino a quando l’attuale viene spenta e mandato tutto all’albero decisionale (definitivo).</w:t>
      </w:r>
    </w:p>
    <w:p w14:paraId="636CC7F0" w14:textId="5F3F2DDC" w:rsidR="007F0B77" w:rsidRDefault="007F0B77" w:rsidP="00D570EC">
      <w:pPr>
        <w:rPr>
          <w:lang w:val="it-IT"/>
        </w:rPr>
      </w:pPr>
    </w:p>
    <w:p w14:paraId="15CF2B70" w14:textId="66E107CF" w:rsidR="007F0B77" w:rsidRDefault="007F0B77" w:rsidP="00D570EC">
      <w:pPr>
        <w:rPr>
          <w:lang w:val="it-IT"/>
        </w:rPr>
      </w:pPr>
      <w:r>
        <w:rPr>
          <w:lang w:val="it-IT"/>
        </w:rPr>
        <w:t>L’EWS oggi non è un indicatore del modello, quindi dovremo includerlo.</w:t>
      </w:r>
    </w:p>
    <w:p w14:paraId="61F58469" w14:textId="22E5A5C9" w:rsidR="007F0B77" w:rsidRDefault="007F0B77" w:rsidP="00D570EC">
      <w:pPr>
        <w:rPr>
          <w:lang w:val="it-IT"/>
        </w:rPr>
      </w:pPr>
    </w:p>
    <w:p w14:paraId="5F15CA3D" w14:textId="7D69C51A" w:rsidR="007F0B77" w:rsidRDefault="007F0B77" w:rsidP="00D570EC">
      <w:pPr>
        <w:rPr>
          <w:lang w:val="it-IT"/>
        </w:rPr>
      </w:pPr>
      <w:r>
        <w:rPr>
          <w:lang w:val="it-IT"/>
        </w:rPr>
        <w:t>Oggi il processo è inefficiente perché</w:t>
      </w:r>
      <w:r w:rsidR="00BD524E">
        <w:rPr>
          <w:lang w:val="it-IT"/>
        </w:rPr>
        <w:t xml:space="preserve"> troppe</w:t>
      </w:r>
      <w:r>
        <w:rPr>
          <w:lang w:val="it-IT"/>
        </w:rPr>
        <w:t xml:space="preserve"> pratiche </w:t>
      </w:r>
      <w:r w:rsidR="00BD524E">
        <w:rPr>
          <w:lang w:val="it-IT"/>
        </w:rPr>
        <w:t>vengono mandate in giallo (ammontano a 1/3 della somma richiesta).</w:t>
      </w:r>
    </w:p>
    <w:p w14:paraId="5DBB8256" w14:textId="515BC714" w:rsidR="00BD524E" w:rsidRDefault="00BD524E" w:rsidP="00D570EC">
      <w:pPr>
        <w:rPr>
          <w:lang w:val="it-IT"/>
        </w:rPr>
      </w:pPr>
      <w:r>
        <w:rPr>
          <w:lang w:val="it-IT"/>
        </w:rPr>
        <w:t xml:space="preserve">Q: il cliente che tipo di performance si aspetta dal nostro </w:t>
      </w:r>
      <w:proofErr w:type="spellStart"/>
      <w:r>
        <w:rPr>
          <w:lang w:val="it-IT"/>
        </w:rPr>
        <w:t>tool</w:t>
      </w:r>
      <w:proofErr w:type="spellEnd"/>
      <w:r>
        <w:rPr>
          <w:lang w:val="it-IT"/>
        </w:rPr>
        <w:t>?</w:t>
      </w:r>
    </w:p>
    <w:p w14:paraId="48F118DD" w14:textId="27DBC584" w:rsidR="00BD524E" w:rsidRDefault="00BD524E" w:rsidP="00D570EC">
      <w:pPr>
        <w:rPr>
          <w:lang w:val="it-IT"/>
        </w:rPr>
      </w:pPr>
      <w:r>
        <w:rPr>
          <w:lang w:val="it-IT"/>
        </w:rPr>
        <w:t>Da un’analisi descrittiva si vede che la maggior parte delle pratiche che vengono mandate in giallo sono approvate, quindi questo lascia spazio a un netto miglioramento.</w:t>
      </w:r>
    </w:p>
    <w:p w14:paraId="353523A8" w14:textId="112ED226" w:rsidR="00BD524E" w:rsidRDefault="00BD524E" w:rsidP="00D570EC">
      <w:pPr>
        <w:rPr>
          <w:lang w:val="it-IT"/>
        </w:rPr>
      </w:pPr>
      <w:r>
        <w:rPr>
          <w:lang w:val="it-IT"/>
        </w:rPr>
        <w:t>Si valuterà il numero delle pratiche da approvare (da giallo) anche incrociando con la capacità relativa al numero di pratiche da analizzare.</w:t>
      </w:r>
    </w:p>
    <w:p w14:paraId="4C40BD11" w14:textId="4A92046A" w:rsidR="005C276C" w:rsidRDefault="005C276C" w:rsidP="00D570EC">
      <w:pPr>
        <w:rPr>
          <w:lang w:val="it-IT"/>
        </w:rPr>
      </w:pPr>
    </w:p>
    <w:p w14:paraId="5EC02136" w14:textId="6586C95E" w:rsidR="005C276C" w:rsidRPr="005C276C" w:rsidRDefault="005C276C" w:rsidP="00D570EC">
      <w:pPr>
        <w:rPr>
          <w:b/>
          <w:bCs/>
          <w:lang w:val="it-IT"/>
        </w:rPr>
      </w:pPr>
      <w:r w:rsidRPr="005C276C">
        <w:rPr>
          <w:b/>
          <w:bCs/>
          <w:lang w:val="it-IT"/>
        </w:rPr>
        <w:t>Un po’ di persone lato cliente</w:t>
      </w:r>
    </w:p>
    <w:p w14:paraId="675A7049" w14:textId="387985BD" w:rsidR="005C276C" w:rsidRDefault="005C276C" w:rsidP="00D570EC">
      <w:pPr>
        <w:rPr>
          <w:lang w:val="it-IT"/>
        </w:rPr>
      </w:pPr>
      <w:r>
        <w:rPr>
          <w:lang w:val="it-IT"/>
        </w:rPr>
        <w:t xml:space="preserve">Lato </w:t>
      </w:r>
      <w:proofErr w:type="spellStart"/>
      <w:r>
        <w:rPr>
          <w:lang w:val="it-IT"/>
        </w:rPr>
        <w:t>risk</w:t>
      </w:r>
      <w:proofErr w:type="spellEnd"/>
      <w:r>
        <w:rPr>
          <w:lang w:val="it-IT"/>
        </w:rPr>
        <w:t xml:space="preserve"> management: Paolicelli, Luca Rezzonico. Con loro decideremo gli </w:t>
      </w:r>
      <w:proofErr w:type="spellStart"/>
      <w:r>
        <w:rPr>
          <w:lang w:val="it-IT"/>
        </w:rPr>
        <w:t>inetrevnti</w:t>
      </w:r>
      <w:proofErr w:type="spellEnd"/>
      <w:r>
        <w:rPr>
          <w:lang w:val="it-IT"/>
        </w:rPr>
        <w:t xml:space="preserve"> sulle regole in essere e gli indicatori per l’albero decisionale. Sono loro in banca gli </w:t>
      </w:r>
      <w:proofErr w:type="spellStart"/>
      <w:r>
        <w:rPr>
          <w:lang w:val="it-IT"/>
        </w:rPr>
        <w:t>owner</w:t>
      </w:r>
      <w:proofErr w:type="spellEnd"/>
      <w:r>
        <w:rPr>
          <w:lang w:val="it-IT"/>
        </w:rPr>
        <w:t xml:space="preserve"> delle regole di concessione.</w:t>
      </w:r>
    </w:p>
    <w:p w14:paraId="290C7C27" w14:textId="5F03AB80" w:rsidR="005C276C" w:rsidRDefault="005C276C" w:rsidP="00D570EC">
      <w:pPr>
        <w:rPr>
          <w:lang w:val="it-IT"/>
        </w:rPr>
      </w:pPr>
    </w:p>
    <w:p w14:paraId="2AD72458" w14:textId="3E291EDE" w:rsidR="005C276C" w:rsidRPr="00D570EC" w:rsidRDefault="005C276C" w:rsidP="00D570EC">
      <w:pPr>
        <w:rPr>
          <w:lang w:val="it-IT"/>
        </w:rPr>
      </w:pPr>
      <w:r>
        <w:rPr>
          <w:lang w:val="it-IT"/>
        </w:rPr>
        <w:t xml:space="preserve">Lato crediti: sottofamiglia di chi definisce le regole di concessione da un punto di vista di processo (chi decide cosa, qual è il processo creditizio. Referente Diego </w:t>
      </w:r>
      <w:proofErr w:type="spellStart"/>
      <w:r>
        <w:rPr>
          <w:lang w:val="it-IT"/>
        </w:rPr>
        <w:t>Scelfo</w:t>
      </w:r>
      <w:proofErr w:type="spellEnd"/>
      <w:r>
        <w:rPr>
          <w:lang w:val="it-IT"/>
        </w:rPr>
        <w:t xml:space="preserve"> (ex Bain).</w:t>
      </w:r>
    </w:p>
    <w:sectPr w:rsidR="005C276C" w:rsidRPr="00D570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EEC11" w14:textId="77777777" w:rsidR="004E13AF" w:rsidRDefault="004E13AF" w:rsidP="00BE1428">
      <w:r>
        <w:separator/>
      </w:r>
    </w:p>
  </w:endnote>
  <w:endnote w:type="continuationSeparator" w:id="0">
    <w:p w14:paraId="145ACF5C" w14:textId="77777777" w:rsidR="004E13AF" w:rsidRDefault="004E13AF" w:rsidP="00BE1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7D7CE" w14:textId="77777777" w:rsidR="004E13AF" w:rsidRDefault="004E13AF" w:rsidP="00BE1428">
      <w:r>
        <w:separator/>
      </w:r>
    </w:p>
  </w:footnote>
  <w:footnote w:type="continuationSeparator" w:id="0">
    <w:p w14:paraId="0D71A1A5" w14:textId="77777777" w:rsidR="004E13AF" w:rsidRDefault="004E13AF" w:rsidP="00BE14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200422"/>
    <w:multiLevelType w:val="hybridMultilevel"/>
    <w:tmpl w:val="5B10D4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6B3"/>
    <w:rsid w:val="000906B3"/>
    <w:rsid w:val="003E4930"/>
    <w:rsid w:val="00434E4B"/>
    <w:rsid w:val="004E13AF"/>
    <w:rsid w:val="005862B4"/>
    <w:rsid w:val="005C276C"/>
    <w:rsid w:val="00715B41"/>
    <w:rsid w:val="007209F0"/>
    <w:rsid w:val="007D037E"/>
    <w:rsid w:val="007F0B77"/>
    <w:rsid w:val="007F2281"/>
    <w:rsid w:val="00996472"/>
    <w:rsid w:val="00A70865"/>
    <w:rsid w:val="00B344AD"/>
    <w:rsid w:val="00BD524E"/>
    <w:rsid w:val="00BE1428"/>
    <w:rsid w:val="00D570EC"/>
    <w:rsid w:val="00E16BEE"/>
    <w:rsid w:val="00E76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67B6254"/>
  <w15:chartTrackingRefBased/>
  <w15:docId w15:val="{5B4A4830-10F6-694B-8129-D012E3931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9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9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570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14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1428"/>
  </w:style>
  <w:style w:type="paragraph" w:styleId="Footer">
    <w:name w:val="footer"/>
    <w:basedOn w:val="Normal"/>
    <w:link w:val="FooterChar"/>
    <w:uiPriority w:val="99"/>
    <w:unhideWhenUsed/>
    <w:rsid w:val="00BE14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14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Porto, Cinzia</dc:creator>
  <cp:keywords/>
  <dc:description/>
  <cp:lastModifiedBy>Di Porto, Cinzia</cp:lastModifiedBy>
  <cp:revision>10</cp:revision>
  <dcterms:created xsi:type="dcterms:W3CDTF">2022-01-24T09:32:00Z</dcterms:created>
  <dcterms:modified xsi:type="dcterms:W3CDTF">2022-01-24T15:16:00Z</dcterms:modified>
</cp:coreProperties>
</file>