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全部文献草稿素材包</w:t>
      </w:r>
    </w:p>
    <w:p>
      <w:r>
        <w:t>本文件由 Notion 文献数据库自动生成，用于论文写作前的材料整理。</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t>The International Journal of Human Resource Management</w:t>
            </w:r>
          </w:p>
        </w:tc>
        <w:tc>
          <w:tcPr>
            <w:tcW w:type="dxa" w:w="1440"/>
          </w:tcPr>
          <w:p>
            <w:r>
              <w:t>to-notion</w:t>
            </w:r>
          </w:p>
        </w:tc>
        <w:tc>
          <w:tcPr>
            <w:tcW w:type="dxa" w:w="1440"/>
          </w:tcPr>
          <w:p>
            <w:r/>
          </w:p>
        </w:tc>
      </w:tr>
      <w:tr>
        <w:tc>
          <w:tcPr>
            <w:tcW w:type="dxa" w:w="1440"/>
          </w:tcPr>
          <w:p>
            <w:r>
              <w:t>2</w:t>
            </w:r>
          </w:p>
        </w:tc>
        <w:tc>
          <w:tcPr>
            <w:tcW w:type="dxa" w:w="1440"/>
          </w:tcPr>
          <w:p>
            <w:r>
              <w:t>Allocative efficiency in public research funding: Can bibliometrics help?</w:t>
            </w:r>
          </w:p>
        </w:tc>
        <w:tc>
          <w:tcPr>
            <w:tcW w:type="dxa" w:w="1440"/>
          </w:tcPr>
          <w:p>
            <w:r>
              <w:t>2009</w:t>
            </w:r>
          </w:p>
        </w:tc>
        <w:tc>
          <w:tcPr>
            <w:tcW w:type="dxa" w:w="1440"/>
          </w:tcPr>
          <w:p>
            <w:r>
              <w:t>Research Policy</w:t>
            </w:r>
          </w:p>
        </w:tc>
        <w:tc>
          <w:tcPr>
            <w:tcW w:type="dxa" w:w="1440"/>
          </w:tcPr>
          <w:p>
            <w:r>
              <w:t>to-notion</w:t>
            </w:r>
          </w:p>
        </w:tc>
        <w:tc>
          <w:tcPr>
            <w:tcW w:type="dxa" w:w="1440"/>
          </w:tcPr>
          <w:p>
            <w:r/>
          </w:p>
        </w:tc>
      </w:tr>
      <w:tr>
        <w:tc>
          <w:tcPr>
            <w:tcW w:type="dxa" w:w="1440"/>
          </w:tcPr>
          <w:p>
            <w:r>
              <w:t>3</w:t>
            </w:r>
          </w:p>
        </w:tc>
        <w:tc>
          <w:tcPr>
            <w:tcW w:type="dxa" w:w="1440"/>
          </w:tcPr>
          <w:p>
            <w:r>
              <w:t>Consumer attitudes toward marketplace globalization: Structure, antecedents and consequences</w:t>
            </w:r>
          </w:p>
        </w:tc>
        <w:tc>
          <w:tcPr>
            <w:tcW w:type="dxa" w:w="1440"/>
          </w:tcPr>
          <w:p>
            <w:r>
              <w:t>2006</w:t>
            </w:r>
          </w:p>
        </w:tc>
        <w:tc>
          <w:tcPr>
            <w:tcW w:type="dxa" w:w="1440"/>
          </w:tcPr>
          <w:p>
            <w:r>
              <w:t>International Journal of Research in Marketing</w:t>
            </w:r>
          </w:p>
        </w:tc>
        <w:tc>
          <w:tcPr>
            <w:tcW w:type="dxa" w:w="1440"/>
          </w:tcPr>
          <w:p>
            <w:r>
              <w:t>to-notion</w:t>
            </w:r>
          </w:p>
        </w:tc>
        <w:tc>
          <w:tcPr>
            <w:tcW w:type="dxa" w:w="1440"/>
          </w:tcPr>
          <w:p>
            <w:r/>
          </w:p>
        </w:tc>
      </w:tr>
      <w:tr>
        <w:tc>
          <w:tcPr>
            <w:tcW w:type="dxa" w:w="1440"/>
          </w:tcPr>
          <w:p>
            <w:r>
              <w:t>4</w:t>
            </w:r>
          </w:p>
        </w:tc>
        <w:tc>
          <w:tcPr>
            <w:tcW w:type="dxa" w:w="1440"/>
          </w:tcPr>
          <w:p>
            <w:r>
              <w:t>The Brand Relationship Spectrum: The Key to the Brand Architecture Challenge</w:t>
            </w:r>
          </w:p>
        </w:tc>
        <w:tc>
          <w:tcPr>
            <w:tcW w:type="dxa" w:w="1440"/>
          </w:tcPr>
          <w:p>
            <w:r>
              <w:t>2000</w:t>
            </w:r>
          </w:p>
        </w:tc>
        <w:tc>
          <w:tcPr>
            <w:tcW w:type="dxa" w:w="1440"/>
          </w:tcPr>
          <w:p>
            <w:r>
              <w:t>California Management Review</w:t>
            </w:r>
          </w:p>
        </w:tc>
        <w:tc>
          <w:tcPr>
            <w:tcW w:type="dxa" w:w="1440"/>
          </w:tcPr>
          <w:p>
            <w:r>
              <w:t>to-notion</w:t>
            </w:r>
          </w:p>
        </w:tc>
        <w:tc>
          <w:tcPr>
            <w:tcW w:type="dxa" w:w="1440"/>
          </w:tcPr>
          <w:p>
            <w:r/>
          </w:p>
        </w:tc>
      </w:tr>
      <w:tr>
        <w:tc>
          <w:tcPr>
            <w:tcW w:type="dxa" w:w="1440"/>
          </w:tcPr>
          <w:p>
            <w:r>
              <w:t>5</w:t>
            </w:r>
          </w:p>
        </w:tc>
        <w:tc>
          <w:tcPr>
            <w:tcW w:type="dxa" w:w="1440"/>
          </w:tcPr>
          <w:p>
            <w:r>
              <w:t>Measuring Brand Equity Across Products and Markets</w:t>
            </w:r>
          </w:p>
        </w:tc>
        <w:tc>
          <w:tcPr>
            <w:tcW w:type="dxa" w:w="1440"/>
          </w:tcPr>
          <w:p>
            <w:r>
              <w:t>1996</w:t>
            </w:r>
          </w:p>
        </w:tc>
        <w:tc>
          <w:tcPr>
            <w:tcW w:type="dxa" w:w="1440"/>
          </w:tcPr>
          <w:p>
            <w:r>
              <w:t>California Management Review</w:t>
            </w:r>
          </w:p>
        </w:tc>
        <w:tc>
          <w:tcPr>
            <w:tcW w:type="dxa" w:w="1440"/>
          </w:tcPr>
          <w:p>
            <w:r>
              <w:t>to-notion</w:t>
            </w:r>
          </w:p>
        </w:tc>
        <w:tc>
          <w:tcPr>
            <w:tcW w:type="dxa" w:w="1440"/>
          </w:tcPr>
          <w:p>
            <w:r/>
          </w:p>
        </w:tc>
      </w:tr>
      <w:tr>
        <w:tc>
          <w:tcPr>
            <w:tcW w:type="dxa" w:w="1440"/>
          </w:tcPr>
          <w:p>
            <w:r>
              <w:t>6</w:t>
            </w:r>
          </w:p>
        </w:tc>
        <w:tc>
          <w:tcPr>
            <w:tcW w:type="dxa" w:w="1440"/>
          </w:tcPr>
          <w:p>
            <w:r>
              <w:t>Leveraging the Corporate Brand</w:t>
            </w:r>
          </w:p>
        </w:tc>
        <w:tc>
          <w:tcPr>
            <w:tcW w:type="dxa" w:w="1440"/>
          </w:tcPr>
          <w:p>
            <w:r/>
          </w:p>
        </w:tc>
        <w:tc>
          <w:tcPr>
            <w:tcW w:type="dxa" w:w="1440"/>
          </w:tcPr>
          <w:p>
            <w:r/>
          </w:p>
        </w:tc>
        <w:tc>
          <w:tcPr>
            <w:tcW w:type="dxa" w:w="1440"/>
          </w:tcPr>
          <w:p>
            <w:r>
              <w:t>to-notion</w:t>
            </w:r>
          </w:p>
        </w:tc>
        <w:tc>
          <w:tcPr>
            <w:tcW w:type="dxa" w:w="1440"/>
          </w:tcPr>
          <w:p>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r>
        <w:rPr>
          <w:b/>
        </w:rPr>
        <w:t>英文题名：</w:t>
      </w:r>
      <w:r>
        <w:t>The link between perceived human resource management practices, engagement and employee behaviour: a moderated mediation model</w:t>
      </w:r>
    </w:p>
    <w:p>
      <w:r>
        <w:rPr>
          <w:b/>
        </w:rPr>
        <w:t>作者：</w:t>
      </w:r>
      <w:r>
        <w:t>K. Alfes; A. D. Shantz; C. Truss; E. C. Soane</w:t>
      </w:r>
    </w:p>
    <w:p>
      <w:r>
        <w:rPr>
          <w:b/>
        </w:rPr>
        <w:t>年份：</w:t>
      </w:r>
      <w:r>
        <w:t>2013</w:t>
      </w:r>
    </w:p>
    <w:p>
      <w:r>
        <w:rPr>
          <w:b/>
        </w:rPr>
        <w:t>来源：</w:t>
      </w:r>
      <w:r>
        <w:t>The International Journal of Human Resource Management</w:t>
      </w:r>
    </w:p>
    <w:p>
      <w:r>
        <w:rPr>
          <w:b/>
        </w:rPr>
        <w:t>DOI：</w:t>
      </w:r>
      <w:r>
        <w:t>10.1080/09585192.2012.679950</w:t>
      </w:r>
    </w:p>
    <w:p>
      <w:r>
        <w:rPr>
          <w:b/>
        </w:rPr>
        <w:t>主题：</w:t>
      </w:r>
      <w:r>
        <w:t>to-notion</w:t>
      </w:r>
    </w:p>
    <w:p>
      <w:pPr>
        <w:pStyle w:val="Heading3"/>
      </w:pPr>
      <w:r>
        <w:t>原文摘要</w:t>
      </w:r>
    </w:p>
    <w:p>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
      <w:pPr>
        <w:pStyle w:val="Heading2"/>
      </w:pPr>
      <w:r>
        <w:t>2. Allocative efficiency in public research funding: Can bibliometrics help?</w:t>
      </w:r>
    </w:p>
    <w:p>
      <w:r>
        <w:rPr>
          <w:b/>
        </w:rPr>
        <w:t>英文题名：</w:t>
      </w:r>
      <w:r>
        <w:t>Allocative efficiency in public research funding: Can bibliometrics help?</w:t>
      </w:r>
    </w:p>
    <w:p>
      <w:r>
        <w:rPr>
          <w:b/>
        </w:rPr>
        <w:t>作者：</w:t>
      </w:r>
      <w:r>
        <w:t>Giovanni Abramo; Ciriaco Andrea D’Angelo; Alessandro Caprasecca</w:t>
      </w:r>
    </w:p>
    <w:p>
      <w:r>
        <w:rPr>
          <w:b/>
        </w:rPr>
        <w:t>年份：</w:t>
      </w:r>
      <w:r>
        <w:t>2009</w:t>
      </w:r>
    </w:p>
    <w:p>
      <w:r>
        <w:rPr>
          <w:b/>
        </w:rPr>
        <w:t>来源：</w:t>
      </w:r>
      <w:r>
        <w:t>Research Policy</w:t>
      </w:r>
    </w:p>
    <w:p>
      <w:r>
        <w:rPr>
          <w:b/>
        </w:rPr>
        <w:t>DOI：</w:t>
      </w:r>
      <w:r>
        <w:t>10.1016/j.respol.2008.11.001</w:t>
      </w:r>
    </w:p>
    <w:p>
      <w:r>
        <w:rPr>
          <w:b/>
        </w:rPr>
        <w:t>主题：</w:t>
      </w:r>
      <w:r>
        <w:t>to-notion</w:t>
      </w:r>
    </w:p>
    <w:p>
      <w:pPr>
        <w:pStyle w:val="Heading3"/>
      </w:pPr>
      <w:r>
        <w:t>原文摘要</w:t>
      </w:r>
    </w:p>
    <w:p>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
      <w:pPr>
        <w:pStyle w:val="Heading2"/>
      </w:pPr>
      <w:r>
        <w:t>3. Consumer attitudes toward marketplace globalization: Structure, antecedents and consequences</w:t>
      </w:r>
    </w:p>
    <w:p>
      <w:r>
        <w:rPr>
          <w:b/>
        </w:rPr>
        <w:t>英文题名：</w:t>
      </w:r>
      <w:r>
        <w:t>Consumer attitudes toward marketplace globalization: Structure, antecedents and consequences</w:t>
      </w:r>
    </w:p>
    <w:p>
      <w:r>
        <w:rPr>
          <w:b/>
        </w:rPr>
        <w:t>作者：</w:t>
      </w:r>
      <w:r>
        <w:t>Dana L. Alden; Jan-Benedict E.M. Steenkamp; Rajeev Batra</w:t>
      </w:r>
    </w:p>
    <w:p>
      <w:r>
        <w:rPr>
          <w:b/>
        </w:rPr>
        <w:t>年份：</w:t>
      </w:r>
      <w:r>
        <w:t>2006</w:t>
      </w:r>
    </w:p>
    <w:p>
      <w:r>
        <w:rPr>
          <w:b/>
        </w:rPr>
        <w:t>来源：</w:t>
      </w:r>
      <w:r>
        <w:t>International Journal of Research in Marketing</w:t>
      </w:r>
    </w:p>
    <w:p>
      <w:r>
        <w:rPr>
          <w:b/>
        </w:rPr>
        <w:t>DOI：</w:t>
      </w:r>
      <w:r>
        <w:t>10.1016/j.ijresmar.2006.01.010</w:t>
      </w:r>
    </w:p>
    <w:p>
      <w:r>
        <w:rPr>
          <w:b/>
        </w:rPr>
        <w:t>主题：</w:t>
      </w:r>
      <w:r>
        <w:t>to-notion</w:t>
      </w:r>
    </w:p>
    <w:p>
      <w:pPr>
        <w:pStyle w:val="Heading3"/>
      </w:pPr>
      <w:r>
        <w:t>原文摘要</w:t>
      </w:r>
    </w:p>
    <w:p>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
      <w:pPr>
        <w:pStyle w:val="Heading2"/>
      </w:pPr>
      <w:r>
        <w:t>4. The Brand Relationship Spectrum: The Key to the Brand Architecture Challenge</w:t>
      </w:r>
    </w:p>
    <w:p>
      <w:r>
        <w:rPr>
          <w:b/>
        </w:rPr>
        <w:t>英文题名：</w:t>
      </w:r>
      <w:r>
        <w:t>The Brand Relationship Spectrum: The Key to the Brand Architecture Challenge</w:t>
      </w:r>
    </w:p>
    <w:p>
      <w:r>
        <w:rPr>
          <w:b/>
        </w:rPr>
        <w:t>作者：</w:t>
      </w:r>
      <w:r>
        <w:t>David A. Aaker; Erich Joachimsthaler</w:t>
      </w:r>
    </w:p>
    <w:p>
      <w:r>
        <w:rPr>
          <w:b/>
        </w:rPr>
        <w:t>年份：</w:t>
      </w:r>
      <w:r>
        <w:t>2000</w:t>
      </w:r>
    </w:p>
    <w:p>
      <w:r>
        <w:rPr>
          <w:b/>
        </w:rPr>
        <w:t>来源：</w:t>
      </w:r>
      <w:r>
        <w:t>California Management Review</w:t>
      </w:r>
    </w:p>
    <w:p>
      <w:r>
        <w:rPr>
          <w:b/>
        </w:rPr>
        <w:t>DOI：</w:t>
      </w:r>
      <w:r>
        <w:t>10.1177/000812560004200401</w:t>
      </w:r>
    </w:p>
    <w:p>
      <w:r>
        <w:rPr>
          <w:b/>
        </w:rPr>
        <w:t>主题：</w:t>
      </w:r>
      <w:r>
        <w:t>to-notion</w:t>
      </w:r>
    </w:p>
    <w:p/>
    <w:p>
      <w:pPr>
        <w:pStyle w:val="Heading2"/>
      </w:pPr>
      <w:r>
        <w:t>5. Measuring Brand Equity Across Products and Markets</w:t>
      </w:r>
    </w:p>
    <w:p>
      <w:r>
        <w:rPr>
          <w:b/>
        </w:rPr>
        <w:t>英文题名：</w:t>
      </w:r>
      <w:r>
        <w:t>Measuring Brand Equity Across Products and Markets</w:t>
      </w:r>
    </w:p>
    <w:p>
      <w:r>
        <w:rPr>
          <w:b/>
        </w:rPr>
        <w:t>作者：</w:t>
      </w:r>
      <w:r>
        <w:t>David A. Aaker</w:t>
      </w:r>
    </w:p>
    <w:p>
      <w:r>
        <w:rPr>
          <w:b/>
        </w:rPr>
        <w:t>年份：</w:t>
      </w:r>
      <w:r>
        <w:t>1996</w:t>
      </w:r>
    </w:p>
    <w:p>
      <w:r>
        <w:rPr>
          <w:b/>
        </w:rPr>
        <w:t>来源：</w:t>
      </w:r>
      <w:r>
        <w:t>California Management Review</w:t>
      </w:r>
    </w:p>
    <w:p>
      <w:r>
        <w:rPr>
          <w:b/>
        </w:rPr>
        <w:t>DOI：</w:t>
      </w:r>
      <w:r>
        <w:t>10.2307/41165845</w:t>
      </w:r>
    </w:p>
    <w:p>
      <w:r>
        <w:rPr>
          <w:b/>
        </w:rPr>
        <w:t>主题：</w:t>
      </w:r>
      <w:r>
        <w:t>to-notion</w:t>
      </w:r>
    </w:p>
    <w:p/>
    <w:p>
      <w:pPr>
        <w:pStyle w:val="Heading2"/>
      </w:pPr>
      <w:r>
        <w:t>6. Leveraging the Corporate Brand</w:t>
      </w:r>
    </w:p>
    <w:p>
      <w:r>
        <w:rPr>
          <w:b/>
        </w:rPr>
        <w:t>英文题名：</w:t>
      </w:r>
      <w:r>
        <w:t>Leveraging the Corporate Brand</w:t>
      </w:r>
    </w:p>
    <w:p>
      <w:r>
        <w:rPr>
          <w:b/>
        </w:rPr>
        <w:t>作者：</w:t>
      </w:r>
      <w:r>
        <w:t>David A Aaker</w:t>
      </w:r>
    </w:p>
    <w:p>
      <w:r>
        <w:rPr>
          <w:b/>
        </w:rPr>
        <w:t>主题：</w:t>
      </w:r>
      <w:r>
        <w:t>to-notion</w:t>
      </w:r>
    </w:p>
    <w:p>
      <w:pPr>
        <w:pStyle w:val="Heading3"/>
      </w:pPr>
      <w:r>
        <w:t>可支持论点</w:t>
      </w:r>
    </w:p>
    <w:p>
      <w:r>
        <w:t>53535353</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