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全部文献草稿素材包</w:t>
      </w:r>
    </w:p>
    <w:p>
      <w:r>
        <w:t>本文件由 Notion 文献数据库自动生成，用于论文写作前的材料整理。</w:t>
      </w:r>
    </w:p>
    <w:p>
      <w:r>
        <w:t>文献数量：6</w:t>
      </w:r>
    </w:p>
    <w:p>
      <w:pPr>
        <w:pStyle w:val="Heading1"/>
      </w:pPr>
      <w:r>
        <w:t>一、文献清单</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序号</w:t>
            </w:r>
          </w:p>
        </w:tc>
        <w:tc>
          <w:tcPr>
            <w:tcW w:type="dxa" w:w="1440"/>
          </w:tcPr>
          <w:p>
            <w:r>
              <w:t>题名</w:t>
            </w:r>
          </w:p>
        </w:tc>
        <w:tc>
          <w:tcPr>
            <w:tcW w:type="dxa" w:w="1440"/>
          </w:tcPr>
          <w:p>
            <w:r>
              <w:t>年份</w:t>
            </w:r>
          </w:p>
        </w:tc>
        <w:tc>
          <w:tcPr>
            <w:tcW w:type="dxa" w:w="1440"/>
          </w:tcPr>
          <w:p>
            <w:r>
              <w:t>来源</w:t>
            </w:r>
          </w:p>
        </w:tc>
        <w:tc>
          <w:tcPr>
            <w:tcW w:type="dxa" w:w="1440"/>
          </w:tcPr>
          <w:p>
            <w:r>
              <w:t>主题</w:t>
            </w:r>
          </w:p>
        </w:tc>
        <w:tc>
          <w:tcPr>
            <w:tcW w:type="dxa" w:w="1440"/>
          </w:tcPr>
          <w:p>
            <w:r>
              <w:t>对应章节</w:t>
            </w:r>
          </w:p>
        </w:tc>
      </w:tr>
      <w:tr>
        <w:tc>
          <w:tcPr>
            <w:tcW w:type="dxa" w:w="1440"/>
          </w:tcPr>
          <w:p>
            <w:r>
              <w:t>1</w:t>
            </w:r>
          </w:p>
        </w:tc>
        <w:tc>
          <w:tcPr>
            <w:tcW w:type="dxa" w:w="1440"/>
          </w:tcPr>
          <w:p>
            <w:r>
              <w:t>The link between perceived human resource management practices, engagement and employee behaviour: a moderated mediation model</w:t>
            </w:r>
          </w:p>
        </w:tc>
        <w:tc>
          <w:tcPr>
            <w:tcW w:type="dxa" w:w="1440"/>
          </w:tcPr>
          <w:p>
            <w:r>
              <w:t>2013</w:t>
            </w:r>
          </w:p>
        </w:tc>
        <w:tc>
          <w:tcPr>
            <w:tcW w:type="dxa" w:w="1440"/>
          </w:tcPr>
          <w:p>
            <w:r/>
          </w:p>
        </w:tc>
        <w:tc>
          <w:tcPr>
            <w:tcW w:type="dxa" w:w="1440"/>
          </w:tcPr>
          <w:p>
            <w:r>
              <w:t>to-notion, Method, Theory, Survey</w:t>
            </w:r>
          </w:p>
        </w:tc>
        <w:tc>
          <w:tcPr>
            <w:tcW w:type="dxa" w:w="1440"/>
          </w:tcPr>
          <w:p>
            <w:r/>
          </w:p>
        </w:tc>
      </w:tr>
      <w:tr>
        <w:tc>
          <w:tcPr>
            <w:tcW w:type="dxa" w:w="1440"/>
          </w:tcPr>
          <w:p>
            <w:r>
              <w:t>2</w:t>
            </w:r>
          </w:p>
        </w:tc>
        <w:tc>
          <w:tcPr>
            <w:tcW w:type="dxa" w:w="1440"/>
          </w:tcPr>
          <w:p>
            <w:r>
              <w:t>Allocative efficiency in public research funding: Can bibliometrics help?</w:t>
            </w:r>
          </w:p>
        </w:tc>
        <w:tc>
          <w:tcPr>
            <w:tcW w:type="dxa" w:w="1440"/>
          </w:tcPr>
          <w:p>
            <w:r>
              <w:t>2009</w:t>
            </w:r>
          </w:p>
        </w:tc>
        <w:tc>
          <w:tcPr>
            <w:tcW w:type="dxa" w:w="1440"/>
          </w:tcPr>
          <w:p>
            <w:r/>
          </w:p>
        </w:tc>
        <w:tc>
          <w:tcPr>
            <w:tcW w:type="dxa" w:w="1440"/>
          </w:tcPr>
          <w:p>
            <w:r>
              <w:t>to-notion, Method, Experiment</w:t>
            </w:r>
          </w:p>
        </w:tc>
        <w:tc>
          <w:tcPr>
            <w:tcW w:type="dxa" w:w="1440"/>
          </w:tcPr>
          <w:p>
            <w:r/>
          </w:p>
        </w:tc>
      </w:tr>
      <w:tr>
        <w:tc>
          <w:tcPr>
            <w:tcW w:type="dxa" w:w="1440"/>
          </w:tcPr>
          <w:p>
            <w:r>
              <w:t>3</w:t>
            </w:r>
          </w:p>
        </w:tc>
        <w:tc>
          <w:tcPr>
            <w:tcW w:type="dxa" w:w="1440"/>
          </w:tcPr>
          <w:p>
            <w:r>
              <w:t>Consumer attitudes toward marketplace globalization: Structure, antecedents and consequences</w:t>
            </w:r>
          </w:p>
        </w:tc>
        <w:tc>
          <w:tcPr>
            <w:tcW w:type="dxa" w:w="1440"/>
          </w:tcPr>
          <w:p>
            <w:r>
              <w:t>2006</w:t>
            </w:r>
          </w:p>
        </w:tc>
        <w:tc>
          <w:tcPr>
            <w:tcW w:type="dxa" w:w="1440"/>
          </w:tcPr>
          <w:p>
            <w:r/>
          </w:p>
        </w:tc>
        <w:tc>
          <w:tcPr>
            <w:tcW w:type="dxa" w:w="1440"/>
          </w:tcPr>
          <w:p>
            <w:r>
              <w:t>to-notion, Survey</w:t>
            </w:r>
          </w:p>
        </w:tc>
        <w:tc>
          <w:tcPr>
            <w:tcW w:type="dxa" w:w="1440"/>
          </w:tcPr>
          <w:p>
            <w:r/>
          </w:p>
        </w:tc>
      </w:tr>
      <w:tr>
        <w:tc>
          <w:tcPr>
            <w:tcW w:type="dxa" w:w="1440"/>
          </w:tcPr>
          <w:p>
            <w:r>
              <w:t>4</w:t>
            </w:r>
          </w:p>
        </w:tc>
        <w:tc>
          <w:tcPr>
            <w:tcW w:type="dxa" w:w="1440"/>
          </w:tcPr>
          <w:p>
            <w:r>
              <w:t>The Brand Relationship Spectrum: The Key to the Brand Architecture Challenge</w:t>
            </w:r>
          </w:p>
        </w:tc>
        <w:tc>
          <w:tcPr>
            <w:tcW w:type="dxa" w:w="1440"/>
          </w:tcPr>
          <w:p>
            <w:r>
              <w:t>2000</w:t>
            </w:r>
          </w:p>
        </w:tc>
        <w:tc>
          <w:tcPr>
            <w:tcW w:type="dxa" w:w="1440"/>
          </w:tcPr>
          <w:p>
            <w:r/>
          </w:p>
        </w:tc>
        <w:tc>
          <w:tcPr>
            <w:tcW w:type="dxa" w:w="1440"/>
          </w:tcPr>
          <w:p>
            <w:r>
              <w:t>to-notion</w:t>
            </w:r>
          </w:p>
        </w:tc>
        <w:tc>
          <w:tcPr>
            <w:tcW w:type="dxa" w:w="1440"/>
          </w:tcPr>
          <w:p>
            <w:r/>
          </w:p>
        </w:tc>
      </w:tr>
      <w:tr>
        <w:tc>
          <w:tcPr>
            <w:tcW w:type="dxa" w:w="1440"/>
          </w:tcPr>
          <w:p>
            <w:r>
              <w:t>5</w:t>
            </w:r>
          </w:p>
        </w:tc>
        <w:tc>
          <w:tcPr>
            <w:tcW w:type="dxa" w:w="1440"/>
          </w:tcPr>
          <w:p>
            <w:r>
              <w:t>Measuring Brand Equity Across Products and Markets</w:t>
            </w:r>
          </w:p>
        </w:tc>
        <w:tc>
          <w:tcPr>
            <w:tcW w:type="dxa" w:w="1440"/>
          </w:tcPr>
          <w:p>
            <w:r>
              <w:t>1996</w:t>
            </w:r>
          </w:p>
        </w:tc>
        <w:tc>
          <w:tcPr>
            <w:tcW w:type="dxa" w:w="1440"/>
          </w:tcPr>
          <w:p>
            <w:r/>
          </w:p>
        </w:tc>
        <w:tc>
          <w:tcPr>
            <w:tcW w:type="dxa" w:w="1440"/>
          </w:tcPr>
          <w:p>
            <w:r>
              <w:t>to-notion</w:t>
            </w:r>
          </w:p>
        </w:tc>
        <w:tc>
          <w:tcPr>
            <w:tcW w:type="dxa" w:w="1440"/>
          </w:tcPr>
          <w:p>
            <w:r/>
          </w:p>
        </w:tc>
      </w:tr>
      <w:tr>
        <w:tc>
          <w:tcPr>
            <w:tcW w:type="dxa" w:w="1440"/>
          </w:tcPr>
          <w:p>
            <w:r>
              <w:t>6</w:t>
            </w:r>
          </w:p>
        </w:tc>
        <w:tc>
          <w:tcPr>
            <w:tcW w:type="dxa" w:w="1440"/>
          </w:tcPr>
          <w:p>
            <w:r>
              <w:t>Leveraging the Corporate Brand</w:t>
            </w:r>
          </w:p>
        </w:tc>
        <w:tc>
          <w:tcPr>
            <w:tcW w:type="dxa" w:w="1440"/>
          </w:tcPr>
          <w:p>
            <w:r/>
          </w:p>
        </w:tc>
        <w:tc>
          <w:tcPr>
            <w:tcW w:type="dxa" w:w="1440"/>
          </w:tcPr>
          <w:p>
            <w:r/>
          </w:p>
        </w:tc>
        <w:tc>
          <w:tcPr>
            <w:tcW w:type="dxa" w:w="1440"/>
          </w:tcPr>
          <w:p>
            <w:r>
              <w:t>to-notion</w:t>
            </w:r>
          </w:p>
        </w:tc>
        <w:tc>
          <w:tcPr>
            <w:tcW w:type="dxa" w:w="1440"/>
          </w:tcPr>
          <w:p>
            <w:r/>
          </w:p>
        </w:tc>
      </w:tr>
    </w:tbl>
    <w:p>
      <w:r>
        <w:br w:type="page"/>
      </w:r>
    </w:p>
    <w:p>
      <w:pPr>
        <w:pStyle w:val="Heading1"/>
      </w:pPr>
      <w:r>
        <w:t>二、文献材料详情</w:t>
      </w:r>
    </w:p>
    <w:p>
      <w:pPr>
        <w:pStyle w:val="Heading2"/>
      </w:pPr>
      <w:r>
        <w:t>1. The link between perceived human resource management practices, engagement and employee behaviour: a moderated mediation model</w:t>
      </w:r>
    </w:p>
    <w:p>
      <w:r>
        <w:rPr>
          <w:b/>
        </w:rPr>
        <w:t>英文题名：</w:t>
      </w:r>
      <w:r>
        <w:t>The link between perceived human resource management practices, engagement and employee behaviour: a moderated mediation model</w:t>
      </w:r>
    </w:p>
    <w:p>
      <w:r>
        <w:rPr>
          <w:b/>
        </w:rPr>
        <w:t>作者：</w:t>
      </w:r>
      <w:r>
        <w:t>K. Alfes; A. D. Shantz; C. Truss; E. C. Soane</w:t>
      </w:r>
    </w:p>
    <w:p>
      <w:r>
        <w:rPr>
          <w:b/>
        </w:rPr>
        <w:t>年份：</w:t>
      </w:r>
      <w:r>
        <w:t>2013</w:t>
      </w:r>
    </w:p>
    <w:p>
      <w:r>
        <w:rPr>
          <w:b/>
        </w:rPr>
        <w:t>DOI：</w:t>
      </w:r>
      <w:r>
        <w:t>10.1080/09585192.2012.679950</w:t>
      </w:r>
    </w:p>
    <w:p>
      <w:r>
        <w:rPr>
          <w:b/>
        </w:rPr>
        <w:t>主题：</w:t>
      </w:r>
      <w:r>
        <w:t>to-notion, Method, Theory, Survey</w:t>
      </w:r>
    </w:p>
    <w:p>
      <w:pPr>
        <w:pStyle w:val="Heading3"/>
      </w:pPr>
      <w:r>
        <w:t>原文摘要</w:t>
      </w:r>
    </w:p>
    <w:p>
      <w:r>
        <w:t>This study contributes to our understanding of the mediating and moderating processes through which human resource management practices are linked with behavioural outcomes. We developed and tested a moderated mediation model linking perceived human resource management practices to organisational citizenship behaviour and turnover intentions. Drawing on social exchange theory, our model posits that the effect of perceived human resource management practices on both outcome variables is mediated by levels of employee engagement, while the relationship between employee engagement and both outcome variables is moderated by perceived organisational support and leader-member exchange. Overall, data from 297 employees in a service sector organisation in the UK support this model. This suggests that the enactment of positive behavioural outcomes, as a consequence of engagement, largely depends on the wider organisational climate and employees’ relationship with their line manager. Implications for practice and directions for future research are discussed.</w:t>
      </w:r>
    </w:p>
    <w:p/>
    <w:p>
      <w:pPr>
        <w:pStyle w:val="Heading2"/>
      </w:pPr>
      <w:r>
        <w:t>2. Allocative efficiency in public research funding: Can bibliometrics help?</w:t>
      </w:r>
    </w:p>
    <w:p>
      <w:r>
        <w:rPr>
          <w:b/>
        </w:rPr>
        <w:t>英文题名：</w:t>
      </w:r>
      <w:r>
        <w:t>Allocative efficiency in public research funding: Can bibliometrics help?</w:t>
      </w:r>
    </w:p>
    <w:p>
      <w:r>
        <w:rPr>
          <w:b/>
        </w:rPr>
        <w:t>作者：</w:t>
      </w:r>
      <w:r>
        <w:t>Giovanni Abramo; Ciriaco Andrea D’Angelo; Alessandro Caprasecca</w:t>
      </w:r>
    </w:p>
    <w:p>
      <w:r>
        <w:rPr>
          <w:b/>
        </w:rPr>
        <w:t>年份：</w:t>
      </w:r>
      <w:r>
        <w:t>2009</w:t>
      </w:r>
    </w:p>
    <w:p>
      <w:r>
        <w:rPr>
          <w:b/>
        </w:rPr>
        <w:t>DOI：</w:t>
      </w:r>
      <w:r>
        <w:t>10.1016/j.respol.2008.11.001</w:t>
      </w:r>
    </w:p>
    <w:p>
      <w:r>
        <w:rPr>
          <w:b/>
        </w:rPr>
        <w:t>主题：</w:t>
      </w:r>
      <w:r>
        <w:t>to-notion, Method, Experiment</w:t>
      </w:r>
    </w:p>
    <w:p>
      <w:pPr>
        <w:pStyle w:val="Heading3"/>
      </w:pPr>
      <w:r>
        <w:t>原文摘要</w:t>
      </w:r>
    </w:p>
    <w:p>
      <w:r>
        <w:t>The use of outcome control modes of research evaluation exercises is ever more frequent. They are conceived as tools to stimulate increased levels of research productivity, and to guide choices in allocating components of government research budgets for publicly funded institutions. There are several contributions in the literature that compare the different methodological approaches that policy makers could adopt for these exercises, however the comparisons are limited to only a few disciplines. This work, examining the case of the whole of the “hard sciences” of the Italian academic system, makes a comparison between results obtained from peer review type of evaluations (as adopted by the Ministry of Universities and Research) and those possible from a bibliometric approach (as developed by the authors). The aim is to understand to what extent bibliometric methodology, which is noted as relatively inexpensive, time-saving and exhaustive, can complement and integrate peer review methodology in research evaluation.</w:t>
      </w:r>
    </w:p>
    <w:p/>
    <w:p>
      <w:pPr>
        <w:pStyle w:val="Heading2"/>
      </w:pPr>
      <w:r>
        <w:t>3. Consumer attitudes toward marketplace globalization: Structure, antecedents and consequences</w:t>
      </w:r>
    </w:p>
    <w:p>
      <w:r>
        <w:rPr>
          <w:b/>
        </w:rPr>
        <w:t>英文题名：</w:t>
      </w:r>
      <w:r>
        <w:t>Consumer attitudes toward marketplace globalization: Structure, antecedents and consequences</w:t>
      </w:r>
    </w:p>
    <w:p>
      <w:r>
        <w:rPr>
          <w:b/>
        </w:rPr>
        <w:t>作者：</w:t>
      </w:r>
      <w:r>
        <w:t>Dana L. Alden; Jan-Benedict E.M. Steenkamp; Rajeev Batra</w:t>
      </w:r>
    </w:p>
    <w:p>
      <w:r>
        <w:rPr>
          <w:b/>
        </w:rPr>
        <w:t>年份：</w:t>
      </w:r>
      <w:r>
        <w:t>2006</w:t>
      </w:r>
    </w:p>
    <w:p>
      <w:r>
        <w:rPr>
          <w:b/>
        </w:rPr>
        <w:t>DOI：</w:t>
      </w:r>
      <w:r>
        <w:t>10.1016/j.ijresmar.2006.01.010</w:t>
      </w:r>
    </w:p>
    <w:p>
      <w:r>
        <w:rPr>
          <w:b/>
        </w:rPr>
        <w:t>主题：</w:t>
      </w:r>
      <w:r>
        <w:t>to-notion, Survey</w:t>
      </w:r>
    </w:p>
    <w:p>
      <w:pPr>
        <w:pStyle w:val="Heading3"/>
      </w:pPr>
      <w:r>
        <w:t>原文摘要</w:t>
      </w:r>
    </w:p>
    <w:p>
      <w:r>
        <w:t>This study examines relationships between a new measure of consumer attitudes toward consumption alternatives resulting from market globalization, several attitudinal antecedents (materialism, susceptibility to normative influence and consumer ethnocentrism), and a hypothesized consequence of these attitudes — preference for global brands. Following validation of the new measure in three culturally distinct markets, South Korea, the US, and China, the hypothesized antecedents and consequence are tested in South Korea. Empirical findings broadly support hypotheses and provide important implications for future research on market globalization.</w:t>
      </w:r>
    </w:p>
    <w:p/>
    <w:p>
      <w:pPr>
        <w:pStyle w:val="Heading2"/>
      </w:pPr>
      <w:r>
        <w:t>4. The Brand Relationship Spectrum: The Key to the Brand Architecture Challenge</w:t>
      </w:r>
    </w:p>
    <w:p>
      <w:r>
        <w:rPr>
          <w:b/>
        </w:rPr>
        <w:t>英文题名：</w:t>
      </w:r>
      <w:r>
        <w:t>The Brand Relationship Spectrum: The Key to the Brand Architecture Challenge</w:t>
      </w:r>
    </w:p>
    <w:p>
      <w:r>
        <w:rPr>
          <w:b/>
        </w:rPr>
        <w:t>作者：</w:t>
      </w:r>
      <w:r>
        <w:t>David A. Aaker; Erich Joachimsthaler</w:t>
      </w:r>
    </w:p>
    <w:p>
      <w:r>
        <w:rPr>
          <w:b/>
        </w:rPr>
        <w:t>年份：</w:t>
      </w:r>
      <w:r>
        <w:t>2000</w:t>
      </w:r>
    </w:p>
    <w:p>
      <w:r>
        <w:rPr>
          <w:b/>
        </w:rPr>
        <w:t>DOI：</w:t>
      </w:r>
      <w:r>
        <w:t>10.1177/000812560004200401</w:t>
      </w:r>
    </w:p>
    <w:p>
      <w:r>
        <w:rPr>
          <w:b/>
        </w:rPr>
        <w:t>主题：</w:t>
      </w:r>
      <w:r>
        <w:t>to-notion</w:t>
      </w:r>
    </w:p>
    <w:p/>
    <w:p>
      <w:pPr>
        <w:pStyle w:val="Heading2"/>
      </w:pPr>
      <w:r>
        <w:t>5. Measuring Brand Equity Across Products and Markets</w:t>
      </w:r>
    </w:p>
    <w:p>
      <w:r>
        <w:rPr>
          <w:b/>
        </w:rPr>
        <w:t>英文题名：</w:t>
      </w:r>
      <w:r>
        <w:t>Measuring Brand Equity Across Products and Markets</w:t>
      </w:r>
    </w:p>
    <w:p>
      <w:r>
        <w:rPr>
          <w:b/>
        </w:rPr>
        <w:t>作者：</w:t>
      </w:r>
      <w:r>
        <w:t>David A. Aaker</w:t>
      </w:r>
    </w:p>
    <w:p>
      <w:r>
        <w:rPr>
          <w:b/>
        </w:rPr>
        <w:t>年份：</w:t>
      </w:r>
      <w:r>
        <w:t>1996</w:t>
      </w:r>
    </w:p>
    <w:p>
      <w:r>
        <w:rPr>
          <w:b/>
        </w:rPr>
        <w:t>DOI：</w:t>
      </w:r>
      <w:r>
        <w:t>10.2307/41165845</w:t>
      </w:r>
    </w:p>
    <w:p>
      <w:r>
        <w:rPr>
          <w:b/>
        </w:rPr>
        <w:t>主题：</w:t>
      </w:r>
      <w:r>
        <w:t>to-notion</w:t>
      </w:r>
    </w:p>
    <w:p/>
    <w:p>
      <w:pPr>
        <w:pStyle w:val="Heading2"/>
      </w:pPr>
      <w:r>
        <w:t>6. Leveraging the Corporate Brand</w:t>
      </w:r>
    </w:p>
    <w:p>
      <w:r>
        <w:rPr>
          <w:b/>
        </w:rPr>
        <w:t>英文题名：</w:t>
      </w:r>
      <w:r>
        <w:t>Leveraging the Corporate Brand</w:t>
      </w:r>
    </w:p>
    <w:p>
      <w:r>
        <w:rPr>
          <w:b/>
        </w:rPr>
        <w:t>作者：</w:t>
      </w:r>
      <w:r>
        <w:t>David A Aaker</w:t>
      </w:r>
    </w:p>
    <w:p>
      <w:r>
        <w:rPr>
          <w:b/>
        </w:rPr>
        <w:t>主题：</w:t>
      </w:r>
      <w:r>
        <w:t>to-notion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