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3A68"/>
          <w:sz w:val="30"/>
          <w:szCs w:val="30"/>
        </w:rPr>
        <w:t xml:space="preserve">LOGÍSTICA TOPS</w:t>
      </w:r>
    </w:p>
    <w:p>
      <w:pPr>
        <w:spacing w:after="30" w:before="0"/>
      </w:pPr>
      <w:r>
        <w:rPr>
          <w:b/>
          <w:bCs/>
          <w:sz w:val="26"/>
          <w:szCs w:val="26"/>
        </w:rPr>
        <w:t xml:space="preserve">Informe Ejecutivo de Facturación y Rentabilidad — Almacenaje ANMAT</w:t>
      </w:r>
    </w:p>
    <w:p>
      <w:pPr>
        <w:spacing w:after="60" w:before="0"/>
      </w:pPr>
      <w:r>
        <w:rPr>
          <w:color w:val="6B7A93"/>
          <w:sz w:val="18"/>
          <w:szCs w:val="18"/>
        </w:rPr>
        <w:t xml:space="preserve">Sede Central · Agustín Magaldi 1765 / Osvaldo Cruz 3201, Barracas, CABA · Período: Junio 2026</w:t>
      </w:r>
    </w:p>
    <w:p>
      <w:pPr>
        <w:pBdr>
          <w:bottom w:val="single" w:color="2F7DF6" w:sz="6" w:space="1"/>
        </w:pBdr>
      </w:pPr>
      <w:r>
        <w:t xml:space="preserve"/>
      </w:r>
    </w:p>
    <w:p>
      <w:pPr>
        <w:pStyle w:val="Heading1"/>
        <w:spacing w:after="140" w:before="260"/>
      </w:pPr>
      <w:r>
        <w:t xml:space="preserve">1. Resumen ejecutivo</w:t>
      </w:r>
    </w:p>
    <w:p>
      <w:pPr>
        <w:spacing w:after="120" w:before="0"/>
      </w:pPr>
      <w:r>
        <w:t xml:space="preserve">Durante junio de 2026, el área de Almacenaje ANMAT de la Sede Central registró </w:t>
      </w:r>
      <w:r>
        <w:rPr>
          <w:b/>
          <w:bCs/>
        </w:rPr>
        <w:t xml:space="preserve">25 clientes activos</w:t>
      </w:r>
      <w:r>
        <w:t xml:space="preserve"> ocupando </w:t>
      </w:r>
      <w:r>
        <w:rPr>
          <w:b/>
          <w:bCs/>
        </w:rPr>
        <w:t xml:space="preserve">1.292 m²</w:t>
      </w:r>
      <w:r>
        <w:t xml:space="preserve">, con una facturación mensual estimada de </w:t>
      </w:r>
      <w:r>
        <w:rPr>
          <w:b/>
          <w:bCs/>
        </w:rPr>
        <w:t xml:space="preserve">$103.360.000 netos</w:t>
      </w:r>
      <w:r>
        <w:t xml:space="preserve"> ($125.065.600 con IVA). Existe 1 depósito vacante (PB30) de 107 m², equivalente a $8.560.000 mensuales de lucro cesante.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0"/>
      </w:tblGrid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Clientes activos (ANMAT)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m² ocupados (facturables)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1.292 m²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m² disponibles (PB30, vacante)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107 m²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Ocupación ANMAT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92,4%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Facturación mensual (neto)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$103.360.000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IVA (21%)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$21.705.600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Facturación total c/IVA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$125.065.600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Ticket promedio por cliente (neto)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$4.134.400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Precio promedio por m² (neto)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$80.000</w:t>
            </w:r>
          </w:p>
        </w:tc>
      </w:tr>
      <w:tr>
        <w:tc>
          <w:tcPr>
            <w:tcW w:type="dxa" w:w="5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68"/>
                <w:sz w:val="18"/>
                <w:szCs w:val="18"/>
              </w:rPr>
              <w:t xml:space="preserve">Lucro cesante por vacancia (neto/mes)</w:t>
            </w:r>
          </w:p>
        </w:tc>
        <w:tc>
          <w:tcPr>
            <w:tcW w:type="dxa" w:w="402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$8.560.000</w:t>
            </w:r>
          </w:p>
        </w:tc>
      </w:tr>
    </w:tbl>
    <w:p>
      <w:pPr>
        <w:spacing w:after="120" w:before="100"/>
      </w:pPr>
      <w:r>
        <w:rPr>
          <w:i/>
          <w:iCs/>
          <w:color w:val="6B7A93"/>
          <w:sz w:val="17"/>
          <w:szCs w:val="17"/>
        </w:rPr>
        <w:t xml:space="preserve">Nota: la facturación se estima como tarifa × m². La ocupación (m²) proviene de datos reales; la tarifa es un parámetro provisto por la Dirección (ver §2).</w:t>
      </w:r>
    </w:p>
    <w:p>
      <w:pPr>
        <w:pStyle w:val="Heading1"/>
        <w:spacing w:after="140" w:before="260"/>
      </w:pPr>
      <w:r>
        <w:t xml:space="preserve">2. Metodología y supuestos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Fuente de m²: </w:t>
      </w:r>
      <w:r>
        <w:t xml:space="preserve">planilla “CLIENTES DE ANMAT Agustín Magaldi 1765 / Osvaldo Cruz 3201” (Cynthia Alba, Google Drive, 18/06/2026).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Tarifa ANMAT: </w:t>
      </w:r>
      <w:r>
        <w:t xml:space="preserve">$80.000 por m²/mes (neto), parámetro provisto por la Dirección.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IVA: </w:t>
      </w:r>
      <w:r>
        <w:t xml:space="preserve">21%. Moneda: ARS. Facturación neta = tarifa × m²; Total = neto × 1,21.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Alcance: </w:t>
      </w:r>
      <w:r>
        <w:t xml:space="preserve">Almacenaje ANMAT (Sede Central). No incluye Cargas Generales, Oficinas, Coworking ni Sede Anexa (Pedro de Luján 3159) por falta de datos de m² en las fuentes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 xml:space="preserve">Importante: </w:t>
      </w:r>
      <w:r>
        <w:t xml:space="preserve">estas cifras NO surgen de facturas individuales emitidas (el sistema de facturación NEXUS aún no está en producción/conexión ARCA). Son una estimación de gestión basada en ocupación real y tarifa.</w:t>
      </w:r>
    </w:p>
    <w:p>
      <w:pPr>
        <w:pStyle w:val="Heading1"/>
        <w:spacing w:after="140" w:before="260"/>
      </w:pPr>
      <w:r>
        <w:t xml:space="preserve">3. Clientes más y menos rentables</w:t>
      </w:r>
    </w:p>
    <w:p>
      <w:pPr>
        <w:pStyle w:val="Heading2"/>
        <w:spacing w:after="100" w:before="200"/>
      </w:pPr>
      <w:r>
        <w:t xml:space="preserve">Top 5 — mayor facturación / superficie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760"/>
        <w:gridCol w:w="1500"/>
        <w:gridCol w:w="2000"/>
      </w:tblGrid>
      <w:tr>
        <w:trPr>
          <w:tblHeader/>
        </w:trP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m²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Facturación (neto)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Royal Packs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$32.000.000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Silvia Noemí Willging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Lion Business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Wintrade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Medicina del Plata SRL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</w:tbl>
    <w:p>
      <w:pPr>
        <w:pStyle w:val="Heading2"/>
        <w:spacing w:after="100" w:before="200"/>
      </w:pPr>
      <w:r>
        <w:t xml:space="preserve">Bottom 5 — menor facturación / superficie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760"/>
        <w:gridCol w:w="1500"/>
        <w:gridCol w:w="2000"/>
      </w:tblGrid>
      <w:tr>
        <w:trPr>
          <w:tblHeader/>
        </w:trP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m²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Facturación (neto)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Amaoto S.R.L.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Tinu SRL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Peghi Commerce S.A.S.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Korean Skin SRL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$1.200.000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Ingemed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$800.000</w:t>
            </w:r>
          </w:p>
        </w:tc>
      </w:tr>
    </w:tbl>
    <w:p>
      <w:pPr>
        <w:spacing w:after="120" w:before="80"/>
      </w:pPr>
      <w:r>
        <w:rPr>
          <w:i/>
          <w:iCs/>
          <w:color w:val="6B7A93"/>
          <w:sz w:val="18"/>
          <w:szCs w:val="18"/>
        </w:rPr>
        <w:t xml:space="preserve">Con tarifa uniforme, la rentabilidad por cliente está determinada por la superficie ocupada: Royal Packs concentra el 31,0% del m² y de la facturación ANMAT.</w:t>
      </w:r>
    </w:p>
    <w:p>
      <w:pPr>
        <w:pStyle w:val="Heading1"/>
        <w:spacing w:after="140" w:before="260"/>
      </w:pPr>
      <w:r>
        <w:t xml:space="preserve">4. Precios promedio por unidad de negocio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40"/>
        <w:gridCol w:w="1840"/>
        <w:gridCol w:w="1840"/>
      </w:tblGrid>
      <w:tr>
        <w:trPr>
          <w:tblHeader/>
        </w:trPr>
        <w:tc>
          <w:tcPr>
            <w:tcW w:type="dxa" w:w="3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Unidad de negocio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$/m² (neto)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Clientes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m² ocupados</w:t>
            </w:r>
          </w:p>
        </w:tc>
      </w:tr>
      <w:tr>
        <w:tc>
          <w:tcPr>
            <w:tcW w:type="dxa" w:w="3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Almacenaje ANMAT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1.292 m²</w:t>
            </w:r>
          </w:p>
        </w:tc>
      </w:tr>
      <w:tr>
        <w:tc>
          <w:tcPr>
            <w:tcW w:type="dxa" w:w="3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Cargas Generales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$20.000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 m² (sin datos)</w:t>
            </w:r>
          </w:p>
        </w:tc>
      </w:tr>
      <w:tr>
        <w:tc>
          <w:tcPr>
            <w:tcW w:type="dxa" w:w="3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Oficina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s/ tarifa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sin datos</w:t>
            </w:r>
          </w:p>
        </w:tc>
      </w:tr>
      <w:tr>
        <w:tc>
          <w:tcPr>
            <w:tcW w:type="dxa" w:w="3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Coworking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s/ tarifa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sin datos</w:t>
            </w:r>
          </w:p>
        </w:tc>
      </w:tr>
    </w:tbl>
    <w:p>
      <w:pPr>
        <w:spacing w:after="120" w:before="80"/>
      </w:pPr>
      <w:r>
        <w:rPr>
          <w:i/>
          <w:iCs/>
          <w:color w:val="6B7A93"/>
          <w:sz w:val="18"/>
          <w:szCs w:val="18"/>
        </w:rPr>
        <w:t xml:space="preserve">El precio promedio por m² de ANMAT es $80.000 (tarifa única). Cargas Generales se informa a $20.000/m² pero aún sin clientes cargados.</w:t>
      </w:r>
    </w:p>
    <w:p>
      <w:pPr>
        <w:pStyle w:val="Heading1"/>
        <w:spacing w:after="140" w:before="260"/>
      </w:pPr>
      <w:r>
        <w:t xml:space="preserve">5. Ranking por superficie y facturación (Top 10)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760"/>
        <w:gridCol w:w="1500"/>
        <w:gridCol w:w="2000"/>
      </w:tblGrid>
      <w:tr>
        <w:trPr>
          <w:tblHeader/>
        </w:trP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m²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Facturación (neto)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Royal Packs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$32.000.000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Silvia Noemí Willging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Lion Business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Wintrade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Medicina del Plata SRL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DEO Distrib. Equipos Odontológicos S.R.L.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Medimpo S.R.L.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Técnicas Mínimo Invasivas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Compañía de Higiene S.R.L.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</w:tr>
      <w:tr>
        <w:tc>
          <w:tcPr>
            <w:tcW w:type="dxa" w:w="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Bio Analítica S.A.</w:t>
            </w:r>
          </w:p>
        </w:tc>
        <w:tc>
          <w:tcPr>
            <w:tcW w:type="dxa" w:w="1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</w:tr>
    </w:tbl>
    <w:p>
      <w:pPr>
        <w:spacing w:after="120" w:before="80"/>
      </w:pPr>
      <w:r>
        <w:rPr>
          <w:i/>
          <w:iCs/>
          <w:color w:val="6B7A93"/>
          <w:sz w:val="18"/>
          <w:szCs w:val="18"/>
        </w:rPr>
        <w:t xml:space="preserve">Ranking por valor unitario ($/m²): uniforme ($80.000/m²) para todos los clientes ANMAT al aplicarse una tarifa única; por eso el ranking por facturación coincide con el de superficie.</w:t>
      </w:r>
    </w:p>
    <w:p>
      <w:pPr>
        <w:pStyle w:val="Heading1"/>
        <w:spacing w:after="140" w:before="260"/>
      </w:pPr>
      <w:r>
        <w:t xml:space="preserve">6. Hallazgos de la auditoría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8860B"/>
        </w:rPr>
        <w:t xml:space="preserve">Inconsistencia de tarifa (prioritario). </w:t>
      </w:r>
      <w:r>
        <w:t xml:space="preserve">La única factura real de junio hallada en los correos —Business for Pharma, $553.275 por 35 m² ≈ $15.808/m²— difiere ~5x de la tarifa cargada ($80.000/m²). Confirmar la tarifa ANMAT vigente antes de tomar decisiones sobre estos importes.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Depósito vacante. </w:t>
      </w:r>
      <w:r>
        <w:t xml:space="preserve">PB30 (107 m²) figura LIBRE → lucro cesante de $8.560.000/mes (neto). Es la principal oportunidad comercial inmediata.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Concentración de cartera. </w:t>
      </w:r>
      <w:r>
        <w:t xml:space="preserve">Royal Packs (400 m²) representa el 31,0% del m² ANMAT y aparece con seguimiento de cobranza en los correos: riesgo de concentración.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Cliente con doble depósito. </w:t>
      </w:r>
      <w:r>
        <w:t xml:space="preserve">Kodent S.A. ocupa PB20 (20 m²) + PB21 (17 m²) = 37 m²; consolidado como un único cliente para evitar doble conteo.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Espacio interno no facturable. </w:t>
      </w:r>
      <w:r>
        <w:t xml:space="preserve">PB13 (30 m²) corresponde a Recepción y Expedición; excluido de la facturación.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Validación de plano. </w:t>
      </w:r>
      <w:r>
        <w:t xml:space="preserve">Cynthia reportó dificultad con la numeración (plano pixelado); conviene verificar PB13, PB28 y PB29 (Forever Living / Panalab, 35+35 m²).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Cobertura parcial. </w:t>
      </w:r>
      <w:r>
        <w:t xml:space="preserve">Solo hay datos sólidos de ANMAT. Faltan Cargas Generales, Oficinas, Coworking y Sede Anexa para una visión integral de la cartera.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Sin duplicados de clientes. </w:t>
      </w:r>
      <w:r>
        <w:t xml:space="preserve">No se detectaron clientes repetidos (salvo el caso Kodent, ya consolidado).</w:t>
      </w:r>
    </w:p>
    <w:p>
      <w:pPr>
        <w:pStyle w:val="Heading1"/>
        <w:spacing w:after="140" w:before="260"/>
      </w:pPr>
      <w:r>
        <w:t xml:space="preserve">7. Recomendaciones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la tarifa ANMAT vigente por m² (o cargar tarifas por cliente/contrato) para que la facturación estimada coincida con la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Comercializar el depósito PB30 (107 m²) para eliminar el lucro cesante de $8.560.000/mes.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Acelerar la puesta en producción de NEXUS + conexión ARCA para reemplazar esta estimación por facturación real por cliente, con IVA discriminado.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Cargar la ocupación y tarifas de Cargas Generales, Oficinas y Coworking, y de la Sede Anexa, para consolidar la rentabilidad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Monitorear la cobranza de Royal Packs dada su alta participación en la facturación ANMAT.</w:t>
      </w:r>
    </w:p>
    <w:p>
      <w:pPr>
        <w:pStyle w:val="Heading1"/>
        <w:spacing w:after="140" w:before="260"/>
      </w:pPr>
      <w:r>
        <w:t xml:space="preserve">Anexo · Detalle completo de clientes ANMAT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750"/>
        <w:gridCol w:w="1250"/>
        <w:gridCol w:w="1340"/>
        <w:gridCol w:w="1080"/>
        <w:gridCol w:w="950"/>
      </w:tblGrid>
      <w:tr>
        <w:trPr>
          <w:tblHeader/>
        </w:trP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Depósito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m²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$/m²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Facturación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IVA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1F3A6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 c/IVA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Royal Packs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PB6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$32.000.000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$6.720.000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$38.720.000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Silvia Noemí Willging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PB7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$1.176.000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$6.776.000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Lion Business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PB12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$1.176.000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$6.776.000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Wintrade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PB27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$1.176.000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$6.776.000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Medicina del Plata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PB31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$5.600.000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$1.176.000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$6.776.000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DEO Distrib. Equipos Odontológicos S.R.L.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PB8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$840.000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$4.840.000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Medimpo S.R.L.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PB9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$840.000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$4.840.000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Técnicas Mínimo Invasivas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PB10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$840.000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$4.840.000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Compañía de Higiene S.R.L.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PB11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$840.000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$4.840.000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Bio Analítica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PB26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$840.000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$4.840.000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Rol Latino Medical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 (s/n)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$3.040.000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$638.400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$3.678.400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Kodent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PB20+PB21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$2.960.000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$621.600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$3.581.600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Business for Pharma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PB23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$2.800.000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$588.000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$3.388.000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Forever Living Products Argentina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PB28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$2.800.000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$588.000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$3.388.000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Panalab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PB29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$2.800.000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$588.000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$3.388.000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Medical Inputs S.R.L.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PB18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$2.400.000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$504.000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$2.904.000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Migliore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PB17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$2.000.000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$420.000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$2.420.000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Padeco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PB15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$285.600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$1.645.600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Robi Insumos Médicos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PB16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$285.600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$1.645.600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Dana Yasmín Atena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PB19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$285.600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$1.645.600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Amaoto S.R.L.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PB22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$285.600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$1.645.600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Tinu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PB24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$285.600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$1.645.600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Peghi Commerce S.A.S.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PB25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$285.600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$1.645.600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Korean Skin SRL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PB14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$1.200.000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$252.000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$1.452.000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Ingemed S.A.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PB32</w:t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$80.000</w:t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$800.000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$168.000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$968.000</w:t>
            </w:r>
          </w:p>
        </w:tc>
      </w:tr>
      <w:tr>
        <w:tc>
          <w:tcPr>
            <w:tcW w:type="dxa" w:w="250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1.292</w:t>
            </w:r>
          </w:p>
        </w:tc>
        <w:tc>
          <w:tcPr>
            <w:tcW w:type="dxa" w:w="12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4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$103.360.000</w:t>
            </w:r>
          </w:p>
        </w:tc>
        <w:tc>
          <w:tcPr>
            <w:tcW w:type="dxa" w:w="108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$21.705.600</w:t>
            </w:r>
          </w:p>
        </w:tc>
        <w:tc>
          <w:tcPr>
            <w:tcW w:type="dxa" w:w="950"/>
            <w:tcBorders>
              <w:top w:val="single" w:color="D3DEEE" w:sz="1"/>
              <w:left w:val="single" w:color="D3DEEE" w:sz="1"/>
              <w:bottom w:val="single" w:color="D3DEEE" w:sz="1"/>
              <w:right w:val="single" w:color="D3DEEE" w:sz="1"/>
            </w:tcBorders>
            <w:shd w:fill="DCE6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$125.065.600</w:t>
            </w:r>
          </w:p>
        </w:tc>
      </w:tr>
    </w:tbl>
    <w:p>
      <w:pPr>
        <w:spacing w:after="120" w:before="90"/>
      </w:pPr>
      <w:r>
        <w:rPr>
          <w:i/>
          <w:iCs/>
          <w:color w:val="6B7A93"/>
          <w:sz w:val="17"/>
          <w:szCs w:val="17"/>
        </w:rPr>
        <w:t xml:space="preserve">Espacios no facturables: PB13 Recepción y Expedición (30 m², interno) · PB30 LIBRE (107 m², vacante).</w:t>
      </w:r>
    </w:p>
    <w:p>
      <w:pPr>
        <w:spacing w:after="120" w:before="120"/>
      </w:pPr>
      <w:r>
        <w:rPr>
          <w:i/>
          <w:iCs/>
          <w:color w:val="6B7A93"/>
          <w:sz w:val="16"/>
          <w:szCs w:val="16"/>
        </w:rPr>
        <w:t xml:space="preserve">Documento generado automáticamente por asistente de Logística TOPS a partir de datos de Google Drive y Gmail. Cifras de facturación estimadas (tarifa × m²), sujetas a confirmación de tarifa.</w:t>
      </w:r>
    </w:p>
    <w:sectPr>
      <w:headerReference w:type="default" r:id="rId7"/>
      <w:footerReference w:type="default" r:id="rId8"/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93"/>
        <w:sz w:val="16"/>
        <w:szCs w:val="16"/>
      </w:rPr>
      <w:t xml:space="preserve">Informe Ejecutivo ANMAT — Junio 2026   ·   Página </w:t>
    </w:r>
    <w:r>
      <w:rPr>
        <w:color w:val="6B7A9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A93"/>
        <w:sz w:val="16"/>
        <w:szCs w:val="16"/>
      </w:rPr>
      <w:t xml:space="preserve">LOGÍSTICA TOPS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7D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Facturación ANMAT — Junio 2026</dc:title>
  <dc:creator>Logística TOPS</dc:creator>
  <cp:lastModifiedBy>Un-named</cp:lastModifiedBy>
  <cp:revision>1</cp:revision>
  <dcterms:created xsi:type="dcterms:W3CDTF">2026-06-19T03:15:06.609Z</dcterms:created>
  <dcterms:modified xsi:type="dcterms:W3CDTF">2026-06-19T03:15:06.609Z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