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C5CA" w14:textId="20A85D93" w:rsidR="007D0B3D" w:rsidRDefault="00881678">
      <w:r>
        <w:t xml:space="preserve">Le piano n’a pas toujours été celui qu’on connaît de nos jours. A sa création, le son du piano et sa composition était très différente. </w:t>
      </w:r>
      <w:r w:rsidR="00B95F64">
        <w:t xml:space="preserve">A la base, le pianoforte devait reproduire le clavecin avec une tonalité plus douce que ce dernier. C’est pourquoi certaines couches étaient dotées d’une à trois cordes.  </w:t>
      </w:r>
    </w:p>
    <w:sectPr w:rsidR="007D0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78"/>
    <w:rsid w:val="007D0B3D"/>
    <w:rsid w:val="00881678"/>
    <w:rsid w:val="00B9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DA76"/>
  <w15:chartTrackingRefBased/>
  <w15:docId w15:val="{EAF24007-347C-4A65-A9E4-292AC3F7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BAUMGAERTNER</dc:creator>
  <cp:keywords/>
  <dc:description/>
  <cp:lastModifiedBy>Martin BAUMGAERTNER</cp:lastModifiedBy>
  <cp:revision>1</cp:revision>
  <dcterms:created xsi:type="dcterms:W3CDTF">2021-10-11T09:39:00Z</dcterms:created>
  <dcterms:modified xsi:type="dcterms:W3CDTF">2021-10-11T09:57:00Z</dcterms:modified>
</cp:coreProperties>
</file>