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Systems Engineering and Behavioral Design Framework for the Atlas Accessibility Library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Cognitive Accessibility and Human Information Processing in Domestic Thermal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comprehension of residential thermodynamics, hydraulic balances, and energy recommendations imposes a high cognitive burden on the lay public. To successfully bridge the gap between advanced engine recommendations and diverse human cognitive profiles, the Atlas Accessibility Library must be built on the mathematical and empirical foundations of Cognitive Load Theory, Dual Coding Theory, and Multimedia Learning Theory.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working memory operates as a dual-channel system consisting of independent visual-pictorial and auditory-verbal pathways. Each channel has a strict processing limit. In typical digital journeys, interfaces frequently overload the visual channel by presenting intricate animations alongside dense text blocks, creating a split-attention effect that increases extraneous cognitive load and leads to task abandonment.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systematically manage these cognitive constraints, the Atlas Library utilizes three primary load-reduction mechanisms: off-loading, weeding, and pretraining.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pan_9](start_span)[span_9](end_span)[span_12](start_span)[span_12](end_span)─────────────────────────────────────────────────────────────┐</w:t>
        <w:br w:type="textWrapping"/>
        <w:t xml:space="preserve">│                      TOTAL WORKING MEMORY CAPACITY                     │</w:t>
        <w:br w:type="textWrapping"/>
        <w:t xml:space="preserve">├───────────────────────────────┬────────────────────────────────────────┤</w:t>
        <w:br w:type="textWrapping"/>
        <w:t xml:space="preserve">│     Visual-Pictorial Channel  │          Auditory-Verbal Channel       │</w:t>
        <w:br w:type="textWrapping"/>
        <w:t xml:space="preserve">├───────────────────────────────┼────────────────────────────────────────┤</w:t>
        <w:br w:type="textWrapping"/>
        <w:t xml:space="preserve">│ [Visual Processing Zone]      │ [Auditory Processing Zone]             │</w:t>
        <w:br w:type="textWrapping"/>
        <w:t xml:space="preserve">│ - Diagrams and Schematics     │ - Spoken Voiceover and Narration       │</w:t>
        <w:br w:type="textWrapping"/>
        <w:t xml:space="preserve">│ - Static Fallback Glyphs      │ - High-Fluency Audio Summaries         │</w:t>
        <w:br w:type="textWrapping"/>
        <w:t xml:space="preserve">│                               │                                        │</w:t>
        <w:br w:type="textWrapping"/>
        <w:t xml:space="preserve">│  ==&gt; Off-loaded to reduce     │  ==&gt; Absorbs verbal load to prevent    │</w:t>
        <w:br w:type="textWrapping"/>
        <w:t xml:space="preserve">│      visual-channel crowding  │      split-attention overload          │</w:t>
        <w:br w:type="textWrapping"/>
        <w:t xml:space="preserve">└───────────────────────────────┴────────────────────────────────────────┘</w:t>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Off-loading shifts verbal processing from the visual to the auditory channel by pairing complex visual animations with synchronized spoken narration rather than static on-screen text. Weeding removes non-essential details, such as background music, decorative motion, or technical history, to keep the focus entirely on core learning goals. Pretraining presents the names and behaviors of individual components (e.g., what a three-way diverter valve does) before introducing the complete system, preparing the user's working memory for the full thermal explanation.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PROGRESSIVE I[span_10](start_span)[span_10](end_span)[span_13](start_span)[span_13](end_span)NFORMATION DISCLOSURE ENGINE</w:t>
        <w:br w:type="textWrapping"/>
        <w:t xml:space="preserve">                 </w:t>
        <w:br w:type="textWrapping"/>
        <w:t xml:space="preserve">    ┌────────────────────────────────────────────────────────────────┐</w:t>
        <w:br w:type="textWrapping"/>
        <w:t xml:space="preserve">    │ Layer 1: High-Fluency Visual Anchor &amp; Plain English Wording   │</w:t>
        <w:br w:type="textWrapping"/>
        <w:t xml:space="preserve">    │ (Targeting low-confidence users, dyslexics, and ADHD)          │</w:t>
        <w:br w:type="textWrapping"/>
        <w:t xml:space="preserve">    └───────────────────────────────┬────────────────────────────────┘</w:t>
        <w:br w:type="textWrapping"/>
        <w:t xml:space="preserve">                                    │ [User seeks detail]</w:t>
        <w:br w:type="textWrapping"/>
        <w:t xml:space="preserve">                                    ▼</w:t>
        <w:br w:type="textWrapping"/>
        <w:t xml:space="preserve">    ┌────────────────────────────────────────────────────────────────┐</w:t>
        <w:br w:type="textWrapping"/>
        <w:t xml:space="preserve">    │ Layer 2: Core Mechanical Interactions &amp; Functional Trade-offs │</w:t>
        <w:br w:type="textWrapping"/>
        <w:t xml:space="preserve">    │ (Targeting standard homeowners and curious users)              │</w:t>
        <w:br w:type="textWrapping"/>
        <w:t xml:space="preserve">    └───────────────────────────────┬────────────────────────────────┘</w:t>
        <w:br w:type="textWrapping"/>
        <w:t xml:space="preserve">                                    │ [User requests validation]</w:t>
        <w:br w:type="textWrapping"/>
        <w:t xml:space="preserve">                                    ▼</w:t>
        <w:br w:type="textWrapping"/>
        <w:t xml:space="preserve">    ┌────────────────────────────────────────────────────────────────┐</w:t>
        <w:br w:type="textWrapping"/>
        <w:t xml:space="preserve">    │ Layer 3: Factual Engineering Data &amp; Thermodynamic Equations    │</w:t>
        <w:br w:type="textWrapping"/>
        <w:t xml:space="preserve">    │ (Targeting surveyors, design engineers, and expert audits)     │</w:t>
        <w:br w:type="textWrapping"/>
        <w:t xml:space="preserve">    └────────────────────────────────────────────────────────────────┘</w:t>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Dyslexia and ADHD affect working memory capacity and the speed at which visual and written symbols are processed. To mitigate visual fatigue and character crowding, where letters appear to merge or overlap, strict typographical spacing parameters must be enforced.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relying on specialized "dyslexia" typefaces, which show inconsistent empirical benefits, the library standardizes on highly readable, open sans-serif typefaces like Arial, Calibri, Century Gothic, Open Sans, or Lexend.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Spacing adjustments provide significant accessibility benefits, and the Atlas Library establishes a set of custom typographical rules to optimize reading ease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Typographical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Digital Layout Specification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Engineering Rationale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Font Selection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Arial, Calibri, Open Sans, or Lexend.</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counters and clean, sans-serif character shapes prevent crowding.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Font Size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12\text{pt} to 14\text{pt} (16\text{px} to 19\text{px}).</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legible character decoding without requiring excessive magnification.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Character Tracking</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tracking set to +0.03\text{em} to +0.035\text{em}.</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Reduces visual crowding between adjacent characters.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Word Spacing</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to at least 3 to 3.5 times the tracking width.</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Keeps word shapes distinct, preventing them from merging.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Line Spacing</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to 1.5 times the font size (150\% leading).</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the eye from skipping lines during horizontal scanning.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Break</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spacing of 2.0 times the typeface x-height.</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clear visual boundaries between distinct concepts.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Line Length</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Maintained between 50 and 70 characters.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Reduces eye fatigue and visual tracking effort.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Text Alignment</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Left-aligned, ragged right margin.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Avoids the uneven word spacing of full justification, which disrupts reading.</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spacing and layout choices must be combined with a progressive information disclosure model. The library structures information in an inverted pyramid : high-fluency, "need-to-know" summaries sit at the top, supported by structural details in the middle, and technical "nice-to-know" data at the bottom.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ADHD and neurodivergent users, interfaces maintain a flat layout with clear, consistent navigation menus. Cluttered sidebars, auto-playing video files, and decorative looping animations are removed to prevent attention fatigue and support long-term user trust.</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Tactile Psychology of Printed Mediums and Technophobia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high-stakes home energy transitions, where financial investments are significant, digital-only interfaces can sometimes trigger skepticism and user anxiety. Research in tactile psychology shows that printed materials build greater trust, credibility, and long-term recall than digital displays.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TACTILE AND COGNITIVE ANCHORING</w:t>
        <w:br w:type="textWrapping"/>
        <w:t xml:space="preserve">                     </w:t>
        <w:br w:type="textWrapping"/>
        <w:t xml:space="preserve">    Printed Materials   ───────▶   Engages Haptic Pathways</w:t>
        <w:br w:type="textWrapping"/>
        <w:t xml:space="preserve">            │                               │</w:t>
        <w:br w:type="textWrapping"/>
        <w:t xml:space="preserve">            ▼                               ▼</w:t>
        <w:br w:type="textWrapping"/>
        <w:t xml:space="preserve">    Bypasses "Digital Fatigue"      Triggers Mirror Neurons</w:t>
        <w:br w:type="textWrapping"/>
        <w:t xml:space="preserve">    and Notification Clutter               (In-person exchange)</w:t>
        <w:br w:type="textWrapping"/>
        <w:t xml:space="preserve">            │                               │</w:t>
        <w:br w:type="textWrapping"/>
        <w:t xml:space="preserve">            ▼                               ▼</w:t>
        <w:br w:type="textWrapping"/>
        <w:t xml:space="preserve">    Builds Perceptions of   ───────▶   Establishes Spatial Memory</w:t>
        <w:br w:type="textWrapping"/>
        <w:t xml:space="preserve">    Permanence &amp; Security               (Physical placement on desk)</w:t>
        <w:br w:type="textWrapping"/>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Printed documents communicate a level of effort and preparation that screens rarely replicate. The physical act of handing over a well-designed, bound document triggers mirror neurons, fostering empathy and building trust between the surveyor and the household.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printed pages do not feature notifications, pop-up windows, or shifting layouts, they provide a focused, distraction-free reading environment. This slower pace improves comprehension of complex technical systems.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printed documents support spatial memory. Readers associate specific pieces of information with their physical position on a page, creating a mental map that makes the information easier to recall and discuss later.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Paper documents also facilitate shared household decision-making. While smartphones and tablets isolate information to a single user, a printed proposal or decision sheet can be laid flat on a kitchen table. This turns a personal, digital journey into a collaborative family discussion, helping to align different decision-makers.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build trust without overwhelming the user, printed handouts must reinforce the digital journey rather than duplicate it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INTEGRATED HYBRID CUSTO[span_120](start_span)[span_120](end_span)[span_123](start_span)[span_123](end_span)MER JOURNEY</w:t>
        <w:br w:type="textWrapping"/>
        <w:t xml:space="preserve">                  </w:t>
        <w:br w:type="textWrapping"/>
        <w:t xml:space="preserve">    ┌────────────────────────┐              ┌────────────────────────┐</w:t>
        <w:br w:type="textWrapping"/>
        <w:t xml:space="preserve">    │     Digital Journey    │              │     Printed Journey    │</w:t>
        <w:br w:type="textWrapping"/>
        <w:t xml:space="preserve">    ├────────────────────────┤              ├────────────────────────┤</w:t>
        <w:br w:type="textWrapping"/>
        <w:t xml:space="preserve">    │ - Dynamic Modeling     │              │ - Stand-Alone Summary  │</w:t>
        <w:br w:type="textWrapping"/>
        <w:t xml:space="preserve">    │ - Tailored Projections │  ─────────▶  │ - Co-Decision Matrix   │</w:t>
        <w:br w:type="textWrapping"/>
        <w:t xml:space="preserve">    │ - Video Walkthroughs   │              │ - Printed Appendix     │</w:t>
        <w:br w:type="textWrapping"/>
        <w:t xml:space="preserve">    └────────────────────────┘              └────────────────────────┘</w:t>
        <w:br w:type="textWrapping"/>
        <w:t xml:space="preserve">                ▲                                       │</w:t>
        <w:br w:type="textWrapping"/>
        <w:t xml:space="preserve">                │                  │</w:t>
        <w:br w:type="textWrapping"/>
        <w:t xml:space="preserve">                └───────────────────────────────────────┘</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printed handouts are designed to be self-sufficient, allowing users to understand the core recommendation and its trade-offs without needing a screen. Integrated QR codes are placed strategically as bridges, pointing to specific, high-resolution video guides or real-time progress trackers to connect the offline and online experiences.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accessibility in print, layouts must follow strict production specifications :</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Substrate</w:t>
      </w:r>
      <w:r w:rsidDel="00000000" w:rsidR="00000000" w:rsidRPr="00000000">
        <w:rPr>
          <w:rtl w:val="0"/>
        </w:rPr>
        <w:t xml:space="preserve">: Standardized on high-quality, FSC-certified recycled cream or off-white matt paper with a minimum weight of 100\text{ g/m}^2. Glossy coatings are avoided, as they reflect overhead light and cause visual stress for dyslexic readers.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Inks</w:t>
      </w:r>
      <w:r w:rsidDel="00000000" w:rsidR="00000000" w:rsidRPr="00000000">
        <w:rPr>
          <w:rtl w:val="0"/>
        </w:rPr>
        <w:t xml:space="preserve">: Printed using renewable, vegetable- or soy-based inks rather than traditional petroleum-based formulations. They contain fewer volatile organic compounds (VOCs) and simplify the paper recycling process.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w:t>
      </w:r>
      <w:r w:rsidDel="00000000" w:rsidR="00000000" w:rsidRPr="00000000">
        <w:rPr>
          <w:rtl w:val="0"/>
        </w:rPr>
        <w:t xml:space="preserve">: Minimalist layouts with wide margins (\ge 15\text{mm}) and clear white space around critical sections. Full-bleed images and dark, heavy background fills are omitted to minimize ink usage.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w:t>
      </w:r>
      <w:r w:rsidDel="00000000" w:rsidR="00000000" w:rsidRPr="00000000">
        <w:rPr>
          <w:rtl w:val="0"/>
        </w:rPr>
        <w:t xml:space="preserve">: Printed using eco-friendly, highly legible typefaces like Calibri or Century Gothic. Contrast ratios are kept high, using dark gray or black text on light pastel or cream paper.</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Analogy Design and Paramorphic Mental Modeling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Analogies translate complex physical relationships into familiar, concrete frameworks. In cognitive science, this is known as a paramorphic modeling process, mapping properties from a well-understood "source" domain onto an unfamiliar "target" domain.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analogy is a structural comparison between two concepts, consisting of three main parts :</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Positive Analogy</w:t>
      </w:r>
      <w:r w:rsidDel="00000000" w:rsidR="00000000" w:rsidRPr="00000000">
        <w:rPr>
          <w:rtl w:val="0"/>
        </w:rPr>
        <w:t xml:space="preserve">: Features where the source and target domains behave identically (e.g., water pressure in a pipe maps directly to voltage in a circuit).</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Negative Analogy</w:t>
      </w:r>
      <w:r w:rsidDel="00000000" w:rsidR="00000000" w:rsidRPr="00000000">
        <w:rPr>
          <w:rtl w:val="0"/>
        </w:rPr>
        <w:t xml:space="preserve">: Points where the comparison breaks down and the domains behave differently (e.g., water leaking from a broken pipe behaves differently than electricity escaping a broken wire).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Neutral Analogy</w:t>
      </w:r>
      <w:r w:rsidDel="00000000" w:rsidR="00000000" w:rsidRPr="00000000">
        <w:rPr>
          <w:rtl w:val="0"/>
        </w:rPr>
        <w:t xml:space="preserve">: Properties of the source domain that have no equivalent in the target domain and should be ignored to prevent confusion.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analogies carries significant cognitive risks. If an analogy has too many superficial similarities (a "near analogy"), or if the negative analogies are not explicitly explained, users may overgeneralize. This can lead them to build incorrect mental models that they attempt to "patch" rather than replace.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comparing electron flow to a planetary orbit can lead users to assume electrons follow predictable, physical paths. Similarly, if a heating system analogy is culturally unfamiliar or too complex, it increases cognitive load rather than reducing it.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minimize these risks, the Atlas Library must provide a structured variety of analogy families. This allows the system to tailor its explanations to each user's background, technical confidence, and prior knowledge.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ANALOGY MAPPING AND CLASSIFICATION                │</w:t>
        <w:br w:type="textWrapping"/>
        <w:t xml:space="preserve">├───────────────────────┬───────────────────────┬────────────────────────┤</w:t>
        <w:br w:type="textWrapping"/>
        <w:t xml:space="preserve">│     Analogy Family    │  Target Demographics  │ Structural Limitations │</w:t>
        <w:br w:type="textWrapping"/>
        <w:t xml:space="preserve">├───────────────────────┼───────────────────────┼────────────────────────┤</w:t>
        <w:br w:type="textWrapping"/>
        <w:t xml:space="preserve">│ **Car &amp; Traffic**     │ Drivers, vehicle      │ Non-drivers may find   │</w:t>
        <w:br w:type="textWrapping"/>
        <w:t xml:space="preserve">│                       │ owners, mechanical    │ mechanical terms       │</w:t>
        <w:br w:type="textWrapping"/>
        <w:t xml:space="preserve">│                       │ profiles.[span_201](start_span)[span_201](end_span)     │ confusing.             │</w:t>
        <w:br w:type="textWrapping"/>
        <w:t xml:space="preserve">├───────────────────────┼───────────────────────┼────────────────────────┤</w:t>
        <w:br w:type="textWrapping"/>
        <w:t xml:space="preserve">│ **Water &amp; Straw**     │ General public, rural │ Fails to explain phase │</w:t>
        <w:br w:type="textWrapping"/>
        <w:t xml:space="preserve">│                       │ homeowners, hands-on  │ changes or refrigerant │</w:t>
        <w:br w:type="textWrapping"/>
        <w:t xml:space="preserve">│                       │ profiles [span_208](start_span)[span_208](end_span)[span_209](start_span)[span_209](end_span) behavior.      │</w:t>
        <w:br w:type="textWrapping"/>
        <w:t xml:space="preserve">├───────────────────[span_196](start_span)[span_196](end_span)────┼───────────────────────┼────────────────────────┤</w:t>
        <w:br w:type="textWrapping"/>
        <w:t xml:space="preserve">│ **Food &amp; Cooking**    │ Renters, older users, │ Cooking times do not   │</w:t>
        <w:br w:type="textWrapping"/>
        <w:t xml:space="preserve">│                       │ non-technical profiles│ reflect continuous     │</w:t>
        <w:br w:type="textWrapping"/>
        <w:t xml:space="preserve">│                       │.[span_210](start_span)[span_210](end_span)              │ feedback loops.[span_211](start_span)[span_211](end_span)│</w:t>
        <w:br w:type="textWrapping"/>
        <w:t xml:space="preserve">├───────────────────────┼───────────────────────┼────────────────────────┤</w:t>
        <w:br w:type="textWrapping"/>
        <w:t xml:space="preserve">│ **Body &amp; Health**     │ Visually supported    │ Illness concepts can   │</w:t>
        <w:br w:type="textWrapping"/>
        <w:t xml:space="preserve">│                       │ learners, older users,│ trigger user           │</w:t>
        <w:br w:type="textWrapping"/>
        <w:t xml:space="preserve">│                       │ families.[span_212](start_span)[span_212](end_span)     │ anxiety.               │</w:t>
        <w:br w:type="textWrapping"/>
        <w:t xml:space="preserve">└───────────────────────┴───────────────────────┴────────────────────────┘</w:t>
        <w:br w:type="textWrapping"/>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 demographic groups bring different baseline experiences :</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Drivers vs. Non-Drivers</w:t>
      </w:r>
      <w:r w:rsidDel="00000000" w:rsidR="00000000" w:rsidRPr="00000000">
        <w:rPr>
          <w:rtl w:val="0"/>
        </w:rPr>
        <w:t xml:space="preserve">: Drivers understand throttling, engine RPM, and cooling systems, making car-based analogies highly effective. Non-drivers can find these concepts alienating, so they respond better to household budget or clothing analogies.</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Homeowners vs. Renters</w:t>
      </w:r>
      <w:r w:rsidDel="00000000" w:rsidR="00000000" w:rsidRPr="00000000">
        <w:rPr>
          <w:rtl w:val="0"/>
        </w:rPr>
        <w:t xml:space="preserve">: Homeowners are familiar with long-term infrastructure and building upgrades. Renters often focus on immediate utility bills and simple, user-adjustable settings, responding best to cooking or daily spending analogies.</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Technical vs. Non-Technical</w:t>
      </w:r>
      <w:r w:rsidDel="00000000" w:rsidR="00000000" w:rsidRPr="00000000">
        <w:rPr>
          <w:rtl w:val="0"/>
        </w:rPr>
        <w:t xml:space="preserve">: Technical users prefer accurate thermodynamic terms and direct system diagrams. Non-technical users need simple, functional comparisons that focus on daily use rather than internal engineering.</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Rural vs. Urban</w:t>
      </w:r>
      <w:r w:rsidDel="00000000" w:rsidR="00000000" w:rsidRPr="00000000">
        <w:rPr>
          <w:rtl w:val="0"/>
        </w:rPr>
        <w:t xml:space="preserve">: Rural homeowners often have hands-on experience with oil tanks, LPG, or biomass heating systems, making mechanical comparisons intuitive. Urban users, who are more accustomed to centralized gas networks or district heating, benefit most from direct on-demand water analogies.</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Cultural and Translation Differences</w:t>
      </w:r>
      <w:r w:rsidDel="00000000" w:rsidR="00000000" w:rsidRPr="00000000">
        <w:rPr>
          <w:rtl w:val="0"/>
        </w:rPr>
        <w:t xml:space="preserve">: Analogies can lose their meaning when translated literally. For example, winter clothing analogies are less effective in hot, humid climates, and specialized cooking terms do not translate directly across different culinary cultures.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Atlas system resolves this by keeping analogies modular. The core recommendation calculations remain independent, allowing the interface to dynamically swap and tailor explanations to match the user's specific cultural and demographic background.</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Heating Education Content Matrix</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that technical concepts are explained clearly without being oversimplified, the Atlas Accessibility Library organizes core system operations into an educational matrix. This matrix maps each concept to its visual presentation, analogy family, common misunderstandings, customer-facing language, and underlying engineering principles: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Concept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Visual Method</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Analogy Family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Misunderstandings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Plain-Language Customer Wording</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Deeper Layer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 Equivalent</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Accessibility Risks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Combi Boiler 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interactive flowchart showing how priority shifts between space heating and domestic hot water.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Car &amp; Traffic</w:t>
            </w:r>
            <w:r w:rsidDel="00000000" w:rsidR="00000000" w:rsidRPr="00000000">
              <w:rPr>
                <w:rtl w:val="0"/>
              </w:rPr>
              <w:t xml:space="preserve">: An engine that must choose between driving the wheels or running the air conditioner, unable to do both at full power.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Believing a combi boiler can supply infinite hot water to multiple taps simultaneously without losing pressure.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combi boiler heats water instantly as it flows from the mains. However, because it has no storage tank, it can only focus on one main task at a time. If multiple showers run at once, the available heat and pressure must be split, resulting in colder water and weaker pressure."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 boilers prioritize Domestic Hot Water (DHW) via a three-port diverter valve. The maximum DHW flow rate is constrained by the burner's plate heat exchanger capacity and local mains water pressure : Q = [span_262](start_span)[span_262](end_span)[span_264](start_span)[span_264](end_span)[span_266](start_span)[span_266](end_span)\frac{P}{\rho \cdot C_p \cdot \Delta T}where Q is flow rate, P is burner power, and \Delta T is the temp rise.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Single-page A4 handout using a clear water-path diagram with highlighted pressure-drop zones.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Color-blind users may struggle to distinguish hot and cold water paths if color is the only indicator.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Stored Hot Water &amp; Cylinders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color-coded schematic of unvented storage cylinders with internal heat exchange coils and unvented expansion vessels.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Money &amp; Budgeting</w:t>
            </w:r>
            <w:r w:rsidDel="00000000" w:rsidR="00000000" w:rsidRPr="00000000">
              <w:rPr>
                <w:rtl w:val="0"/>
              </w:rPr>
              <w:t xml:space="preserve">: A physical savings account. You deposit energy slowly and withdraw it rapidly whenever needed.</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unvented cylinders lose their heat quickly and are highly inefficient compared to combi boilers.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unvented cylinder stores a large reservoir of hot water under pressure. This allows multiple taps and showers to run at the same time with strong, steady water pressure. Once this stored volume is fully emptied, the system requires a brief 'recovery time' to heat the incoming cold water back up."</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Unvented cylinders (e.g., Megaflo) connect directly to the water main, utilizing expansion vessels and pressure-reducing valves to deliver hot water at mains pressure. Standing heat loss is minimized by polyurethane foam insulation, typically restricted to less than 1.5\text{ kWh} per 24\text{ hours}.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One-page A4 decision sheet comparing storage volume against family occupancy.</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text density can overwhelm dyslexic users and those with low technical confidence.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Heat Pump Principles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animated loop showing the refrigeration cycle, from low-pressure outdoor evaporation to high-pressure indoor heat release.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Food &amp; Kitchen</w:t>
            </w:r>
            <w:r w:rsidDel="00000000" w:rsidR="00000000" w:rsidRPr="00000000">
              <w:rPr>
                <w:rtl w:val="0"/>
              </w:rPr>
              <w:t xml:space="preserve">: A household refrigerator working in reverse, extracting heat from the inside and releasing it into the room.</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Believing heat pumps cannot extract heat when outdoor air temperatures drop below freezing.</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heat pump does not create heat through combustion. Instead, it acts as an energy magnifier. It absorbs natural warmth from the outdoor air—even in freezing conditions—and uses a compressor to raise that warmth to a comfortable temperature for your home."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Air-to-water heat pumps utilize a closed vapor-compression refrigeration cycle. The Coefficient of Performance (COP) represents the efficiency ratio of heat output to electrical input : \text{COP} = \frac{Q_{\text{condenser}}}{W_{\text{compressor}}}COP decreases as the difference between outdoor temperature and flow temperature increases.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Printed infographic showing the refrigeration loop with clear color-coded pressure zones.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Fast-moving fluid animations can cause distraction and discomfort for ADHD and vestibular-disorder users.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Low-Loss Headers &amp; Buffers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static system schematic showing a primary heat pump loop decoupled from multi-zone radiator circuits.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Car &amp; Traffic</w:t>
            </w:r>
            <w:r w:rsidDel="00000000" w:rsidR="00000000" w:rsidRPr="00000000">
              <w:rPr>
                <w:rtl w:val="0"/>
              </w:rPr>
              <w:t xml:space="preserve">: A roundabout that allows fast highway traffic and slow city traffic to merge and separate smoothly without causing collisions.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buffer tanks are redundant water containers that only serve to waste energy.</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low-loss header acts as a hydraulic shock absorber for your heating system. It separates the water flowing through your heat pump from the water circulating through your radiators, ensuring both pumps can run at their ideal speeds without interfering with one another."</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Low-loss headers decouple primary and secondary circuits by creating a zone of negligible pressure drop (\Delta P \approx 0). This ensures the heat pump maintains its required minimum volumetric flow rate, protecting it from high-pressure faults when secondary zone valves close : Q_{\text{primary}} \neq [span_322](start_span)[span_322](end_span)[span_329](start_span)[span_329](end_span)Q_{\text{secondary}}</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Printed engineer handover sheet illustrating flow path directions during defrost cycles.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hydraulic diagrams can trigger high cognitive load and anxiety in non-technical users.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Temperatures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thermal gradient graphic comparing radiator heat output at 45^\circ\text{C} and 70^\circ\text{C} flow settings.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Body &amp; Health</w:t>
            </w:r>
            <w:r w:rsidDel="00000000" w:rsidR="00000000" w:rsidRPr="00000000">
              <w:rPr>
                <w:rtl w:val="0"/>
              </w:rPr>
              <w:t xml:space="preserve">: Running a gentle, steady warm bath versus throwing a bucket of boiling water over yourself to get warm.</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Believing setting flow temperatures higher always saves energy because the house heats up faster.</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"Flow temperature is the temperature of the water sent from your heat pump or boiler to your radiators. Running this water cooler (e.g., 40^\circ\text{C} instead of 70^\circ\text{C}) allows your heating system to run much more efficiently, lowering your energy bills while maintaining a steady, comfortable home."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Radiator heat output is determined by the mean water temperature relative to the room temperature. Modern condensing boilers only condense (recovering latent heat of vaporization) when return water temperatures are below 54^\circ\text{C}, requiring flow temperatures below 55^\circ\text{C} to maintain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 comparison sheet showing the relationship between flow temperature and monthly running costs.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Numerical concepts and tables can cause anxiety for users with low numeracy or cognitive fatigue.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Weather &amp; Load Compensation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coordinate graph plotting outdoor temperatures against system flow temperatures.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Car &amp; Traffic</w:t>
            </w:r>
            <w:r w:rsidDel="00000000" w:rsidR="00000000" w:rsidRPr="00000000">
              <w:rPr>
                <w:rtl w:val="0"/>
              </w:rPr>
              <w:t xml:space="preserve">: An automatic cruise control that adjusts engine power to match the steepness of a hill, maintaining a steady speed.</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the heating system has failed because the radiators feel warm or lukewarm rather than hot to the touch.</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"Weather compensation is an automated control feature. It uses an outdoor sensor to measure the outside temperature and automatically adjusts your radiators' water temperature—running them hotter during a freeze and cooler during mild spring weather to save energy."</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Weather compensation uses a pre-programmed heating curve stored in the controller. The controller calculates the target flow temperature based on real-time outdoor temperature readings : T_{\text{flow}} = T_{\text{room\_set}} + \text{Curve\_Slope} \cdot (T_{\text{room\_set}} - T_{\text{outdoor}})This inverse relationship matches energy output directly to building heat loss.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 customer reference sheet illustrating how room comfort is maintained at varying radiator temperatures.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Interacting with curves and coordinate graphs can cause confusion and high cognitive load for low-literacy users.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Zoning &amp; Smart Controls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home floor plan showing multi-zone radiator control versus open-plan, balanced thermostatic circulation.</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Car &amp; Traffic</w:t>
            </w:r>
            <w:r w:rsidDel="00000000" w:rsidR="00000000" w:rsidRPr="00000000">
              <w:rPr>
                <w:rtl w:val="0"/>
              </w:rPr>
              <w:t xml:space="preserve">: Driving a car while constantly stepping on the gas and slamming on the brakes, rather than maintaining a steady speed.</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Believing that shutting off heating in individual rooms always reduces energy use and lowers bills.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"Zoning splits your home into separate heating areas, using smart valves to turn radiators off in unused rooms. However, restricting the available radiator area forces the heat pump to run hotter to warm the rest of the house, which can actually lower efficiency and increase running costs."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Turning off TRVs reduces the active radiator surface area (A), forcing the system to raise the flow temperature (T_{\text{flow}}) to meet the heat load : P = U \cdot A \cdot (T_{\text{mean\_water}} - [span_204](start_span)[span_204](end_span)T_{\text{room}})For heat pumps, this raised flow temperature lowers the COP and can lead to rapid compressor cycling.</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Printed diagram showing the benefit of keeping primary home zones open and hydraulically balanced.</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menu structures in smart control apps can create barriers for technophobic or older users.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Insulation &amp; Fabric Heat Loss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building cross-section illustrating heat loss through uninsulated walls, windows, and roofs.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Weather &amp; Clothing</w:t>
            </w:r>
            <w:r w:rsidDel="00000000" w:rsidR="00000000" w:rsidRPr="00000000">
              <w:rPr>
                <w:rtl w:val="0"/>
              </w:rPr>
              <w:t xml:space="preserve">: Putting on a windproof, insulated winter coat rather than using hand warmers to stay warm.</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Believing that upgrading to a larger boiler or heat pump is always better than insulating the home's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"Insulation acts as a protective blanket for your home, keeping warmth inside. Adding insulation to your walls, loft, and windows reduces the rate at which heat escapes, allowing you to use a smaller, less expensive heating system to keep your home warm."</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heat loss is calculated using the thermal transmittance (U-value) of each building component : Q_{\text{loss}} = \sum (U_i \cdot A_i) \cdot (T[span_379](start_span)[span_379](end_span)[span_381](start_span)[span_381](end_span)_{\text{indoor}} - T_{\text{outdoor}})Improving the thermal envelope lowers the total heat load, allowing the system to use lower flow temperatures and maintain high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 home insulation diagram showing clear heat loss percentages across different building areas.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U-values and calculations can overwhelm non-technical users and those with low numeracy.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Future Solar PV &amp; Batteries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power flow schematic showing solar panel output routing to appliances, home batteries, or the hot water cylinder.</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Money &amp; Budgeting</w:t>
            </w:r>
            <w:r w:rsidDel="00000000" w:rsidR="00000000" w:rsidRPr="00000000">
              <w:rPr>
                <w:rtl w:val="0"/>
              </w:rPr>
              <w:t xml:space="preserve">: Harvesting rainwater in a storage barrel during a storm so you can water your garden during a dry spell.</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Believing solar panels are useless in winter because they require direct, warm sunlight to generate electricity.</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"Solar PV panels convert daylight into clean electricity for your home. Combining them with a home battery allows you to store excess electricity generated during the day and use it at night, lowering your reliance on the grid."</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Solar panels generate direct current (DC) electricity from light, which an inverter converts to alternating current (AC). This power can be routed to a hot water immersion heater or stored in a lithium-iron-phosphate (LFP) battery bank to optimize self-consumption: \eta_{\text{self}} = \frac{E_{\text{consumed\_direct}} + E_{\text{stored\_discharged}}}{E_{\text{generated}}}</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 system flow diagram showing how electricity is distributed between home appliances, battery storage, and hot water.</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Complicated electrical flow paths can confuse visually supported learners and older users.</w:t>
            </w:r>
          </w:p>
        </w:tc>
      </w:tr>
    </w:tbl>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Technical Performance and Closed-Loop Hydronic Decoupling</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Static Curve Practices vs. Active Human Interventions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Installers often set a fixed, conservative high-temperature heating curve (typically a 50\text{–}55^\circ\text{C} flow temperature) to ensure room comfort on the coldest days and avoid customer callbacks. However, running a heat pump at a fixed high temperature significantly lowers its Seasonal Performance Factor (SPF).</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users do not understand how weather compensation works, they often react to slow warm-up times by manually overriding system settings or raising room thermostats. This causes the system to cycle rapidly, increasing running costs and reducing the lifespan of the compressor.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FLOW TEMPERATURE VS. ENERG[span_360](start_span)[span_360](end_span)[span_362](start_span)[span_362](end_span)Y WASTE</w:t>
        <w:br w:type="textWrapping"/>
        <w:t xml:space="preserve">                     </w:t>
        <w:br w:type="textWrapping"/>
        <w:t xml:space="preserve">    80°C ───────────────────────────────────────────────────</w:t>
        <w:br w:type="textWrapping"/>
        <w:t xml:space="preserve">         - Hot radiators but zero condensing [span_416](start_span)[span_416](end_span)[span_417](start_span)[span_417](end_span)</w:t>
        <w:br w:type="textWrapping"/>
        <w:t xml:space="preserve">         - Out of condensing zone (&gt;54°C return) </w:t>
        <w:br w:type="textWrapping"/>
        <w:t xml:space="preserve">         </w:t>
        <w:br w:type="textWrapping"/>
        <w:t xml:space="preserve">    55°C ───────────────────────────────────────────────────[span_304](start_span)[span_304](end_span)[span_311](start_span)[span_311](end_span)</w:t>
        <w:br w:type="textWrapping"/>
        <w:t xml:space="preserve">         - Standard installer fallback to avoid callbacks </w:t>
        <w:br w:type="textWrapping"/>
        <w:t xml:space="preserve">         - Wastes 5-15% seasonal efficiency [span_418](start_span)[span_418](end_span)</w:t>
        <w:br w:type="textWrapping"/>
        <w:t xml:space="preserve">         </w:t>
        <w:br w:type="textWrapping"/>
        <w:t xml:space="preserve">    35°C ───────────────────────────────────────────────────</w:t>
        <w:br w:type="textWrapping"/>
        <w:t xml:space="preserve">         - R[span_374](start_span)[span_374](end_span)adiators feel lukewarm but home stays comfortable [span_419](start_span)[span_419](end_span)</w:t>
        <w:br w:type="textWrapping"/>
        <w:t xml:space="preserve">         - Maximum COP and continuous condensing </w:t>
        <w:br w:type="textWrapping"/>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this behavioral issue, the Atlas Library provides clear, simple visual guides and car-acceleration analogies to explain how weather compensation operates. This helps customers understand why radiators should feel warm or lukewarm rather than hot to the touch, encouraging them to let the system modulate naturally.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reducing user anxiety around slower warm-up times, the library supports more efficient system operation, shifting customer behavior from active manual overrides to passive thermal comfort.</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Hydronic Decoupling and System Lifetime Protection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Hydronic decoupling is critical for protecting the physical components of modern heating systems. In systems with variable-volume distribution—where smart controls and thermostatic valves can close off entire heating zones—the flow rate can fluctuate widely.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a low-loss header or buffer tank to decouple the circuits, closing these zone valves restricts flow, causing pressure to build and triggering high-pressure faults in the heat pump.</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VARIABLE DISTRIBUTION SYSTEM WITH HYDRONIC DECOUPLING</w:t>
        <w:br w:type="textWrapping"/>
        <w:t xml:space="preserve">             </w:t>
        <w:br w:type="textWrapping"/>
        <w:t xml:space="preserve">     ┌──────────────────┐  Primar[span_323](start_span)[span_323](end_span)[span_330](start_span)[span_330](end_span)y Flow  ┌────────────────┐  Secondary Flow  ┌───────────┐</w:t>
        <w:br w:type="textWrapping"/>
        <w:t xml:space="preserve">     │                  │ ─────────────▶ │                │ ───────────────▶ │ Radiators │</w:t>
        <w:br w:type="textWrapping"/>
        <w:t xml:space="preserve">     │    Heat Pump     │                │[span_324](start_span)[span_324](end_span)[span_331](start_span)[span_331](end_span)    Low-Loss    │                  │  (Zones)  │</w:t>
        <w:br w:type="textWrapping"/>
        <w:t xml:space="preserve">     │ (Constant Flow)  │ ◀───────────── │     Header     │ ◀─────────────── │    │</w:t>
        <w:br w:type="textWrapping"/>
        <w:t xml:space="preserve">     └──────────────────┘  Primary Ret.  └────────────────┘  Secondary Ret.  └───────────┘</w:t>
        <w:br w:type="textWrapping"/>
        <w:t xml:space="preserve">                                                 │</w:t>
        <w:br w:type="textWrapping"/>
        <w:t xml:space="preserve">                                                 ▼</w:t>
        <w:br w:type="textWrapping"/>
        <w:t xml:space="preserve">                                     [Velocity drops to zero;</w:t>
        <w:br w:type="textWrapping"/>
        <w:t xml:space="preserve">                                      air and dirt separate]</w:t>
        <w:br w:type="textWrapping"/>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low-loss header creates a low-velocity zone where the primary heat generator loop and secondary emitter loops can operate independently. If the secondary heating zones require less water (e.g., 500\text{ L/h}) than the heat pump's minimum requirement (e.g., 1500\text{ L/h}), the excess water (1000[span_325](start_span)[span_325](end_span)[span_332](start_span)[span_332](end_span)\text{ L/h}) flows safely back through the header to the return pipe.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prevents system faults, protects the compressor from rapid cycling, and ensures the heat pump operates at peak efficiency.</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Animation and Motion Governance Standards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Animations can clarify physical movements, such as fluid dynamics or pressure changes, but they can also create barriers for neurodivergent individuals and users with vestibular disorders or photosensitive epilepsy. Uncontrolled, looping, or fast-moving elements can cause visual distraction, hinder reading comprehension, and trigger physical discomfort.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animations are highly accessible, the Atlas Library enforces strict motion design standards:</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Focused Visuals</w:t>
      </w:r>
      <w:r w:rsidDel="00000000" w:rsidR="00000000" w:rsidRPr="00000000">
        <w:rPr>
          <w:rtl w:val="0"/>
        </w:rPr>
        <w:t xml:space="preserve">: Every animation must address a single, specific concept, such as how water flows through a bypass valve. Decorative motion, background effects, and looping elements are omitted to prevent cognitive overload.</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Vestibular Triggers</w:t>
      </w:r>
      <w:r w:rsidDel="00000000" w:rsidR="00000000" w:rsidRPr="00000000">
        <w:rPr>
          <w:rtl w:val="0"/>
        </w:rPr>
        <w:t xml:space="preserve">: Rapid scaling, bouncing, and parallax scrolling are prohibited. Bouncing transitions are limited to three iterations, and flashing or blinking elements are strictly banned.</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Size Limits</w:t>
      </w:r>
      <w:r w:rsidDel="00000000" w:rsidR="00000000" w:rsidRPr="00000000">
        <w:rPr>
          <w:rtl w:val="0"/>
        </w:rPr>
        <w:t xml:space="preserve">: Technical animations must be restricted to less than one-third of the screen area. This ensures low-vision users who use screen zoom tools are not overwhelmed by motion and can easily find the visual context.</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Duration Constraints</w:t>
      </w:r>
      <w:r w:rsidDel="00000000" w:rsidR="00000000" w:rsidRPr="00000000">
        <w:rPr>
          <w:rtl w:val="0"/>
        </w:rPr>
        <w:t xml:space="preserve">: Interface transitions must be short, ideally under one second, to ensure interactions feel natural and purposeful.</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Accessible Controls</w:t>
      </w:r>
      <w:r w:rsidDel="00000000" w:rsidR="00000000" w:rsidRPr="00000000">
        <w:rPr>
          <w:rtl w:val="0"/>
        </w:rPr>
        <w:t xml:space="preserve">: Every animation or video must include clearly visible controls to pause, play, rewind, or adjust playback speed.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library also supports the CSS prefers-reduced-motion media query, which detects when a user has enabled reduced motion settings in their operating system. When this preference is detected, all non-essential transitions and animations are disabled or replaced with high-quality static graphics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Standard, high-efficiency transition */</w:t>
        <w:br w:type="textWrapping"/>
        <w:t xml:space="preserve">.water-flow-indicator {</w:t>
        <w:br w:type="textWrapping"/>
        <w:t xml:space="preserve">  animation: circulate-fluid 2s linear infinite;</w:t>
        <w:br w:type="textWrapping"/>
        <w:t xml:space="preserve">  transform: translateX(0);</w:t>
        <w:br w:type="textWrapping"/>
        <w:t xml:space="preserve">  transition: transform 0.5s ease-in-out;</w:t>
        <w:br w:type="textWrapping"/>
        <w:t xml:space="preserve">}</w:t>
        <w:br w:type="textWrapping"/>
        <w:br w:type="textWrapping"/>
        <w:t xml:space="preserve">/* Reduced-motion override */</w:t>
        <w:br w:type="textWrapping"/>
        <w:t xml:space="preserve">@media (prefers-reduced-motion: reduce) {</w:t>
        <w:br w:type="textWrapping"/>
        <w:t xml:space="preserve"> .water-flow-indicator {</w:t>
        <w:br w:type="textWrapping"/>
        <w:t xml:space="preserve">    animation: none!important;</w:t>
        <w:br w:type="textWrapping"/>
        <w:t xml:space="preserve">    transition: none!important;</w:t>
        <w:br w:type="textWrapping"/>
        <w:t xml:space="preserve">    background-image: url('/assets/icons/static-flow-arrow.svg');</w:t>
        <w:br w:type="textWrapping"/>
        <w:t xml:space="preserve">  }</w:t>
        <w:br w:type="textWrapping"/>
        <w:t xml:space="preserve">}</w:t>
        <w:br w:type="textWrapping"/>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combining operating system detection with manually adjustable user controls, the Atlas Library delivers a safe, comfortable visual experience for all users.</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Bi-Directional Mirroring and Timeline Progression in Arabic and Hebrew</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localizing the Atlas interface for right-to-left (RTL) languages like Arabic, Hebrew, Persian, and Urdu, simply translating the text is insufficient. The entire layout must be mirrored to match the reading and scanning patterns of RTL users.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LTR SCREEN FLOW (LEFT-TO-RIGHT)          RTL SCREEN FLOW (RIGHT-TO-LEFT)</w:t>
        <w:br w:type="textWrapping"/>
        <w:t xml:space="preserve">  ┌────────────────────────────────────────┐  ┌────────────────────────────────────────┐</w:t>
        <w:br w:type="textWrapping"/>
        <w:t xml:space="preserve">  │                        │  │                         │</w:t>
        <w:br w:type="textWrapping"/>
        <w:t xml:space="preserve">  │                                        │  │                                        │  │</w:t>
        <w:br w:type="textWrapping"/>
        <w:t xml:space="preserve">  │ Title Text                             │  │                             Title Text  │</w:t>
        <w:br w:type="textWrapping"/>
        <w:t xml:space="preserve">  │ Paragraph text starts on the left.     │  │    .right the on starts text Paragraph  │</w:t>
        <w:br w:type="textWrapping"/>
        <w:t xml:space="preserve">  │                                        │  │                                        │  │</w:t>
        <w:br w:type="textWrapping"/>
        <w:t xml:space="preserve">  │ ───────○ [100% Volume]  │  │  [Volume 100%] ○───────  │</w:t>
        <w:br w:type="textWrapping"/>
        <w:t xml:space="preserve">  └────────────────────────────────────────┘  └────────────────────────────────────────┘</w:t>
        <w:br w:type="textWrapping"/>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Layout mirroring must adhere to the following standards:</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Mirroring</w:t>
      </w:r>
      <w:r w:rsidDel="00000000" w:rsidR="00000000" w:rsidRPr="00000000">
        <w:rPr>
          <w:rtl w:val="0"/>
        </w:rPr>
        <w:t xml:space="preserve">: The position of navigation menus, progress bars, back buttons, checkboxes, and search fields must be reversed. In RTL layouts, progress bars must fill from right to left, and back buttons must point to the right.</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Text Alignment</w:t>
      </w:r>
      <w:r w:rsidDel="00000000" w:rsidR="00000000" w:rsidRPr="00000000">
        <w:rPr>
          <w:rtl w:val="0"/>
        </w:rPr>
        <w:t xml:space="preserve">: Text blocks must be right-aligned for RTL languages. However, paragraph alignment should always match the source language of the text rather than the global interface setting. For example, if a short English paragraph is displayed within an Arabic interface, that paragraph must remain left-aligned to preserve readability.</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Numerical Value Direction</w:t>
      </w:r>
      <w:r w:rsidDel="00000000" w:rsidR="00000000" w:rsidRPr="00000000">
        <w:rPr>
          <w:rtl w:val="0"/>
        </w:rPr>
        <w:t xml:space="preserve">: Numerical values, phone numbers, and credit card sequences must never be reversed, as digits are read from left to right in both LTR and RTL scripts. For example, the year "2026" must always be displayed as "2026". However, sequential numbers that show progress or timeline order must be mirrored to match the reading direction.</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r w:rsidDel="00000000" w:rsidR="00000000" w:rsidRPr="00000000">
        <w:rPr>
          <w:i w:val="1"/>
          <w:iCs w:val="1"/>
          <w:rtl w:val="0"/>
        </w:rPr>
        <w:t xml:space="preserve">Icon Mirroring</w:t>
      </w:r>
      <w:r w:rsidDel="00000000" w:rsidR="00000000" w:rsidRPr="00000000">
        <w:rPr>
          <w:rtl w:val="0"/>
        </w:rPr>
        <w:t xml:space="preserve">*: Icons that show directional movement, such as arrows, speakers with radiating sound waves, or bicycles, must be mirrored in RTL layouts. Symmetrical icons (such as search magnifying glasses, printer icons, or gear symbols) must not be mirrored, as they are universally understood in their standard orientation.</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Progress Flow</w:t>
      </w:r>
      <w:r w:rsidDel="00000000" w:rsidR="00000000" w:rsidRPr="00000000">
        <w:rPr>
          <w:rtl w:val="0"/>
        </w:rPr>
        <w:t xml:space="preserve">: Timeline progressions—such as explaining a sequence of installations or historical energy demand—must be mirrored. While LTR layouts display timeline progress moving horizontally from left to right, RTL layouts must show this progression moving from right to left. Failing to mirror these progress flows can cause cognitive friction and reduce user trust.</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Performance and Hydronic Systems Terminology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technical concepts are translated accurately across different languages, translation efforts must prioritize equivalent meaning and conceptual understanding over literal word-for-word translation. This is particularly important for heating terminology, which varies significantly by region: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 Technical Jargon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 Technical Jargon</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Thermodynamic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Translation Risks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Combi Boiler</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Tankless Combination Boiler</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single wall-hung gas appliance providing on-demand hydronic space heating and domestic hot water.</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Literal translations can confuse users in regions where tankless combi units are rare.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Unvented Hot Water Cylinder</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Indirect Storage Tank</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pressurized domestic hot water storage vessel utilizing an internal coil heat exchanger.</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"Vented" vs. "unvented" has safety implications that require precise technical translation.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Weather Compensation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Outdoor Reset Control</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adjustment of hydronic loop flow temperature based on outdoor ambient temperature.</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translated as general "weather adjustments," losing the concept of the curve.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TRV (Thermostatic Radiator Valve)</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Radiator Actuator / Zone Valve</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self-regulating valve fitted to a radiator to control room temperature.</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Literal translations can confuse users who do not associate "valves" with temperature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Low-Loss Header</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Hydraulic Separator</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primary-secondary plumbing vessel that decouples circulation loops.</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mistranslated as a "water tank," hiding its hydraulic decoupling purpose.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Bypass Valve</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Pressure Relief Bypass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spring-loaded valve that maintains minimum flow when zone valves close.</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be confused with safety pressure relief valves if not clearly translated.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Zoning</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Multi-Zone Heating</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Dividing a building into separately controlled heating areas.</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"Zoning" has municipal planning meanings in some regions, requiring clear context.</w:t>
            </w:r>
          </w:p>
        </w:tc>
      </w:tr>
    </w:tbl>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Quality Assurance Checklists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Comprehensive Quality Control Framework</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high standards of quality, accessibility, and consistency, every asset in the Atlas Library must pass a series of rigorous, interactive quality assurance checklists before deployment: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Checklist Standard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Metric / CSS Standard</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Method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Cognitive Accessibility</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plain English, direct address ("you"), and active voice.</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age target: 12-14 years.</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readability tests (e.g., Flesch-Kincaid Grade Level).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 text into small, manageable chunks with clear subheadings.</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 paragraphs to a maximum of 4 sentences.</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layout and editorial audit.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all navigation elements and controls are consistent.</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 menu hierarchy; no hidden or nested menus.</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click-path testing.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 double negatives, jargon, and unexplained abbreviations.</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any technical terms clearly in context.</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Plain language review and editorial audit.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Dyslexia &amp; Typographical</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open-form sans-serif typefaces (e.g., Arial, Lexend, Calibri).</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size: 12-14pt (16\text{-}19\text{px}).</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layout audit and style sheet validation.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comfortable character, word, and line spacing.</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 spacing: 1.5x leading. Tracking: +0.03em.</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CSS style sheet verification.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 italics, underlining, block capitals, and full justification.</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Left-align text with ragged right margins.</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CSS style sheet and typography audit.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Print-First Design</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 layouts for single-page A4 double-sided handouts.</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margins: 15\text{mm}. No dense columns.</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 layout template verification.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low-ink designs to save materials and energy.</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Eco-friendly fonts (e.g., Century Gothic).</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Ink coverage 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 heavy background fills, dark images, and glossy paper.</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 on off-white or cream recycled matt paper.</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Tactile material check and print run validation.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Animation &amp; Motion</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every animation addresses a single, specific concept.</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Animation duration target: under 1 second.</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Storyboard and motion design review.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 accessible controls to pause, play, and adjust speed.</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Keyboard navigable; visible focus indicators.</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Assistive technology accessibility audit.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 system-level reduced motion preferences.</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@medi[span_447](start_span)[span_447](end_span)[span_450](start_span)[span_450](end_span)a (prefers-reduced-motion: reduce).</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review and browser emulation testing.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 clear static fallbacks and screen reader summaries.</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 text (alt tags) describing all motion.</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reader accessibility verification.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Localization &amp; Mirroring</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 layout, menus, and controls for RTL languages.</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Reverse progress bar fills and back button directions.</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RTL layout mirroring validation.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numerical digits in their standard LTR order.</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Digits (e.g., phone numbers, years) stay LTR.</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Multilingual typography audit.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 directional icons while keeping symmetrical icons unchanged.</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 arrows and motion; do not mirror search icons.</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Icon style library verification.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heating terminology to accurate regional equivalents.</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 literal translations of regional jargon.</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 by certified local heating experts.</w:t>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t>
      </w:r>
    </w:p>
    <w:p w:rsidR="00000000" w:rsidDel="00000000" w:rsidP="00000000" w:rsidRDefault="00000000" w:rsidRPr="00000000" w14:paraId="000001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Educational Asset Risk Register</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the safety, accuracy, and accessibility of the Atlas Library, potential design and implementation risks must be systematically managed: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Identified Risk</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Severity</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Cause</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Mitigation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Misleading Near-Analogies</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analogies with superficial similarities that fail to reflect physical behaviors.</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Mandate a rigorous mapping process: define positive analogies, explain negative analogies, and transition to factual 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Oversimplification of Core Truths</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Deleting critical engineering facts to artificially lower the reading difficulty.</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 progressive disclosure: present clear plain-English summaries first, then provide layered technical deep dives.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Visual Motion Overload</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Auto-playing videos, looping indicators, or complex fluid animations.</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Enforce strict motion standards: restrict animations to one-third of the screen, and support operating system settings.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Exclusion &amp; Skimming</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Relying entirely on digital portals, leading to distraction and low retention.</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 high-quality printed handouts and leave-behind sheets for offline 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Text Crowding &amp; Visual Fatigue</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text density, tight line spacing, and justified margins.</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 strict typography standards: use a ragged right margin, line spacing of 1.5, and open-form sans-serif fonts.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Terminology Translation Errors</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Literal translation of regional heating jargon without local context.</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 a verified technical term glossary, and partner with regional heating experts.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Color Accessibility Barriers</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color as the sole indicator of thermodynamic properties.</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all visual assets maintain high contrast and combine color with text labels.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Engine recommendations decoupling</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Critical</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Allowing the educational library to influence or override the engine's calculations.</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 a strict physical separation: the recommendation engine runs calculations independently, while the library reads output variables.</w:t>
            </w:r>
          </w:p>
        </w:tc>
      </w:tr>
    </w:tbl>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Implications and Engineering Roadmap</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successfully integrate the Accessibility Library into Atlas Mind, the development team must prioritize the following engineering steps:</w:t>
      </w:r>
    </w:p>
    <w:p w:rsidR="00000000" w:rsidDel="00000000" w:rsidP="00000000" w:rsidRDefault="00000000" w:rsidRPr="00000000" w14:paraId="000001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Existing Assets</w:t>
      </w:r>
      <w:r w:rsidDel="00000000" w:rsidR="00000000" w:rsidRPr="00000000">
        <w:rPr>
          <w:rtl w:val="0"/>
        </w:rPr>
        <w:t xml:space="preserve">: Catalog all existing visual explainers, animations, and diagrams, evaluating each against WCAG standards and the visual guidelines established in this report.</w:t>
      </w:r>
    </w:p>
    <w:p w:rsidR="00000000" w:rsidDel="00000000" w:rsidP="00000000" w:rsidRDefault="00000000" w:rsidRPr="00000000" w14:paraId="000001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 Unified Metadata</w:t>
      </w:r>
      <w:r w:rsidDel="00000000" w:rsidR="00000000" w:rsidRPr="00000000">
        <w:rPr>
          <w:rtl w:val="0"/>
        </w:rPr>
        <w:t xml:space="preserve">: Embed the asset metadata schema directly into the content management database, allowing the system to serve tailored content based on the user's profile.</w:t>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Establish Library Directory</w:t>
      </w:r>
      <w:r w:rsidDel="00000000" w:rsidR="00000000" w:rsidRPr="00000000">
        <w:rPr>
          <w:rtl w:val="0"/>
        </w:rPr>
        <w:t xml:space="preserve">: Organize assets systematically by thermodynamic concept and analogy family, keeping digital and printable resources aligned.</w:t>
      </w:r>
    </w:p>
    <w:p w:rsidR="00000000" w:rsidDel="00000000" w:rsidP="00000000" w:rsidRDefault="00000000" w:rsidRPr="00000000" w14:paraId="000001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 Print Templates</w:t>
      </w:r>
      <w:r w:rsidDel="00000000" w:rsidR="00000000" w:rsidRPr="00000000">
        <w:rPr>
          <w:rtl w:val="0"/>
        </w:rPr>
        <w:t xml:space="preserve">: Create clean, single-page A4 templates optimized for print, prioritizing low-ink, high-contrast layouts and sustainable matt paper.</w:t>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Establish Analogy Framework</w:t>
      </w:r>
      <w:r w:rsidDel="00000000" w:rsidR="00000000" w:rsidRPr="00000000">
        <w:rPr>
          <w:rtl w:val="0"/>
        </w:rPr>
        <w:t xml:space="preserve">: Implement a user preference tool that allows consumers to choose their preferred analogy style (such as car/traffic, water flow, or factual mode).</w:t>
      </w:r>
    </w:p>
    <w:p w:rsidR="00000000" w:rsidDel="00000000" w:rsidP="00000000" w:rsidRDefault="00000000" w:rsidRPr="00000000" w14:paraId="000001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Apply Cognitive Load Metrics</w:t>
      </w:r>
      <w:r w:rsidDel="00000000" w:rsidR="00000000" w:rsidRPr="00000000">
        <w:rPr>
          <w:rtl w:val="0"/>
        </w:rPr>
        <w:t xml:space="preserve">: Incorporate cognitive load evaluations into the design workflow, ensuring pages do not exceed complexity limits.</w:t>
      </w:r>
    </w:p>
    <w:p w:rsidR="00000000" w:rsidDel="00000000" w:rsidP="00000000" w:rsidRDefault="00000000" w:rsidRPr="00000000" w14:paraId="0000015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Deploy Motion Fallbacks</w:t>
      </w:r>
      <w:r w:rsidDel="00000000" w:rsidR="00000000" w:rsidRPr="00000000">
        <w:rPr>
          <w:rtl w:val="0"/>
        </w:rPr>
        <w:t xml:space="preserve">: Wire all dynamic components to respect operating system reduced motion preferences, replacing animations with high-quality static graphics.</w:t>
      </w:r>
    </w:p>
    <w:p w:rsidR="00000000" w:rsidDel="00000000" w:rsidP="00000000" w:rsidRDefault="00000000" w:rsidRPr="00000000" w14:paraId="000001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Decouple Calculations from Explanations</w:t>
      </w:r>
      <w:r w:rsidDel="00000000" w:rsidR="00000000" w:rsidRPr="00000000">
        <w:rPr>
          <w:rtl w:val="0"/>
        </w:rPr>
        <w:t xml:space="preserve">: Maintain a strict separation between the recommendation calculations and the educational library. The recommendation engine must operate as a secure, independent system based on verified physics and architectural compliance. The educational library reads output variables to display plain-English explanations but must never alter or override the engine's calculations.</w:t>
      </w:r>
    </w:p>
    <w:p w:rsidR="00000000" w:rsidDel="00000000" w:rsidP="00000000" w:rsidRDefault="00000000" w:rsidRPr="00000000" w14:paraId="0000015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Writing in Plain Language | accessibility.umich.edu, https://accessibility.umich.edu/how-to/web-content-sites-apps/writing-in-plain-language 2. Learning by Analogy: Connecting the Known to the New - Learnnovators, https://learnnovators.com/blog/learning-by-analogy-connecting-the-known-to-the-new/ 3. Cognitive Load Essentials for Effective Instructional Videos | Teaching Resources, https://teaching-resources.delta.ncsu.edu/applying-cognitive-load-theory-to-multimedia-in-your-class/ 4. Nine Ways to Reduce Cognitive Load in Multimedia Learning, https://www.uky.edu/~gmswan3/544/9_ways_to_reduce_CL.pdf 5. From stressed to streamlined: Cognitive Load Theory in UX design | by Tallwave | Medium, https://medium.com/@Tallwave/from-stressed-to-streamlined-cognitive-load-theory-in-ux-design-292afcb732de 6. The impact of technology use on cognitive development and lexical attrition in L1 and L2 among younger students with ADHD: Opportunities and challenges - PMC, https://pmc.ncbi.nlm.nih.gov/articles/PMC12094466/ 7. Mayer's 12 Principles of Multimedia Learning | DLI - Digital Learning Institute, https://www.digitallearninginstitute.com/blog/mayers-principles-multimedia-learning 8. How to design for ADHD and neurodiversity in UX | WelcomingWeb, https://welcomingweb.com/blogs/designing-for-neurodiversity-adhd-ux 9. Dyslexia-friendly typed content: a formatting guide - Dyslexia Scotland, https://dyslexiascotland.org.uk/wp-content/uploads/2025/09/formats.pdf 10. Dyslexia Style Guide 2023, https://www.bumc.bu.edu/jmedday/files/2025/05/Dyslexia-Style-Guide-2023-BDA-Style-Guide-2023.pdf 11. Transforming Text Into Student Success: A Guide to Creating Dyslexic-Friendly Classroom Materials - JALT Publications |, https://jalt-publications.org/sites/default/files/pdf-article/49.2tlt-wired1_0.pdf 12. Cognitive accessibility guidelines - Accessibility and inclusive design manual, https://accessibility.education.gov.uk/guidelines/coga 13. Making Content Usable for People with Cognitive and Learning Disabilities - W3C, https://www.w3.org/TR/coga-usable/ 14. Design accessible animation and movement with code examples - Pope Tech Resources, https://blog.pope.tech/2025/12/08/design-accessible-animation-and-movement/ 15. The Psychology of Touch: Why Print Feels More Trustworthy - Royal Printers, https://royalprinters.com/news/the-psychology-of-touch-why-print-feels-more-trustworthy/ 16. Why Print Still Wins Trust in a Digital World: The Psychology Behind Tangibility, https://www.bakergoodchild.co.uk/print-wins-trust/ 17. The Psychology of Print: Why Physical Materials Build Trust | Quick ..., https://qrp.ink/2026/04/the-psychology-of-print-why-physical-materials-build-trust/ 18. The Psychology of Print: Why Physical Marketing Materials Leave a Lasting Impression, https://www.printusa.com/post/the-psychology-of-print-why-physical-marketing-materials-leave-a-lasting-impression 19. Why Do We Remember More When We Read? | Glide Print are your local print expert, https://www.glideprint.com.au/why-do-we-remember-more-when-we-read 20. All you need to know for a successful multilingual UX design - Smartling, https://www.smartling.com/blog/multilingual-ux 21. Creating Sustainable Print Designs: Best Practices and Techniques - Eco Friendly Printer, https://ecofriendlyprinter.com/blog/sustainable-print-design 22. Sustainable Printing Practices: 8 Tips for Eco-Friendly Printing, https://kmbs.konicaminolta.us/blog/sustainable-printing/ 23. BDA Dyslexia Style Guide, https://www.thedyslexia-spldtrust.org.uk/media/downloads/69-bda-style-guide-april14.pdf 24. Green Printing for a Sustainable Future: Tips to Make an Environmental Impact - HP, https://www.hp.com/us-en/sustainable-impact/learning-hub/hp-eco-friendly-printing-recommendations.html 25. Sustainable Printing for Associations: Eco-Friendly Practices - Mimeo, https://www.mimeo.com/blog/sustainable-printing-for-associations/ 26. Plain English guidelines at a glance - National Adult Literacy Agency, https://www.nala.ie/wp-content/uploads/2016/08/Plain-English-guidelines-at-a-glance.pdf 27. Envelope Printing Template Ideas That Make Every Mail Stand Out, https://www.econoenvelope.com/blog/envelope-printing-template-ideas-that-make-every-mail-stand-out/ 28. What is the Most Sustainable Ink? - EcoEnclose, https://www.ecoenclose.com/blog/what-is-the-most-sustainable-ink/ 29. LPT: Need to print something in a pinch, but running low on black ink? Change font color to #010101 (99% gray) - Reddit, https://www.reddit.com/r/LifeProTips/comments/3ldn18/lpt_need_to_print_something_in_a_pinch_but/ 30. How Prior Knowledge Improves Learning - Mind My Learning, https://mindmylearning.com/blog/prior-knowledge-in-learning/ 31. Analogical modeling: a strategy for developing theories in psychology - PMC, https://pmc.ncbi.nlm.nih.gov/articles/PMC3683639/ 32. Analogy, Mental Models, and Conceptual Change - Qualitative Reasoning Group, https://www.qrg.northwestern.edu/projects/onr-sm/analogy.html 33. Analogy and models - Learnlets, https://blog.learnlets.com/2025/03/analogy-and-models/ 34. 5.1 Making science concepts meaningful to students: teaching with analogies - AWS, http://osu-wams-blogs-uploads.s3.amazonaws.com/blogs.dir/548/files/2010/10/Glynn2008MakingScienceConceptsMeaningful.pdf 35. Teaching with analogies - Science-Education-Research, https://science-education-research.com/teaching-science/teaching-with-analogies/ 36. Improving University Life Science Instruction with Analogies: Insights from a Course for Graduate Teaching Assistants - PMC, https://pmc.ncbi.nlm.nih.gov/articles/PMC10228267/ 37. Designing Learning for Mental Models - The eLearning Coach, https://theelearningcoach.com/learning/designing-learning-for-mental-models/ 38. using analogies - The University Of Akron, https://www.uakron.edu/polymer/agpa-k12outreach/best-teaching-practices/using-analogies 39. Heat Pump Commissioning and Weather Compensation Guide ..., https://www.heatgeek.com/articles/how-to-maximise-your-heat-pump-or-boiler-efficiency 40. Consumer matching costs to context: Status quo bias, temporal framing, and household energy decisions - David J. Hardisty, http://davidhardisty.info/downloads/Consumer%20matching%20costs%20to%20context%20-%20Status%20quo%20bias,%20temporal%20framing,%20and%20household%20energy%20decisions.pdf 41. Combi Vs. System Vs. Regular: A Guide To The Different Types Of Boilers - Cowley Heating Services, https://cowleyheating.co.uk/blogs/combi-vs-system-vs-regular-a-guide-to-the-different-types-of-boilers 42. 7 Key Differences Between Combi Vs System Boilers - Thermatek Heating, https://www.thermatekheating.co.uk/combi-vs-system-boilers-7-key-differences/ 43. Weather Compensation and its alternatives | Protons for Breakfast, https://protonsforbreakfast.wordpress.com/2025/12/30/weather-compensation-and-its-alternatives/ 44. What is a Low Loss Header? | FlexEJ technical guide, https://www.flexej.co.uk/what-is-a-low-loss-header/ 45. Glossary - Grant UK Knowledge Hub, https://www.grantuk.com/knowledge-hub/glossary/ 46. Combi vs. Heat Only Boiler: Which is Right for Your Home? - Trading Depot, https://www.tradingdepot.co.uk/blog/combi-vs-heat-only-boiler-which-is-right-for-your-home 47. Combi vs conventional boilers: Which should you choose for your home? - BestHeating, https://www.bestheating.com/info/combi-vs-conventional-boilers/ 48. UX for International Websites - Right to Left Scripts - Localize Articles, https://localizejs.com/articles/ux-considerations-for-international-websites 49. Plain and inclusive language | Digital NSW, https://www.digital.nsw.gov.au/delivery/accessibility-and-inclusivity-toolkit/communication/plain-and-inclusive-language 50. Multilingual User Interface Design: UX/UI Localization Guidelines - Translated, https://translated.com/resources/multilingual-user-interface-design-ux-ui-localization-guidelines 51. What Is Weather and Load Compensation and Why Does It Matter? - Revolution Heating, https://revolutionheating.co.uk/what-is-weather-and-load-compensation-and-why-does-it-matter/ 52. Hydraulic Separators in Heat Pump for Heat Distribution, https://www.idm-energie.at/en/heat-distribution/hydraulic-separators/ 53. What is a Low Loss Header and When to use one? - Hamworthy Heating, https://hamworthy-heating.com/articles/what-is-a-low-loss-header-and-when-to-use-one 54. Understanding Low-Loss Headers vs. Buffer Tanks: What's the Difference?, https://nationalpumpsandboilers.co.uk/blog/understanding-low-loss-headers-vs-buffer-tanks-whats-the-difference 55. Heat Pump Weather Compensation: Definition, Heating Curve, Efficiency Optimization, https://www.idm-energie.at/en/heat-pump-control/weather-compensation/ 56. Weather Compensation: How It Works - Qeeper, https://www.qeeper.co.uk/blog/weather-compensation 57. How Does a Low Loss Header Work? - Blog - Culm Stores, https://culmstoreseltermltd.co.uk/en_GB/blog/How-Does-a-Low-Loss-Header-Work/41 58. prefers-reduced-motion CSS media feature - MDN Web Docs, https://developer.mozilla.org/en-US/docs/Web/CSS/Reference/At-rules/@media/prefers-reduced-motion 59. Accessible motion: why it's essential and how to do it right | by Stephanie Cree | IBM Design, https://medium.com/design-ibm/accessible-motion-why-its-essential-and-how-to-do-it-right-ff38afcbc7a9 60. W3C Accessibility Guidelines (WCAG) 3.0, https://www.w3.org/TR/wcag-3.0/ 61. Using media queries for accessibility - CSS - MDN Web Docs, https://developer.mozilla.org/en-US/docs/Web/CSS/Guides/Media_queries/Using_for_accessibility 62. Bidirectionality - Material Design, https://m2.material.io/design/usability/bidirectionality.html 63. Right to left | Apple Developer Documentation, https://developer.apple.com/design/human-interface-guidelines/right-to-left 64. Cognitive Accessibility at W3C | Web Accessibility Initiative (WAI) | W3C, https://www.w3.org/WAI/cognitive/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