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34"/>
          <w:szCs w:val="34"/>
        </w:rPr>
        <w:t xml:space="preserve">Audit de sécurité — Police Bagage</w:t>
      </w:r>
    </w:p>
    <w:p>
      <w:pPr>
        <w:pBdr>
          <w:bottom w:val="single" w:color="1F3A5F" w:sz="12"/>
        </w:pBdr>
        <w:spacing w:after="30"/>
      </w:pPr>
      <w:r>
        <w:rPr>
          <w:color w:val="5A5A5A"/>
          <w:sz w:val="24"/>
          <w:szCs w:val="24"/>
        </w:rPr>
        <w:t xml:space="preserve">Éléments restant à traiter</w:t>
      </w:r>
    </w:p>
    <w:p>
      <w:pPr>
        <w:spacing w:after="240" w:before="120"/>
      </w:pPr>
      <w:r>
        <w:rPr>
          <w:i/>
          <w:iCs/>
          <w:color w:val="5A5A5A"/>
          <w:sz w:val="17"/>
          <w:szCs w:val="17"/>
        </w:rPr>
        <w:t xml:space="preserve">Version du 9 septembre 2026 · Suite de l’audit du 7 septembre 2026</w:t>
      </w:r>
    </w:p>
    <w:p>
      <w:pPr>
        <w:pStyle w:val="Heading2"/>
        <w:spacing w:after="80"/>
      </w:pPr>
      <w:r>
        <w:rPr>
          <w:b/>
          <w:bCs/>
          <w:color w:val="1F3A5F"/>
        </w:rPr>
        <w:t xml:space="preserve">Synthèse</w:t>
      </w:r>
    </w:p>
    <w:p>
      <w:pPr>
        <w:spacing w:after="120"/>
      </w:pPr>
      <w:r>
        <w:rPr>
          <w:sz w:val="19"/>
          <w:szCs w:val="19"/>
        </w:rPr>
        <w:t xml:space="preserve">Sur les 33 constats de l’audit, environ 22 sont résolus (dont les 3 critiques et 5 élevés), 2 sont partiels et 1 accepté. Aucun risque critique ou élevé exploitable ne subsiste côté serveur. Les 11 lignes ci-dessous listent ce qui reste, par gravité.</w:t>
      </w:r>
    </w:p>
    <w:p>
      <w:pPr>
        <w:spacing w:after="200"/>
      </w:pPr>
      <w:r>
        <w:rPr>
          <w:b/>
          <w:bCs/>
          <w:sz w:val="19"/>
          <w:szCs w:val="19"/>
        </w:rPr>
        <w:t xml:space="preserve">Priorités : </w:t>
      </w:r>
      <w:r>
        <w:rPr>
          <w:sz w:val="19"/>
          <w:szCs w:val="19"/>
        </w:rPr>
        <w:t xml:space="preserve">E-01 (décision portail public), E-06 (MFA), E-07 (token mobile). </w:t>
      </w:r>
      <w:r>
        <w:rPr>
          <w:b/>
          <w:bCs/>
          <w:sz w:val="19"/>
          <w:szCs w:val="19"/>
        </w:rPr>
        <w:t xml:space="preserve">Réglages console rapides : </w:t>
      </w:r>
      <w:r>
        <w:rPr>
          <w:sz w:val="19"/>
          <w:szCs w:val="19"/>
        </w:rPr>
        <w:t xml:space="preserve">M-07 et F-02.</w:t>
      </w:r>
    </w:p>
    <w:p>
      <w:pPr>
        <w:pStyle w:val="Heading2"/>
        <w:spacing w:after="100"/>
      </w:pPr>
      <w:r>
        <w:rPr>
          <w:b/>
          <w:bCs/>
          <w:color w:val="1F3A5F"/>
        </w:rPr>
        <w:t xml:space="preserve">Reste à faire</w:t>
      </w:r>
    </w:p>
    <w:tbl>
      <w:tblPr>
        <w:tblW w:type="dxa" w:w="9360"/>
        <w:tblBorders>
          <w:top w:val="single" w:color="C9D2DD" w:sz="4"/>
          <w:left w:val="single" w:color="C9D2DD" w:sz="4"/>
          <w:bottom w:val="single" w:color="C9D2DD" w:sz="4"/>
          <w:right w:val="single" w:color="C9D2DD" w:sz="4"/>
          <w:insideH w:val="single" w:color="C9D2DD" w:sz="4"/>
          <w:insideV w:val="single" w:color="C9D2DD" w:sz="4"/>
        </w:tblBorders>
      </w:tblPr>
      <w:tblGrid>
        <w:gridCol w:w="1000"/>
        <w:gridCol w:w="1300"/>
        <w:gridCol w:w="4260"/>
        <w:gridCol w:w="1800"/>
      </w:tblGrid>
      <w:tr>
        <w:trPr>
          <w:tblHeader/>
        </w:trPr>
        <w:tc>
          <w:tcPr>
            <w:tcW w:type="dxa" w:w="1000"/>
            <w:shd w:fill="EEF2F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Réf.</w:t>
            </w:r>
          </w:p>
        </w:tc>
        <w:tc>
          <w:tcPr>
            <w:tcW w:type="dxa" w:w="1300"/>
            <w:shd w:fill="EEF2F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Gravité</w:t>
            </w:r>
          </w:p>
        </w:tc>
        <w:tc>
          <w:tcPr>
            <w:tcW w:type="dxa" w:w="4260"/>
            <w:shd w:fill="EEF2F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Constat et action restante</w:t>
            </w:r>
          </w:p>
        </w:tc>
        <w:tc>
          <w:tcPr>
            <w:tcW w:type="dxa" w:w="1800"/>
            <w:shd w:fill="EEF2F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À faire par</w:t>
            </w:r>
          </w:p>
        </w:tc>
      </w:tr>
      <w:tr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E-01</w:t>
            </w:r>
          </w:p>
        </w:tc>
        <w:tc>
          <w:tcPr>
            <w:tcW w:type="dxa" w:w="1300"/>
            <w:shd w:fill="C0392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ÉLEVÉE</w:t>
            </w:r>
          </w:p>
        </w:tc>
        <w:tc>
          <w:tcPr>
            <w:tcW w:type="dxa" w:w="4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Portail de suivi : PII passager énumérable</w:t>
            </w:r>
          </w:p>
          <w:p>
            <w:r>
              <w:rPr>
                <w:color w:val="333333"/>
                <w:sz w:val="18"/>
                <w:szCs w:val="18"/>
              </w:rPr>
              <w:t xml:space="preserve">Le suivi public renvoie nom, PNR et itinéraire à partir d'une simple étiquette. Décider : exiger un second facteur (nom + PNR, ou date), masquer le nom, fiabiliser la limite de débit. Décision produit avant modification.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A5A5A"/>
                <w:sz w:val="17"/>
                <w:szCs w:val="17"/>
              </w:rPr>
              <w:t xml:space="preserve">Direction / Produit</w:t>
            </w:r>
          </w:p>
        </w:tc>
      </w:tr>
      <w:tr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E-06</w:t>
            </w:r>
          </w:p>
        </w:tc>
        <w:tc>
          <w:tcPr>
            <w:tcW w:type="dxa" w:w="1300"/>
            <w:shd w:fill="C0392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ÉLEVÉE</w:t>
            </w:r>
          </w:p>
        </w:tc>
        <w:tc>
          <w:tcPr>
            <w:tcW w:type="dxa" w:w="4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Aucune MFA sur admin et superviseur</w:t>
            </w:r>
          </w:p>
          <w:p>
            <w:r>
              <w:rPr>
                <w:color w:val="333333"/>
                <w:sz w:val="18"/>
                <w:szCs w:val="18"/>
              </w:rPr>
              <w:t xml:space="preserve">Un mot de passe volé donne un accès complet. L'écran d'enrôlement avait été codé puis retiré à la demande. À décider : imposer ou non la MFA (TOTP déjà activé en console, mais non forcé).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A5A5A"/>
                <w:sz w:val="17"/>
                <w:szCs w:val="17"/>
              </w:rPr>
              <w:t xml:space="preserve">Décision + code</w:t>
            </w:r>
          </w:p>
        </w:tc>
      </w:tr>
      <w:tr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E-07</w:t>
            </w:r>
          </w:p>
        </w:tc>
        <w:tc>
          <w:tcPr>
            <w:tcW w:type="dxa" w:w="1300"/>
            <w:shd w:fill="C0392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ÉLEVÉE</w:t>
            </w:r>
          </w:p>
        </w:tc>
        <w:tc>
          <w:tcPr>
            <w:tcW w:type="dxa" w:w="4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Token mobile en clair, sans révocation à distance</w:t>
            </w:r>
          </w:p>
          <w:p>
            <w:r>
              <w:rPr>
                <w:color w:val="333333"/>
                <w:sz w:val="18"/>
                <w:szCs w:val="18"/>
              </w:rPr>
              <w:t xml:space="preserve">Sur un PDA perdu ou volé, le jeton est lisible et la déconnexion est locale. Appliquer le stockage sécurisé (SecureStore, code déjà fourni) et un « déconnexion partout ». Nécessite un nouveau build mobile et un test sur PDA.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A5A5A"/>
                <w:sz w:val="17"/>
                <w:szCs w:val="17"/>
              </w:rPr>
              <w:t xml:space="preserve">Mobile (build + test)</w:t>
            </w:r>
          </w:p>
        </w:tc>
      </w:tr>
      <w:tr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M-06</w:t>
            </w:r>
          </w:p>
        </w:tc>
        <w:tc>
          <w:tcPr>
            <w:tcW w:type="dxa" w:w="1300"/>
            <w:shd w:fill="B9770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MOYENNE</w:t>
            </w:r>
          </w:p>
        </w:tc>
        <w:tc>
          <w:tcPr>
            <w:tcW w:type="dxa" w:w="4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Course sur le quota et unicité des alertes</w:t>
            </w:r>
          </w:p>
          <w:p>
            <w:r>
              <w:rPr>
                <w:color w:val="333333"/>
                <w:sz w:val="18"/>
                <w:szCs w:val="18"/>
              </w:rPr>
              <w:t xml:space="preserve">9 doublons d'alertes existent déjà en base : trancher (fusionner ou garder) avant tout index unique. Le quota bagages demande un verrou applicatif.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A5A5A"/>
                <w:sz w:val="17"/>
                <w:szCs w:val="17"/>
              </w:rPr>
              <w:t xml:space="preserve">Base + code</w:t>
            </w:r>
          </w:p>
        </w:tc>
      </w:tr>
      <w:tr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M-07</w:t>
            </w:r>
          </w:p>
        </w:tc>
        <w:tc>
          <w:tcPr>
            <w:tcW w:type="dxa" w:w="1300"/>
            <w:shd w:fill="B9770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MOYENNE</w:t>
            </w:r>
          </w:p>
        </w:tc>
        <w:tc>
          <w:tcPr>
            <w:tcW w:type="dxa" w:w="4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Pas de re-authentification au changement de mot de passe</w:t>
            </w:r>
          </w:p>
          <w:p>
            <w:r>
              <w:rPr>
                <w:color w:val="333333"/>
                <w:sz w:val="18"/>
                <w:szCs w:val="18"/>
              </w:rPr>
              <w:t xml:space="preserve">Une session détournée peut changer le mot de passe. Activer « Secure password change » dans la console Supabase.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A5A5A"/>
                <w:sz w:val="17"/>
                <w:szCs w:val="17"/>
              </w:rPr>
              <w:t xml:space="preserve">Console Supabase</w:t>
            </w:r>
          </w:p>
        </w:tc>
      </w:tr>
      <w:tr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M-09</w:t>
            </w:r>
          </w:p>
        </w:tc>
        <w:tc>
          <w:tcPr>
            <w:tcW w:type="dxa" w:w="1300"/>
            <w:shd w:fill="B9770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MOYENNE</w:t>
            </w:r>
          </w:p>
        </w:tc>
        <w:tc>
          <w:tcPr>
            <w:tcW w:type="dxa" w:w="4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Vue flight_stats en SECURITY DEFINER</w:t>
            </w:r>
          </w:p>
          <w:p>
            <w:r>
              <w:rPr>
                <w:color w:val="333333"/>
                <w:sz w:val="18"/>
                <w:szCs w:val="18"/>
              </w:rPr>
              <w:t xml:space="preserve">Le passage en security_invoker a été tenté puis annulé car il faisait tomber les rapports annuels en erreur 500 (timeout). À retraiter autrement, sans régression de performance, ou documenter comme risque accepté.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A5A5A"/>
                <w:sz w:val="17"/>
                <w:szCs w:val="17"/>
              </w:rPr>
              <w:t xml:space="preserve">Base</w:t>
            </w:r>
          </w:p>
        </w:tc>
      </w:tr>
      <w:tr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F-02</w:t>
            </w:r>
          </w:p>
        </w:tc>
        <w:tc>
          <w:tcPr>
            <w:tcW w:type="dxa" w:w="1300"/>
            <w:shd w:fill="5A6B7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FAIBLE</w:t>
            </w:r>
          </w:p>
        </w:tc>
        <w:tc>
          <w:tcPr>
            <w:tcW w:type="dxa" w:w="4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Protection « mot de passe compromis » désactivée</w:t>
            </w:r>
          </w:p>
          <w:p>
            <w:r>
              <w:rPr>
                <w:color w:val="333333"/>
                <w:sz w:val="18"/>
                <w:szCs w:val="18"/>
              </w:rPr>
              <w:t xml:space="preserve">Activer la vérification HaveIBeenPwned dans la console Supabase.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A5A5A"/>
                <w:sz w:val="17"/>
                <w:szCs w:val="17"/>
              </w:rPr>
              <w:t xml:space="preserve">Console Supabase</w:t>
            </w:r>
          </w:p>
        </w:tc>
      </w:tr>
      <w:tr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E-04</w:t>
            </w:r>
          </w:p>
        </w:tc>
        <w:tc>
          <w:tcPr>
            <w:tcW w:type="dxa" w:w="1300"/>
            <w:shd w:fill="5A6B7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FAIBLE</w:t>
            </w:r>
          </w:p>
        </w:tc>
        <w:tc>
          <w:tcPr>
            <w:tcW w:type="dxa" w:w="4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Erreurs d’écriture ignorées (partiel)</w:t>
            </w:r>
          </w:p>
          <w:p>
            <w:r>
              <w:rPr>
                <w:color w:val="333333"/>
                <w:sz w:val="18"/>
                <w:szCs w:val="18"/>
              </w:rPr>
              <w:t xml:space="preserve">Fait sur la confirmation de bagage et l'insertion d'alerte. Reste à étendre le contrôle des erreurs aux autres écritures (rush, soute, dolly, arrivée).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A5A5A"/>
                <w:sz w:val="17"/>
                <w:szCs w:val="17"/>
              </w:rPr>
              <w:t xml:space="preserve">Code (API)</w:t>
            </w:r>
          </w:p>
        </w:tc>
      </w:tr>
      <w:tr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F-04</w:t>
            </w:r>
          </w:p>
        </w:tc>
        <w:tc>
          <w:tcPr>
            <w:tcW w:type="dxa" w:w="1300"/>
            <w:shd w:fill="5A6B7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FAIBLE</w:t>
            </w:r>
          </w:p>
        </w:tc>
        <w:tc>
          <w:tcPr>
            <w:tcW w:type="dxa" w:w="4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CORS / helmet sur l’API (partiel)</w:t>
            </w:r>
          </w:p>
          <w:p>
            <w:r>
              <w:rPr>
                <w:color w:val="333333"/>
                <w:sz w:val="18"/>
                <w:szCs w:val="18"/>
              </w:rPr>
              <w:t xml:space="preserve">Les timeouts et la borne de taille de corps sont faits. Reste à ajouter une allowlist CORS explicite et helmet.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A5A5A"/>
                <w:sz w:val="17"/>
                <w:szCs w:val="17"/>
              </w:rPr>
              <w:t xml:space="preserve">Code (API)</w:t>
            </w:r>
          </w:p>
        </w:tc>
      </w:tr>
      <w:tr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I-01</w:t>
            </w:r>
          </w:p>
        </w:tc>
        <w:tc>
          <w:tcPr>
            <w:tcW w:type="dxa" w:w="1300"/>
            <w:shd w:fill="4A6FA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INFO</w:t>
            </w:r>
          </w:p>
        </w:tc>
        <w:tc>
          <w:tcPr>
            <w:tcW w:type="dxa" w:w="4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Rôle admin accepté depuis les métadonnées</w:t>
            </w:r>
          </w:p>
          <w:p>
            <w:r>
              <w:rPr>
                <w:color w:val="333333"/>
                <w:sz w:val="18"/>
                <w:szCs w:val="18"/>
              </w:rPr>
              <w:t xml:space="preserve">Non exploitable aujourd'hui (inscription publique fermée). Durcir le flux de création d'admin et verrouiller la configuration Auth as-code.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A5A5A"/>
                <w:sz w:val="17"/>
                <w:szCs w:val="17"/>
              </w:rPr>
              <w:t xml:space="preserve">Base + config</w:t>
            </w:r>
          </w:p>
        </w:tc>
      </w:tr>
      <w:tr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I-03</w:t>
            </w:r>
          </w:p>
        </w:tc>
        <w:tc>
          <w:tcPr>
            <w:tcW w:type="dxa" w:w="1300"/>
            <w:shd w:fill="4A6FA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INFO</w:t>
            </w:r>
          </w:p>
        </w:tc>
        <w:tc>
          <w:tcPr>
            <w:tcW w:type="dxa" w:w="42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Pas de certificate pinning sur le mobile</w:t>
            </w:r>
          </w:p>
          <w:p>
            <w:r>
              <w:rPr>
                <w:color w:val="333333"/>
                <w:sz w:val="18"/>
                <w:szCs w:val="18"/>
              </w:rPr>
              <w:t xml:space="preserve">À intégrer au prochain build mobile (plugin natif).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A5A5A"/>
                <w:sz w:val="17"/>
                <w:szCs w:val="17"/>
              </w:rPr>
              <w:t xml:space="preserve">Mobile (build)</w:t>
            </w:r>
          </w:p>
        </w:tc>
      </w:tr>
    </w:tbl>
    <w:p>
      <w:pPr>
        <w:pStyle w:val="Heading2"/>
        <w:spacing w:after="80" w:before="280"/>
      </w:pPr>
      <w:r>
        <w:rPr>
          <w:b/>
          <w:bCs/>
          <w:color w:val="1F3A5F"/>
        </w:rPr>
        <w:t xml:space="preserve">Deux réglages rapides (console Supabase)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M-07 — exiger une connexion récente avant tout changement de mot de passe.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19"/>
          <w:szCs w:val="19"/>
        </w:rPr>
        <w:t xml:space="preserve">F-02 — activer la protection contre les mots de passe compromis (HaveIBeenPwned).</w:t>
      </w:r>
    </w:p>
    <w:p>
      <w:pPr>
        <w:pStyle w:val="Heading2"/>
        <w:spacing w:after="80" w:before="120"/>
      </w:pPr>
      <w:r>
        <w:rPr>
          <w:b/>
          <w:bCs/>
          <w:color w:val="1F3A5F"/>
        </w:rPr>
        <w:t xml:space="preserve">Note de déploiement</w:t>
      </w:r>
    </w:p>
    <w:p>
      <w:pPr>
        <w:spacing w:after="60"/>
      </w:pPr>
      <w:r>
        <w:rPr>
          <w:sz w:val="19"/>
          <w:szCs w:val="19"/>
        </w:rPr>
        <w:t xml:space="preserve">Les correctifs déjà réalisés se répartissent en deux catégories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Base de données (RLS, journal d’audit, protection des preuves) : actifs en production.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Code (API et portails web) : corrigés et poussés dans les dépôts de déploiement, en attente de redéploiement.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2026-09-09T00:24:50.210Z</dcterms:created>
  <dcterms:modified xsi:type="dcterms:W3CDTF">2026-09-09T00:24:50.212Z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