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 w:before="160"/>
      </w:pPr>
      <w:r>
        <w:t xml:space="preserve">Procédure de gestion des incidents de sécurité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Organisation : African Transport Systems (ATS Handling)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Périmètre : systèmes d'information numériques d'ATS, dont Police Bagage (voir PC-00)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Référence : PGI-04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Version : 0.1 (projet)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Date : 2026-09-07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Contrôle ISO/IEC 27001:2022 : A.5.24, A.5.25, A.5.26, A.5.27, A.5.28, A.6.8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Statut : projet à valider</w:t>
      </w:r>
    </w:p>
    <w:p>
      <w:pPr>
        <w:pStyle w:val="Heading2"/>
        <w:spacing w:after="60" w:before="160"/>
      </w:pPr>
      <w:r>
        <w:t xml:space="preserve">Comment utiliser ce document</w:t>
      </w:r>
    </w:p>
    <w:p>
      <w:pPr>
        <w:spacing w:after="120"/>
      </w:pPr>
      <w:r>
        <w:t xml:space="preserve">C'est la marche à suivre quand un problème de sécurité survient (compte compromis, appareil volé, fuite).</w:t>
      </w:r>
    </w:p>
    <w:p>
      <w:pPr>
        <w:spacing w:after="120"/>
      </w:pPr>
      <w:r>
        <w:rPr>
          <w:b/>
          <w:bCs/>
        </w:rPr>
        <w:t xml:space="preserve">À faire 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 faire lire à toute l'équipe pour que les bons réflexes soient connus.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Définir clairement le canal de signalement : qui appeler, comment.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Faire une fois un exercice sur table, par exemple « un PDA a été volé ».</w:t>
      </w:r>
    </w:p>
    <w:p>
      <w:pPr>
        <w:spacing w:after="120"/>
      </w:pPr>
      <w:r>
        <w:rPr>
          <w:b/>
          <w:bCs/>
        </w:rPr>
        <w:t xml:space="preserve">Prochaine étape :</w:t>
      </w:r>
      <w:r>
        <w:t xml:space="preserve"> désigner qui reçoit les signalements et commencer à tenir le registre des incidents.</w:t>
      </w:r>
    </w:p>
    <w:p>
      <w:pPr>
        <w:pStyle w:val="Heading2"/>
        <w:spacing w:after="60" w:before="160"/>
      </w:pPr>
      <w:r>
        <w:t xml:space="preserve">1. Objet</w:t>
      </w:r>
    </w:p>
    <w:p>
      <w:pPr>
        <w:spacing w:after="120"/>
      </w:pPr>
      <w:r>
        <w:t xml:space="preserve">Définir comment un événement de sécurité est signalé, évalué, traité, tracé, puis
exploité pour éviter qu'il se reproduise.</w:t>
      </w:r>
    </w:p>
    <w:p>
      <w:pPr>
        <w:pStyle w:val="Heading2"/>
        <w:spacing w:after="60" w:before="160"/>
      </w:pPr>
      <w:r>
        <w:t xml:space="preserve">2. Distinction importante</w:t>
      </w:r>
    </w:p>
    <w:p>
      <w:pPr>
        <w:spacing w:after="120"/>
      </w:pPr>
      <w:r>
        <w:t xml:space="preserve">Une </w:t>
      </w:r>
      <w:r>
        <w:rPr>
          <w:b/>
          <w:bCs/>
        </w:rPr>
        <w:t xml:space="preserve">alerte fraude</w:t>
      </w:r>
      <w:r>
        <w:t xml:space="preserve"> (bagage non déclaré intercepté) est un événement métier
normal, traité par le superviseur via le dashboard. Ce n'est </w:t>
      </w:r>
      <w:r>
        <w:rPr>
          <w:b/>
          <w:bCs/>
        </w:rPr>
        <w:t xml:space="preserve">pas</w:t>
      </w:r>
      <w:r>
        <w:t xml:space="preserve"> un incident
de sécurité de l'information.</w:t>
      </w:r>
    </w:p>
    <w:p>
      <w:pPr>
        <w:spacing w:after="120"/>
      </w:pPr>
      <w:r>
        <w:t xml:space="preserve">Un </w:t>
      </w:r>
      <w:r>
        <w:rPr>
          <w:b/>
          <w:bCs/>
        </w:rPr>
        <w:t xml:space="preserve">incident de sécurité</w:t>
      </w:r>
      <w:r>
        <w:t xml:space="preserve"> concerne la confidentialité, l'intégrité ou la
disponibilité du système lui-même. Exemples 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Fuite ou suspicion de fuite de la clé service_role.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Compte administrateur ou superviseur compromis.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Accès à des données d'une autre compagnie / d'un autre aéroport.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PDA perdu ou volé contenant une session active.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Anti-fraude contournée, alertes ou preuves altérées ou disparues.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Indisponibilité anormale de l'API ou de la base pendant l'embarquement.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Vulnérabilité critique exploitée sur une application.</w:t>
      </w:r>
    </w:p>
    <w:p>
      <w:pPr>
        <w:pStyle w:val="Heading2"/>
        <w:spacing w:after="60" w:before="160"/>
      </w:pPr>
      <w:r>
        <w:t xml:space="preserve">3. Signalement (A.6.8)</w:t>
      </w:r>
    </w:p>
    <w:p>
      <w:pPr>
        <w:spacing w:after="120"/>
      </w:pPr>
      <w:r>
        <w:t xml:space="preserve">Toute personne (agent, superviseur, admin) qui constate ou suspecte un incident
le signale </w:t>
      </w:r>
      <w:r>
        <w:rPr>
          <w:b/>
          <w:bCs/>
        </w:rPr>
        <w:t xml:space="preserve">immédiatement</w:t>
      </w:r>
      <w:r>
        <w:t xml:space="preserve"> au responsable SMSI, par le canal défini (à définir :
téléphone, message dédié). Ne pas tenter de « réparer » seul un incident majeur.</w:t>
      </w:r>
    </w:p>
    <w:p>
      <w:pPr>
        <w:spacing w:after="120"/>
      </w:pPr>
      <w:r>
        <w:t xml:space="preserve">Informations minimales à transmettre : quoi, quand, où (quel système, quel PDA,
quel compte), ce qui a été observé.</w:t>
      </w:r>
    </w:p>
    <w:p>
      <w:pPr>
        <w:pStyle w:val="Heading2"/>
        <w:spacing w:after="60" w:before="160"/>
      </w:pPr>
      <w:r>
        <w:t xml:space="preserve">4. Classification et priorité (A.5.25)</w:t>
      </w:r>
    </w:p>
    <w:tbl>
      <w:tblPr>
        <w:tblW w:type="dxa" w:w="9972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7"/>
        <w:gridCol w:w="5212"/>
        <w:gridCol w:w="3853"/>
      </w:tblGrid>
      <w:tr>
        <w:trPr>
          <w:tblHeader/>
        </w:trPr>
        <w:tc>
          <w:tcPr>
            <w:tcW w:type="dxa" w:w="907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Gravité</w:t>
            </w:r>
          </w:p>
        </w:tc>
        <w:tc>
          <w:tcPr>
            <w:tcW w:type="dxa" w:w="5212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Définition</w:t>
            </w:r>
          </w:p>
        </w:tc>
        <w:tc>
          <w:tcPr>
            <w:tcW w:type="dxa" w:w="3853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Délai de prise en charge (proposé)</w:t>
            </w:r>
          </w:p>
        </w:tc>
      </w:tr>
      <w:tr>
        <w:tc>
          <w:tcPr>
            <w:tcW w:type="dxa" w:w="90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Critique</w:t>
            </w:r>
          </w:p>
        </w:tc>
        <w:tc>
          <w:tcPr>
            <w:tcW w:type="dxa" w:w="521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Données passagers exposées, secret compromis, anti-fraude contournée en prod</w:t>
            </w:r>
          </w:p>
        </w:tc>
        <w:tc>
          <w:tcPr>
            <w:tcW w:type="dxa" w:w="385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immédiat</w:t>
            </w:r>
          </w:p>
        </w:tc>
      </w:tr>
      <w:tr>
        <w:tc>
          <w:tcPr>
            <w:tcW w:type="dxa" w:w="90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Élevé</w:t>
            </w:r>
          </w:p>
        </w:tc>
        <w:tc>
          <w:tcPr>
            <w:tcW w:type="dxa" w:w="521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Compte sensible compromis, PDA volé, indisponibilité en embarquement</w:t>
            </w:r>
          </w:p>
        </w:tc>
        <w:tc>
          <w:tcPr>
            <w:tcW w:type="dxa" w:w="385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&lt; 1 h</w:t>
            </w:r>
          </w:p>
        </w:tc>
      </w:tr>
      <w:tr>
        <w:tc>
          <w:tcPr>
            <w:tcW w:type="dxa" w:w="90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Moyen</w:t>
            </w:r>
          </w:p>
        </w:tc>
        <w:tc>
          <w:tcPr>
            <w:tcW w:type="dxa" w:w="521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Accès anormal contenu, vulnérabilité élevée non exploitée</w:t>
            </w:r>
          </w:p>
        </w:tc>
        <w:tc>
          <w:tcPr>
            <w:tcW w:type="dxa" w:w="385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&lt; 24 h</w:t>
            </w:r>
          </w:p>
        </w:tc>
      </w:tr>
      <w:tr>
        <w:tc>
          <w:tcPr>
            <w:tcW w:type="dxa" w:w="90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Faible</w:t>
            </w:r>
          </w:p>
        </w:tc>
        <w:tc>
          <w:tcPr>
            <w:tcW w:type="dxa" w:w="521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Événement mineur, tentative bloquée</w:t>
            </w:r>
          </w:p>
        </w:tc>
        <w:tc>
          <w:tcPr>
            <w:tcW w:type="dxa" w:w="385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&lt; 72 h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60" w:before="160"/>
      </w:pPr>
      <w:r>
        <w:t xml:space="preserve">5. Réponse (A.5.26)</w:t>
      </w:r>
    </w:p>
    <w:p>
      <w:pPr>
        <w:spacing w:after="120"/>
      </w:pPr>
      <w:r>
        <w:t xml:space="preserve">Étapes types, à adapter :</w:t>
      </w:r>
    </w:p>
    <w:p>
      <w:pPr>
        <w:spacing w:after="60"/>
        <w:ind w:left="360" w:hanging="360"/>
      </w:pPr>
      <w:r>
        <w:t xml:space="preserve">1. </w:t>
      </w:r>
      <w:r>
        <w:rPr>
          <w:b/>
          <w:bCs/>
        </w:rPr>
        <w:t xml:space="preserve">Contenir.</w:t>
      </w:r>
      <w:r>
        <w:t xml:space="preserve"> Limiter la propagation. Exemples : révoquer les sessions
(rotation du mot de passe du compte concerné), retirer un accès, mettre une
application en maintenance, faire tourner la clé service_role compromise.</w:t>
      </w:r>
    </w:p>
    <w:p>
      <w:pPr>
        <w:spacing w:after="60"/>
        <w:ind w:left="360" w:hanging="360"/>
      </w:pPr>
      <w:r>
        <w:t xml:space="preserve">2. </w:t>
      </w:r>
      <w:r>
        <w:rPr>
          <w:b/>
          <w:bCs/>
        </w:rPr>
        <w:t xml:space="preserve">Préserver les preuves (A.5.28).</w:t>
      </w:r>
      <w:r>
        <w:t xml:space="preserve"> Avant toute correction, capturer les
journaux pertinents (Supabase logs, logs API, </w:t>
      </w:r>
      <w:r>
        <w:rPr>
          <w:rFonts w:ascii="Consolas" w:cs="Consolas" w:eastAsia="Consolas" w:hAnsi="Consolas"/>
          <w:sz w:val="18"/>
          <w:szCs w:val="18"/>
        </w:rPr>
        <w:t xml:space="preserve">movement_log</w:t>
      </w:r>
      <w:r>
        <w:t xml:space="preserve">), horodatés. Ne
pas supprimer de données. Noter qui fait quoi et quand.</w:t>
      </w:r>
    </w:p>
    <w:p>
      <w:pPr>
        <w:spacing w:after="60"/>
        <w:ind w:left="360" w:hanging="360"/>
      </w:pPr>
      <w:r>
        <w:t xml:space="preserve">3. </w:t>
      </w:r>
      <w:r>
        <w:rPr>
          <w:b/>
          <w:bCs/>
        </w:rPr>
        <w:t xml:space="preserve">Éradiquer.</w:t>
      </w:r>
      <w:r>
        <w:t xml:space="preserve"> Corriger la cause (correctif, changement de configuration,
fermeture d'un accès).</w:t>
      </w:r>
    </w:p>
    <w:p>
      <w:pPr>
        <w:spacing w:after="60"/>
        <w:ind w:left="360" w:hanging="360"/>
      </w:pPr>
      <w:r>
        <w:t xml:space="preserve">4. </w:t>
      </w:r>
      <w:r>
        <w:rPr>
          <w:b/>
          <w:bCs/>
        </w:rPr>
        <w:t xml:space="preserve">Rétablir.</w:t>
      </w:r>
      <w:r>
        <w:t xml:space="preserve"> Remettre le service en état vérifié, confirmer que l'incident
est clos.</w:t>
      </w:r>
    </w:p>
    <w:p>
      <w:pPr>
        <w:spacing w:after="60"/>
        <w:ind w:left="360" w:hanging="360"/>
      </w:pPr>
      <w:r>
        <w:t xml:space="preserve">5. </w:t>
      </w:r>
      <w:r>
        <w:rPr>
          <w:b/>
          <w:bCs/>
        </w:rPr>
        <w:t xml:space="preserve">Notifier.</w:t>
      </w:r>
      <w:r>
        <w:t xml:space="preserve"> Prévenir la direction ; si des données personnelles de passagers
sont concernées, évaluer l'obligation de notification à l'autorité compétente
et aux personnes (à cadrer avec le registre légal A.5.31).</w:t>
      </w:r>
    </w:p>
    <w:p>
      <w:pPr>
        <w:pStyle w:val="Heading3"/>
        <w:spacing w:after="60" w:before="160"/>
      </w:pPr>
      <w:r>
        <w:t xml:space="preserve">Fiches réflexes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Clé service_role fuitée :</w:t>
      </w:r>
      <w:r>
        <w:t xml:space="preserve"> générer une nouvelle clé dans Supabase, mettre à
jour l'environnement de l'API (Hostinger) et des routes serveur web, invalider
l'ancienne, vérifier les journaux d'accès récents.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PDA volé :</w:t>
      </w:r>
      <w:r>
        <w:t xml:space="preserve"> changer le mot de passe du compte agent concerné (révoque le
refresh token), vérifier l'activité récente de ce compte, documenter l'appareil.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Compte admin/superviseur compromis :</w:t>
      </w:r>
      <w:r>
        <w:t xml:space="preserve"> rotation du mot de passe, activation
MFA, revue des actions faites par ce compte via </w:t>
      </w:r>
      <w:r>
        <w:rPr>
          <w:rFonts w:ascii="Consolas" w:cs="Consolas" w:eastAsia="Consolas" w:hAnsi="Consolas"/>
          <w:sz w:val="18"/>
          <w:szCs w:val="18"/>
        </w:rPr>
        <w:t xml:space="preserve">movement_log</w:t>
      </w:r>
      <w:r>
        <w:t xml:space="preserve">.</w:t>
      </w:r>
    </w:p>
    <w:p>
      <w:pPr>
        <w:pStyle w:val="Heading2"/>
        <w:spacing w:after="60" w:before="160"/>
      </w:pPr>
      <w:r>
        <w:t xml:space="preserve">6. Journal des incidents</w:t>
      </w:r>
    </w:p>
    <w:p>
      <w:pPr>
        <w:spacing w:after="120"/>
      </w:pPr>
      <w:r>
        <w:t xml:space="preserve">Chaque incident est consigné (registre à tenir), avec : identifiant, date de
détection, gravité, description, actions, date de clôture, enseignements.</w:t>
      </w:r>
    </w:p>
    <w:tbl>
      <w:tblPr>
        <w:tblW w:type="dxa" w:w="9972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80"/>
        <w:gridCol w:w="765"/>
        <w:gridCol w:w="1329"/>
        <w:gridCol w:w="2081"/>
        <w:gridCol w:w="1329"/>
        <w:gridCol w:w="1329"/>
        <w:gridCol w:w="2459"/>
      </w:tblGrid>
      <w:tr>
        <w:trPr>
          <w:tblHeader/>
        </w:trPr>
        <w:tc>
          <w:tcPr>
            <w:tcW w:type="dxa" w:w="68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ID</w:t>
            </w:r>
          </w:p>
        </w:tc>
        <w:tc>
          <w:tcPr>
            <w:tcW w:type="dxa" w:w="76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Date</w:t>
            </w:r>
          </w:p>
        </w:tc>
        <w:tc>
          <w:tcPr>
            <w:tcW w:type="dxa" w:w="1329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Gravité</w:t>
            </w:r>
          </w:p>
        </w:tc>
        <w:tc>
          <w:tcPr>
            <w:tcW w:type="dxa" w:w="2081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Description</w:t>
            </w:r>
          </w:p>
        </w:tc>
        <w:tc>
          <w:tcPr>
            <w:tcW w:type="dxa" w:w="1329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Actions</w:t>
            </w:r>
          </w:p>
        </w:tc>
        <w:tc>
          <w:tcPr>
            <w:tcW w:type="dxa" w:w="1329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Clôture</w:t>
            </w:r>
          </w:p>
        </w:tc>
        <w:tc>
          <w:tcPr>
            <w:tcW w:type="dxa" w:w="2459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Enseignements</w:t>
            </w:r>
          </w:p>
        </w:tc>
      </w:tr>
      <w:tr>
        <w:tc>
          <w:tcPr>
            <w:tcW w:type="dxa" w:w="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/>
            </w:r>
          </w:p>
        </w:tc>
        <w:tc>
          <w:tcPr>
            <w:tcW w:type="dxa" w:w="76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/>
            </w:r>
          </w:p>
        </w:tc>
        <w:tc>
          <w:tcPr>
            <w:tcW w:type="dxa" w:w="132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/>
            </w:r>
          </w:p>
        </w:tc>
        <w:tc>
          <w:tcPr>
            <w:tcW w:type="dxa" w:w="208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/>
            </w:r>
          </w:p>
        </w:tc>
        <w:tc>
          <w:tcPr>
            <w:tcW w:type="dxa" w:w="132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/>
            </w:r>
          </w:p>
        </w:tc>
        <w:tc>
          <w:tcPr>
            <w:tcW w:type="dxa" w:w="132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/>
            </w:r>
          </w:p>
        </w:tc>
        <w:tc>
          <w:tcPr>
            <w:tcW w:type="dxa" w:w="245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60" w:before="160"/>
      </w:pPr>
      <w:r>
        <w:t xml:space="preserve">7. Retour d'expérience (A.5.27)</w:t>
      </w:r>
    </w:p>
    <w:p>
      <w:pPr>
        <w:spacing w:after="120"/>
      </w:pPr>
      <w:r>
        <w:t xml:space="preserve">Après tout incident élevé ou critique, une revue courte identifie la cause
racine et les mesures pour éviter la récidive. Les mesures alimentent le registre
des risques (RR-02) et, si besoin, la revue de direction (RD-05).</w:t>
      </w:r>
    </w:p>
    <w:p>
      <w:pPr>
        <w:pStyle w:val="Heading2"/>
        <w:spacing w:after="60" w:before="160"/>
      </w:pPr>
      <w:r>
        <w:t xml:space="preserve">8. Test</w:t>
      </w:r>
    </w:p>
    <w:p>
      <w:pPr>
        <w:spacing w:after="120"/>
      </w:pPr>
      <w:r>
        <w:t xml:space="preserve">La procédure est testée au moins une fois par an par un exercice sur table
(scénario simulé, ex. « PDA volé »), sans toucher à la production.</w:t>
      </w:r>
    </w:p>
    <w:sectPr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34"/>
      <w:szCs w:val="34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27"/>
      <w:szCs w:val="27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23"/>
      <w:szCs w:val="23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3"/>
      <w:szCs w:val="23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3"/>
      <w:szCs w:val="23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2026-09-10T13:37:19.568Z</dcterms:created>
  <dcterms:modified xsi:type="dcterms:W3CDTF">2026-09-10T13:37:19.568Z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